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pPr>
      <w:r>
        <w:rPr>
          <w:rFonts w:ascii="Calibri" w:hAnsi="Calibri"/>
          <w:b/>
          <w:i w:val="0"/>
          <w:color w:val="2E74B5"/>
          <w:sz w:val="20"/>
        </w:rPr>
        <w:t>DECISION BRIEF</w:t>
      </w:r>
    </w:p>
    <w:p>
      <w:pPr>
        <w:spacing w:before="0" w:after="80" w:line="240" w:lineRule="auto"/>
      </w:pPr>
      <w:r>
        <w:rPr>
          <w:rFonts w:ascii="Calibri" w:hAnsi="Calibri"/>
          <w:b/>
          <w:i w:val="0"/>
          <w:color w:val="0B2545"/>
          <w:sz w:val="50"/>
        </w:rPr>
        <w:t>Research Data Hub + NVIDIA DGX Spark</w:t>
      </w:r>
    </w:p>
    <w:p>
      <w:pPr>
        <w:spacing w:before="0" w:after="280" w:line="252" w:lineRule="auto"/>
      </w:pPr>
      <w:r>
        <w:rPr>
          <w:rFonts w:ascii="Calibri" w:hAnsi="Calibri"/>
          <w:b w:val="0"/>
          <w:i w:val="0"/>
          <w:color w:val="5B6573"/>
          <w:sz w:val="28"/>
        </w:rPr>
        <w:t>Should the lab add a local AI workstation to the data-management system?</w:t>
      </w:r>
    </w:p>
    <w:p>
      <w:pPr>
        <w:spacing w:before="0" w:after="60" w:line="264" w:lineRule="auto"/>
      </w:pPr>
      <w:r>
        <w:rPr>
          <w:rFonts w:ascii="Calibri" w:hAnsi="Calibri"/>
          <w:b/>
          <w:i w:val="0"/>
          <w:color w:val="0B2545"/>
          <w:sz w:val="21"/>
        </w:rPr>
        <w:t xml:space="preserve">Audience: </w:t>
      </w:r>
      <w:r>
        <w:rPr>
          <w:rFonts w:ascii="Calibri" w:hAnsi="Calibri"/>
          <w:b w:val="0"/>
          <w:i w:val="0"/>
          <w:color w:val="333333"/>
          <w:sz w:val="21"/>
        </w:rPr>
        <w:t xml:space="preserve">Research group and lab leadership    </w:t>
      </w:r>
      <w:r>
        <w:rPr>
          <w:rFonts w:ascii="Calibri" w:hAnsi="Calibri"/>
          <w:b/>
          <w:i w:val="0"/>
          <w:color w:val="0B2545"/>
          <w:sz w:val="21"/>
        </w:rPr>
        <w:t xml:space="preserve">Date: </w:t>
      </w:r>
      <w:r>
        <w:rPr>
          <w:rFonts w:ascii="Calibri" w:hAnsi="Calibri"/>
          <w:b w:val="0"/>
          <w:i w:val="0"/>
          <w:color w:val="333333"/>
          <w:sz w:val="21"/>
        </w:rPr>
        <w:t xml:space="preserve">July 28, 2026    </w:t>
      </w:r>
      <w:r>
        <w:rPr>
          <w:rFonts w:ascii="Calibri" w:hAnsi="Calibri"/>
          <w:b/>
          <w:i w:val="0"/>
          <w:color w:val="0B2545"/>
          <w:sz w:val="21"/>
        </w:rPr>
        <w:t xml:space="preserve">Decision: </w:t>
      </w:r>
      <w:r>
        <w:rPr>
          <w:rFonts w:ascii="Calibri" w:hAnsi="Calibri"/>
          <w:b w:val="0"/>
          <w:i w:val="0"/>
          <w:color w:val="333333"/>
          <w:sz w:val="21"/>
        </w:rPr>
        <w:t>Evaluate as an addition, not a replacement</w:t>
      </w:r>
    </w:p>
    <w:p>
      <w:pPr>
        <w:spacing w:before="0" w:after="240" w:line="264" w:lineRule="auto"/>
      </w:pPr>
      <w:r>
        <w:rPr>
          <w:rFonts w:ascii="Calibri" w:hAnsi="Calibri"/>
          <w:b w:val="0"/>
          <w:i/>
          <w:color w:val="5B6573"/>
          <w:sz w:val="19"/>
        </w:rPr>
        <w:t>Scope: comparison of the current local lab-server design with adding an NVIDIA DGX Spark for private, local model inference and experimentation.</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9360"/>
      </w:tblGrid>
      <w:tr>
        <w:tc>
          <w:tcPr>
            <w:tcW w:type="dxa" w:w="9360"/>
            <w:tcW w:w="9360" w:type="dxa"/>
            <w:shd w:fill="E8F2EC"/>
            <w:tcMar>
              <w:top w:w="140" w:type="dxa"/>
              <w:start w:w="180" w:type="dxa"/>
              <w:bottom w:w="140" w:type="dxa"/>
              <w:end w:w="180" w:type="dxa"/>
            </w:tcMar>
          </w:tcPr>
          <w:p>
            <w:pPr>
              <w:spacing w:before="0" w:after="0" w:line="264" w:lineRule="auto"/>
            </w:pPr>
            <w:r>
              <w:rPr>
                <w:rFonts w:ascii="Calibri" w:hAnsi="Calibri"/>
                <w:b/>
                <w:i w:val="0"/>
                <w:color w:val="1F6B4A"/>
                <w:sz w:val="21"/>
              </w:rPr>
              <w:t xml:space="preserve">Recommendation  </w:t>
            </w:r>
            <w:r>
              <w:rPr>
                <w:rFonts w:ascii="Calibri" w:hAnsi="Calibri"/>
                <w:b w:val="0"/>
                <w:i w:val="0"/>
                <w:color w:val="1F2937"/>
                <w:sz w:val="21"/>
              </w:rPr>
              <w:t>Add DGX Spark only if the group has a recurring need for local AI inference, model testing, or sensitive-data processing. Keep Research Data Hub and PostgreSQL as the system of record. Introduce the Spark behind a small local AI service so the user-facing application remains simple and stable.</w:t>
            </w:r>
          </w:p>
        </w:tc>
      </w:tr>
    </w:tbl>
    <w:p>
      <w:pPr>
        <w:spacing w:after="40"/>
      </w:pPr>
    </w:p>
    <w:p>
      <w:pPr>
        <w:pStyle w:val="Heading1"/>
        <w:keepNext/>
      </w:pPr>
      <w:r>
        <w:t>1. Executive summary</w:t>
      </w:r>
    </w:p>
    <w:p>
      <w:pPr>
        <w:spacing w:before="0" w:after="120" w:line="264" w:lineRule="auto"/>
      </w:pPr>
      <w:r>
        <w:rPr>
          <w:rFonts w:ascii="Calibri" w:hAnsi="Calibri"/>
          <w:b w:val="0"/>
          <w:i w:val="0"/>
          <w:color w:val="000000"/>
          <w:sz w:val="22"/>
        </w:rPr>
        <w:t>The current Research Data Hub already solves the core data-management problem: researchers select a folder, the system creates a project and typed tables, PostgreSQL stores the data on the lab machine, and users query through a browser.</w:t>
      </w:r>
    </w:p>
    <w:p>
      <w:pPr>
        <w:spacing w:before="0" w:after="120" w:line="264" w:lineRule="auto"/>
      </w:pPr>
      <w:r>
        <w:rPr>
          <w:rFonts w:ascii="Calibri" w:hAnsi="Calibri"/>
          <w:b w:val="0"/>
          <w:i w:val="0"/>
          <w:color w:val="000000"/>
          <w:sz w:val="22"/>
        </w:rPr>
        <w:t>DGX Spark addresses a different problem: running AI models locally without sending research data to a hosted model API. It would be a strong addition for privacy-sensitive AI workflows, local document or data assistants, model evaluation, and prototyping. It is not a replacement for the application server, database, access control, backups, or browser interface.</w:t>
      </w:r>
    </w:p>
    <w:p>
      <w:pPr>
        <w:spacing w:before="0" w:after="120" w:line="264" w:lineRule="auto"/>
      </w:pPr>
      <w:r>
        <w:rPr>
          <w:rFonts w:ascii="Calibri" w:hAnsi="Calibri"/>
          <w:b w:val="0"/>
          <w:i w:val="0"/>
          <w:color w:val="000000"/>
          <w:sz w:val="22"/>
        </w:rPr>
        <w:t>“Free models” means no per-request API bill for the model itself. It does not mean zero cost: the lab still pays for hardware, power, storage, maintenance, model downloads, software support, and the time required to evaluate model quality.</w:t>
      </w:r>
    </w:p>
    <w:p>
      <w:pPr>
        <w:pStyle w:val="Heading1"/>
        <w:keepNext/>
      </w:pPr>
      <w:r>
        <w:t>2. What exists today</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1800"/>
        <w:gridCol w:w="7560"/>
      </w:tblGrid>
      <w:tr>
        <w:tc>
          <w:tcPr>
            <w:tcW w:type="dxa" w:w="4680"/>
            <w:tcW w:w="180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9"/>
              </w:rPr>
              <w:t>Capability</w:t>
            </w:r>
          </w:p>
        </w:tc>
        <w:tc>
          <w:tcPr>
            <w:tcW w:type="dxa" w:w="4680"/>
            <w:tcW w:w="756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9"/>
              </w:rPr>
              <w:t>Current design</w:t>
            </w:r>
          </w:p>
        </w:tc>
      </w:tr>
      <w:tr>
        <w:tc>
          <w:tcPr>
            <w:tcW w:type="dxa" w:w="1800"/>
            <w:tcMar>
              <w:top w:w="100" w:type="dxa"/>
              <w:start w:w="120" w:type="dxa"/>
              <w:bottom w:w="100" w:type="dxa"/>
              <w:end w:w="120" w:type="dxa"/>
            </w:tcMar>
            <w:vAlign w:val="center"/>
          </w:tcPr>
          <w:p>
            <w:pPr>
              <w:spacing w:before="0" w:after="0" w:line="252" w:lineRule="auto"/>
            </w:pPr>
            <w:r>
              <w:rPr>
                <w:rFonts w:ascii="Calibri" w:hAnsi="Calibri"/>
                <w:b w:val="0"/>
                <w:i w:val="0"/>
                <w:color w:val="1F2937"/>
                <w:sz w:val="19"/>
              </w:rPr>
              <w:t>Data location</w:t>
            </w:r>
          </w:p>
        </w:tc>
        <w:tc>
          <w:tcPr>
            <w:tcW w:type="dxa" w:w="7560"/>
            <w:tcMar>
              <w:top w:w="100" w:type="dxa"/>
              <w:start w:w="120" w:type="dxa"/>
              <w:bottom w:w="100" w:type="dxa"/>
              <w:end w:w="120" w:type="dxa"/>
            </w:tcMar>
            <w:vAlign w:val="center"/>
          </w:tcPr>
          <w:p>
            <w:pPr>
              <w:spacing w:before="0" w:after="0" w:line="252" w:lineRule="auto"/>
            </w:pPr>
            <w:r>
              <w:rPr>
                <w:rFonts w:ascii="Calibri" w:hAnsi="Calibri"/>
                <w:b w:val="0"/>
                <w:i w:val="0"/>
                <w:color w:val="1F2937"/>
                <w:sz w:val="19"/>
              </w:rPr>
              <w:t>PostgreSQL database on the lab machine; users connect through the browser.</w:t>
            </w:r>
          </w:p>
        </w:tc>
      </w:tr>
      <w:tr>
        <w:tc>
          <w:tcPr>
            <w:tcW w:type="dxa" w:w="1800"/>
            <w:tcMar>
              <w:top w:w="100" w:type="dxa"/>
              <w:start w:w="120" w:type="dxa"/>
              <w:bottom w:w="100" w:type="dxa"/>
              <w:end w:w="120" w:type="dxa"/>
            </w:tcMar>
            <w:vAlign w:val="center"/>
          </w:tcPr>
          <w:p>
            <w:pPr>
              <w:spacing w:before="0" w:after="0" w:line="252" w:lineRule="auto"/>
            </w:pPr>
            <w:r>
              <w:rPr>
                <w:rFonts w:ascii="Calibri" w:hAnsi="Calibri"/>
                <w:b w:val="0"/>
                <w:i w:val="0"/>
                <w:color w:val="1F2937"/>
                <w:sz w:val="19"/>
              </w:rPr>
              <w:t>Project creation</w:t>
            </w:r>
          </w:p>
        </w:tc>
        <w:tc>
          <w:tcPr>
            <w:tcW w:type="dxa" w:w="7560"/>
            <w:tcMar>
              <w:top w:w="100" w:type="dxa"/>
              <w:start w:w="120" w:type="dxa"/>
              <w:bottom w:w="100" w:type="dxa"/>
              <w:end w:w="120" w:type="dxa"/>
            </w:tcMar>
            <w:vAlign w:val="center"/>
          </w:tcPr>
          <w:p>
            <w:pPr>
              <w:spacing w:before="0" w:after="0" w:line="252" w:lineRule="auto"/>
            </w:pPr>
            <w:r>
              <w:rPr>
                <w:rFonts w:ascii="Calibri" w:hAnsi="Calibri"/>
                <w:b w:val="0"/>
                <w:i w:val="0"/>
                <w:color w:val="1F2937"/>
                <w:sz w:val="19"/>
              </w:rPr>
              <w:t>A selected folder can become a project; CSV and Excel sheets become project tables.</w:t>
            </w:r>
          </w:p>
        </w:tc>
      </w:tr>
      <w:tr>
        <w:tc>
          <w:tcPr>
            <w:tcW w:type="dxa" w:w="1800"/>
            <w:tcMar>
              <w:top w:w="100" w:type="dxa"/>
              <w:start w:w="120" w:type="dxa"/>
              <w:bottom w:w="100" w:type="dxa"/>
              <w:end w:w="120" w:type="dxa"/>
            </w:tcMar>
            <w:vAlign w:val="center"/>
          </w:tcPr>
          <w:p>
            <w:pPr>
              <w:spacing w:before="0" w:after="0" w:line="252" w:lineRule="auto"/>
            </w:pPr>
            <w:r>
              <w:rPr>
                <w:rFonts w:ascii="Calibri" w:hAnsi="Calibri"/>
                <w:b w:val="0"/>
                <w:i w:val="0"/>
                <w:color w:val="1F2937"/>
                <w:sz w:val="19"/>
              </w:rPr>
              <w:t>Querying</w:t>
            </w:r>
          </w:p>
        </w:tc>
        <w:tc>
          <w:tcPr>
            <w:tcW w:type="dxa" w:w="7560"/>
            <w:tcMar>
              <w:top w:w="100" w:type="dxa"/>
              <w:start w:w="120" w:type="dxa"/>
              <w:bottom w:w="100" w:type="dxa"/>
              <w:end w:w="120" w:type="dxa"/>
            </w:tcMar>
            <w:vAlign w:val="center"/>
          </w:tcPr>
          <w:p>
            <w:pPr>
              <w:spacing w:before="0" w:after="0" w:line="252" w:lineRule="auto"/>
            </w:pPr>
            <w:r>
              <w:rPr>
                <w:rFonts w:ascii="Calibri" w:hAnsi="Calibri"/>
                <w:b w:val="0"/>
                <w:i w:val="0"/>
                <w:color w:val="1F2937"/>
                <w:sz w:val="19"/>
              </w:rPr>
              <w:t>Visual query builder or restricted SQL editor; queries run on PostgreSQL.</w:t>
            </w:r>
          </w:p>
        </w:tc>
      </w:tr>
      <w:tr>
        <w:tc>
          <w:tcPr>
            <w:tcW w:type="dxa" w:w="1800"/>
            <w:tcMar>
              <w:top w:w="100" w:type="dxa"/>
              <w:start w:w="120" w:type="dxa"/>
              <w:bottom w:w="100" w:type="dxa"/>
              <w:end w:w="120" w:type="dxa"/>
            </w:tcMar>
            <w:vAlign w:val="center"/>
          </w:tcPr>
          <w:p>
            <w:pPr>
              <w:spacing w:before="0" w:after="0" w:line="252" w:lineRule="auto"/>
            </w:pPr>
            <w:r>
              <w:rPr>
                <w:rFonts w:ascii="Calibri" w:hAnsi="Calibri"/>
                <w:b w:val="0"/>
                <w:i w:val="0"/>
                <w:color w:val="1F2937"/>
                <w:sz w:val="19"/>
              </w:rPr>
              <w:t>Collaboration</w:t>
            </w:r>
          </w:p>
        </w:tc>
        <w:tc>
          <w:tcPr>
            <w:tcW w:type="dxa" w:w="7560"/>
            <w:tcMar>
              <w:top w:w="100" w:type="dxa"/>
              <w:start w:w="120" w:type="dxa"/>
              <w:bottom w:w="100" w:type="dxa"/>
              <w:end w:w="120" w:type="dxa"/>
            </w:tcMar>
            <w:vAlign w:val="center"/>
          </w:tcPr>
          <w:p>
            <w:pPr>
              <w:spacing w:before="0" w:after="0" w:line="252" w:lineRule="auto"/>
            </w:pPr>
            <w:r>
              <w:rPr>
                <w:rFonts w:ascii="Calibri" w:hAnsi="Calibri"/>
                <w:b w:val="0"/>
                <w:i w:val="0"/>
                <w:color w:val="1F2937"/>
                <w:sz w:val="19"/>
              </w:rPr>
              <w:t>Accounts, project membership, editor/viewer access, and shared browser access.</w:t>
            </w:r>
          </w:p>
        </w:tc>
      </w:tr>
      <w:tr>
        <w:tc>
          <w:tcPr>
            <w:tcW w:type="dxa" w:w="1800"/>
            <w:tcMar>
              <w:top w:w="100" w:type="dxa"/>
              <w:start w:w="120" w:type="dxa"/>
              <w:bottom w:w="100" w:type="dxa"/>
              <w:end w:w="120" w:type="dxa"/>
            </w:tcMar>
            <w:vAlign w:val="center"/>
          </w:tcPr>
          <w:p>
            <w:pPr>
              <w:spacing w:before="0" w:after="0" w:line="252" w:lineRule="auto"/>
            </w:pPr>
            <w:r>
              <w:rPr>
                <w:rFonts w:ascii="Calibri" w:hAnsi="Calibri"/>
                <w:b w:val="0"/>
                <w:i w:val="0"/>
                <w:color w:val="1F2937"/>
                <w:sz w:val="19"/>
              </w:rPr>
              <w:t>AI dependency</w:t>
            </w:r>
          </w:p>
        </w:tc>
        <w:tc>
          <w:tcPr>
            <w:tcW w:type="dxa" w:w="7560"/>
            <w:tcMar>
              <w:top w:w="100" w:type="dxa"/>
              <w:start w:w="120" w:type="dxa"/>
              <w:bottom w:w="100" w:type="dxa"/>
              <w:end w:w="120" w:type="dxa"/>
            </w:tcMar>
            <w:vAlign w:val="center"/>
          </w:tcPr>
          <w:p>
            <w:pPr>
              <w:spacing w:before="0" w:after="0" w:line="252" w:lineRule="auto"/>
            </w:pPr>
            <w:r>
              <w:rPr>
                <w:rFonts w:ascii="Calibri" w:hAnsi="Calibri"/>
                <w:b w:val="0"/>
                <w:i w:val="0"/>
                <w:color w:val="1F2937"/>
                <w:sz w:val="19"/>
              </w:rPr>
              <w:t>The AI-assisted desktop import path uses a configured NVIDIA API key; basic import is local.</w:t>
            </w:r>
          </w:p>
        </w:tc>
      </w:tr>
    </w:tbl>
    <w:p>
      <w:pPr>
        <w:spacing w:before="0" w:after="120" w:line="264" w:lineRule="auto"/>
      </w:pPr>
      <w:r>
        <w:rPr>
          <w:rFonts w:ascii="Calibri" w:hAnsi="Calibri"/>
          <w:b w:val="0"/>
          <w:i/>
          <w:color w:val="5B6573"/>
          <w:sz w:val="19"/>
        </w:rPr>
        <w:t>Backup note: the database volume and original source folders must be backed up separately; immutable original-file archiving is not yet built in.</w:t>
      </w:r>
    </w:p>
    <w:p>
      <w:pPr>
        <w:pStyle w:val="Heading1"/>
        <w:keepNext/>
      </w:pPr>
      <w:r>
        <w:t>3. What DGX Spark adds</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2400"/>
        <w:gridCol w:w="6960"/>
      </w:tblGrid>
      <w:tr>
        <w:tc>
          <w:tcPr>
            <w:tcW w:type="dxa" w:w="4680"/>
            <w:tcW w:w="240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8"/>
              </w:rPr>
              <w:t>DGX Spark capability</w:t>
            </w:r>
          </w:p>
        </w:tc>
        <w:tc>
          <w:tcPr>
            <w:tcW w:type="dxa" w:w="4680"/>
            <w:tcW w:w="696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8"/>
              </w:rPr>
              <w:t>Practical value for this lab</w:t>
            </w:r>
          </w:p>
        </w:tc>
      </w:tr>
      <w:tr>
        <w:tc>
          <w:tcPr>
            <w:tcW w:type="dxa" w:w="24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Local model execution</w:t>
            </w:r>
          </w:p>
        </w:tc>
        <w:tc>
          <w:tcPr>
            <w:tcW w:type="dxa" w:w="69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Run an approved model on the lab’s own hardware instead of sending sensitive data to a hosted inference API.</w:t>
            </w:r>
          </w:p>
        </w:tc>
      </w:tr>
      <w:tr>
        <w:tc>
          <w:tcPr>
            <w:tcW w:type="dxa" w:w="24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Large unified memory</w:t>
            </w:r>
          </w:p>
        </w:tc>
        <w:tc>
          <w:tcPr>
            <w:tcW w:type="dxa" w:w="69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NVIDIA lists 128 GB of coherent unified memory, useful for larger quantized models and data-science workloads.</w:t>
            </w:r>
          </w:p>
        </w:tc>
      </w:tr>
      <w:tr>
        <w:tc>
          <w:tcPr>
            <w:tcW w:type="dxa" w:w="24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AI development stack</w:t>
            </w:r>
          </w:p>
        </w:tc>
        <w:tc>
          <w:tcPr>
            <w:tcW w:type="dxa" w:w="69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Preconfigured NVIDIA software, CUDA ecosystem, containers, and NGC access reduce initial setup for model experiments.</w:t>
            </w:r>
          </w:p>
        </w:tc>
      </w:tr>
      <w:tr>
        <w:tc>
          <w:tcPr>
            <w:tcW w:type="dxa" w:w="24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Low-power desktop form factor</w:t>
            </w:r>
          </w:p>
        </w:tc>
        <w:tc>
          <w:tcPr>
            <w:tcW w:type="dxa" w:w="69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Compact 150 mm × 150 mm × 50.5 mm system with a 240 W power supply.</w:t>
            </w:r>
          </w:p>
        </w:tc>
      </w:tr>
      <w:tr>
        <w:tc>
          <w:tcPr>
            <w:tcW w:type="dxa" w:w="24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Network appliance use</w:t>
            </w:r>
          </w:p>
        </w:tc>
        <w:tc>
          <w:tcPr>
            <w:tcW w:type="dxa" w:w="69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Can be accessed over the network, so the Data Hub can call it as a local AI service.</w:t>
            </w:r>
          </w:p>
        </w:tc>
      </w:tr>
    </w:tbl>
    <w:p>
      <w:pPr>
        <w:spacing w:before="0" w:after="60" w:line="240" w:lineRule="auto"/>
      </w:pPr>
      <w:r>
        <w:rPr>
          <w:rFonts w:ascii="Calibri" w:hAnsi="Calibri"/>
          <w:b/>
          <w:i w:val="0"/>
          <w:color w:val="5B6573"/>
          <w:sz w:val="18"/>
        </w:rPr>
        <w:t xml:space="preserve">NVIDIA hardware overview: </w:t>
      </w:r>
      <w:r>
        <w:rPr>
          <w:rFonts w:ascii="Calibri" w:hAnsi="Calibri"/>
          <w:b w:val="0"/>
          <w:i w:val="0"/>
          <w:color w:val="2E74B5"/>
          <w:sz w:val="18"/>
        </w:rPr>
        <w:t>https://docs.nvidia.com/dgx/dgx-spark/hardware.html</w:t>
      </w:r>
    </w:p>
    <w:p>
      <w:pPr>
        <w:spacing w:before="0" w:after="60" w:line="240" w:lineRule="auto"/>
      </w:pPr>
      <w:r>
        <w:rPr>
          <w:rFonts w:ascii="Calibri" w:hAnsi="Calibri"/>
          <w:b/>
          <w:i w:val="0"/>
          <w:color w:val="5B6573"/>
          <w:sz w:val="18"/>
        </w:rPr>
        <w:t xml:space="preserve">NVIDIA system overview: </w:t>
      </w:r>
      <w:r>
        <w:rPr>
          <w:rFonts w:ascii="Calibri" w:hAnsi="Calibri"/>
          <w:b w:val="0"/>
          <w:i w:val="0"/>
          <w:color w:val="2E74B5"/>
          <w:sz w:val="18"/>
        </w:rPr>
        <w:t>https://docs.nvidia.com/dgx/dgx-spark/system-overview.html</w:t>
      </w:r>
    </w:p>
    <w:p>
      <w:pPr>
        <w:spacing w:before="0" w:after="120" w:line="264" w:lineRule="auto"/>
      </w:pPr>
      <w:r>
        <w:rPr>
          <w:rFonts w:ascii="Calibri" w:hAnsi="Calibri"/>
          <w:b w:val="0"/>
          <w:i/>
          <w:color w:val="5B6573"/>
          <w:sz w:val="19"/>
        </w:rPr>
        <w:t>Procurement note: the NVIDIA Marketplace displayed a $4,699 price for the DGX Spark listing when checked on July 28, 2026. Treat this as a planning figure and request a current institutional quote.</w:t>
      </w:r>
    </w:p>
    <w:p>
      <w:pPr>
        <w:pStyle w:val="Heading1"/>
        <w:keepNext/>
      </w:pPr>
      <w:r>
        <w:t>4. Side-by-side comparison</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1650"/>
        <w:gridCol w:w="3850"/>
        <w:gridCol w:w="3860"/>
      </w:tblGrid>
      <w:tr>
        <w:tc>
          <w:tcPr>
            <w:tcW w:type="dxa" w:w="3120"/>
            <w:tcW w:w="165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7"/>
              </w:rPr>
              <w:t>Decision area</w:t>
            </w:r>
          </w:p>
        </w:tc>
        <w:tc>
          <w:tcPr>
            <w:tcW w:type="dxa" w:w="3120"/>
            <w:tcW w:w="385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7"/>
              </w:rPr>
              <w:t>Current lab server only</w:t>
            </w:r>
          </w:p>
        </w:tc>
        <w:tc>
          <w:tcPr>
            <w:tcW w:type="dxa" w:w="3120"/>
            <w:tcW w:w="386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7"/>
              </w:rPr>
              <w:t>Lab server + DGX Spark</w:t>
            </w:r>
          </w:p>
        </w:tc>
      </w:tr>
      <w:tr>
        <w:tc>
          <w:tcPr>
            <w:tcW w:type="dxa" w:w="16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Data management</w:t>
            </w:r>
          </w:p>
        </w:tc>
        <w:tc>
          <w:tcPr>
            <w:tcW w:type="dxa" w:w="38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Strong. Handles projects, tables, access, queries, and exports.</w:t>
            </w:r>
          </w:p>
        </w:tc>
        <w:tc>
          <w:tcPr>
            <w:tcW w:type="dxa" w:w="38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Same; DGX Spark does not replace PostgreSQL or the Data Hub.</w:t>
            </w:r>
          </w:p>
        </w:tc>
      </w:tr>
      <w:tr>
        <w:tc>
          <w:tcPr>
            <w:tcW w:type="dxa" w:w="16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Local privacy</w:t>
            </w:r>
          </w:p>
        </w:tc>
        <w:tc>
          <w:tcPr>
            <w:tcW w:type="dxa" w:w="38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Strong for normal import/query workflows.</w:t>
            </w:r>
          </w:p>
        </w:tc>
        <w:tc>
          <w:tcPr>
            <w:tcW w:type="dxa" w:w="38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Stronger for AI workflows because models can run inside the lab.</w:t>
            </w:r>
          </w:p>
        </w:tc>
      </w:tr>
      <w:tr>
        <w:tc>
          <w:tcPr>
            <w:tcW w:type="dxa" w:w="16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AI quality and flexibility</w:t>
            </w:r>
          </w:p>
        </w:tc>
        <w:tc>
          <w:tcPr>
            <w:tcW w:type="dxa" w:w="38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Dependent on hosted API or limited local CPU options.</w:t>
            </w:r>
          </w:p>
        </w:tc>
        <w:tc>
          <w:tcPr>
            <w:tcW w:type="dxa" w:w="38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Higher ceiling for local model choice, evaluation, and tuning.</w:t>
            </w:r>
          </w:p>
        </w:tc>
      </w:tr>
      <w:tr>
        <w:tc>
          <w:tcPr>
            <w:tcW w:type="dxa" w:w="16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Recurring API cost</w:t>
            </w:r>
          </w:p>
        </w:tc>
        <w:tc>
          <w:tcPr>
            <w:tcW w:type="dxa" w:w="38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Possible cost when using hosted AI analysis.</w:t>
            </w:r>
          </w:p>
        </w:tc>
        <w:tc>
          <w:tcPr>
            <w:tcW w:type="dxa" w:w="38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Can reduce per-request AI API cost, subject to model/license limits.</w:t>
            </w:r>
          </w:p>
        </w:tc>
      </w:tr>
      <w:tr>
        <w:tc>
          <w:tcPr>
            <w:tcW w:type="dxa" w:w="16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Setup complexity</w:t>
            </w:r>
          </w:p>
        </w:tc>
        <w:tc>
          <w:tcPr>
            <w:tcW w:type="dxa" w:w="38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Lower; one application and database stack.</w:t>
            </w:r>
          </w:p>
        </w:tc>
        <w:tc>
          <w:tcPr>
            <w:tcW w:type="dxa" w:w="38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Higher; adds model runtime, model storage, monitoring, and AI service integration.</w:t>
            </w:r>
          </w:p>
        </w:tc>
      </w:tr>
      <w:tr>
        <w:tc>
          <w:tcPr>
            <w:tcW w:type="dxa" w:w="16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Multi-user concurrency</w:t>
            </w:r>
          </w:p>
        </w:tc>
        <w:tc>
          <w:tcPr>
            <w:tcW w:type="dxa" w:w="38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Designed for browser collaboration.</w:t>
            </w:r>
          </w:p>
        </w:tc>
        <w:tc>
          <w:tcPr>
            <w:tcW w:type="dxa" w:w="38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Needs workload controls; one Spark is a shared AI resource.</w:t>
            </w:r>
          </w:p>
        </w:tc>
      </w:tr>
      <w:tr>
        <w:tc>
          <w:tcPr>
            <w:tcW w:type="dxa" w:w="16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Offline operation</w:t>
            </w:r>
          </w:p>
        </w:tc>
        <w:tc>
          <w:tcPr>
            <w:tcW w:type="dxa" w:w="38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Normal data functions can be local.</w:t>
            </w:r>
          </w:p>
        </w:tc>
        <w:tc>
          <w:tcPr>
            <w:tcW w:type="dxa" w:w="38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Better after approved models are installed locally.</w:t>
            </w:r>
          </w:p>
        </w:tc>
      </w:tr>
      <w:tr>
        <w:tc>
          <w:tcPr>
            <w:tcW w:type="dxa" w:w="16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Research reproducibility</w:t>
            </w:r>
          </w:p>
        </w:tc>
        <w:tc>
          <w:tcPr>
            <w:tcW w:type="dxa" w:w="38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Good for data and query history.</w:t>
            </w:r>
          </w:p>
        </w:tc>
        <w:tc>
          <w:tcPr>
            <w:tcW w:type="dxa" w:w="38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Improves if model versions, prompts, settings, and outputs are logged.</w:t>
            </w:r>
          </w:p>
        </w:tc>
      </w:tr>
      <w:tr>
        <w:tc>
          <w:tcPr>
            <w:tcW w:type="dxa" w:w="16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Cost profile</w:t>
            </w:r>
          </w:p>
        </w:tc>
        <w:tc>
          <w:tcPr>
            <w:tcW w:type="dxa" w:w="38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Lower initial cost; ordinary workstation/server hardware.</w:t>
            </w:r>
          </w:p>
        </w:tc>
        <w:tc>
          <w:tcPr>
            <w:tcW w:type="dxa" w:w="38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Higher capital cost; less dependence on usage-based AI billing.</w:t>
            </w:r>
          </w:p>
        </w:tc>
      </w:tr>
    </w:tbl>
    <w:p>
      <w:pPr>
        <w:pStyle w:val="Heading1"/>
        <w:keepNext/>
      </w:pPr>
      <w:r>
        <w:t>5. Recommended architecture</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9360"/>
      </w:tblGrid>
      <w:tr>
        <w:tc>
          <w:tcPr>
            <w:tcW w:type="dxa" w:w="9360"/>
            <w:tcW w:w="9360" w:type="dxa"/>
            <w:shd w:fill="F4F6F9"/>
            <w:tcMar>
              <w:top w:w="140" w:type="dxa"/>
              <w:start w:w="180" w:type="dxa"/>
              <w:bottom w:w="140" w:type="dxa"/>
              <w:end w:w="180" w:type="dxa"/>
            </w:tcMar>
          </w:tcPr>
          <w:p>
            <w:pPr>
              <w:spacing w:before="0" w:after="0" w:line="264" w:lineRule="auto"/>
            </w:pPr>
            <w:r>
              <w:rPr>
                <w:rFonts w:ascii="Calibri" w:hAnsi="Calibri"/>
                <w:b/>
                <w:i w:val="0"/>
                <w:color w:val="2E74B5"/>
                <w:sz w:val="21"/>
              </w:rPr>
              <w:t xml:space="preserve">Keep responsibilities separate  </w:t>
            </w:r>
            <w:r>
              <w:rPr>
                <w:rFonts w:ascii="Calibri" w:hAnsi="Calibri"/>
                <w:b w:val="0"/>
                <w:i w:val="0"/>
                <w:color w:val="1F2937"/>
                <w:sz w:val="21"/>
              </w:rPr>
              <w:t>The Data Hub should own projects, users, permissions, source metadata, PostgreSQL tables, queries, and exports. DGX Spark should expose a controlled local inference endpoint for approved AI features.</w:t>
            </w:r>
          </w:p>
        </w:tc>
      </w:tr>
    </w:tbl>
    <w:p>
      <w:pPr>
        <w:spacing w:after="40"/>
      </w:pPr>
    </w:p>
    <w:p>
      <w:pPr>
        <w:spacing w:before="40" w:after="80" w:line="264" w:lineRule="auto"/>
      </w:pPr>
      <w:r>
        <w:rPr>
          <w:rFonts w:ascii="Calibri" w:hAnsi="Calibri"/>
          <w:b/>
          <w:i w:val="0"/>
          <w:color w:val="000000"/>
          <w:sz w:val="22"/>
        </w:rPr>
        <w:t>Recommended flow:</w:t>
      </w:r>
    </w:p>
    <w:p>
      <w:pPr>
        <w:pStyle w:val="ListNumber"/>
        <w:spacing w:before="0" w:after="100" w:line="280" w:lineRule="auto"/>
      </w:pPr>
      <w:r>
        <w:rPr>
          <w:rFonts w:ascii="Calibri" w:hAnsi="Calibri"/>
          <w:b w:val="0"/>
          <w:i w:val="0"/>
          <w:color w:val="000000"/>
          <w:sz w:val="22"/>
        </w:rPr>
        <w:t>Researcher imports a folder through Research Data Hub.</w:t>
      </w:r>
    </w:p>
    <w:p>
      <w:pPr>
        <w:pStyle w:val="ListNumber"/>
        <w:spacing w:before="0" w:after="100" w:line="280" w:lineRule="auto"/>
      </w:pPr>
      <w:r>
        <w:rPr>
          <w:rFonts w:ascii="Calibri" w:hAnsi="Calibri"/>
          <w:b w:val="0"/>
          <w:i w:val="0"/>
          <w:color w:val="000000"/>
          <w:sz w:val="22"/>
        </w:rPr>
        <w:t>Data Hub stores structured data in PostgreSQL on the lab machine.</w:t>
      </w:r>
    </w:p>
    <w:p>
      <w:pPr>
        <w:pStyle w:val="ListNumber"/>
        <w:spacing w:before="0" w:after="100" w:line="280" w:lineRule="auto"/>
      </w:pPr>
      <w:r>
        <w:rPr>
          <w:rFonts w:ascii="Calibri" w:hAnsi="Calibri"/>
          <w:b w:val="0"/>
          <w:i w:val="0"/>
          <w:color w:val="000000"/>
          <w:sz w:val="22"/>
        </w:rPr>
        <w:t>A user invokes an AI feature such as schema suggestions, natural-language search, data-quality explanation, or report drafting.</w:t>
      </w:r>
    </w:p>
    <w:p>
      <w:pPr>
        <w:pStyle w:val="ListNumber"/>
        <w:spacing w:before="0" w:after="100" w:line="280" w:lineRule="auto"/>
      </w:pPr>
      <w:r>
        <w:rPr>
          <w:rFonts w:ascii="Calibri" w:hAnsi="Calibri"/>
          <w:b w:val="0"/>
          <w:i w:val="0"/>
          <w:color w:val="000000"/>
          <w:sz w:val="22"/>
        </w:rPr>
        <w:t>Data Hub sends only the needed context to the local AI service on DGX Spark.</w:t>
      </w:r>
    </w:p>
    <w:p>
      <w:pPr>
        <w:pStyle w:val="ListNumber"/>
        <w:spacing w:before="0" w:after="100" w:line="280" w:lineRule="auto"/>
      </w:pPr>
      <w:r>
        <w:rPr>
          <w:rFonts w:ascii="Calibri" w:hAnsi="Calibri"/>
          <w:b w:val="0"/>
          <w:i w:val="0"/>
          <w:color w:val="000000"/>
          <w:sz w:val="22"/>
        </w:rPr>
        <w:t>DGX Spark returns a response; the Data Hub records the model name, version, task, and timestamp where reproducibility matters.</w:t>
      </w:r>
    </w:p>
    <w:p>
      <w:pPr>
        <w:spacing w:before="0" w:after="120" w:line="264" w:lineRule="auto"/>
      </w:pPr>
      <w:r>
        <w:rPr>
          <w:rFonts w:ascii="Calibri" w:hAnsi="Calibri"/>
          <w:b w:val="0"/>
          <w:i w:val="0"/>
          <w:color w:val="000000"/>
          <w:sz w:val="22"/>
        </w:rPr>
        <w:t>This design lets the research group replace or upgrade the model without redesigning the data application. It also gives administrators one place to restrict which models may access research data.</w:t>
      </w:r>
    </w:p>
    <w:p>
      <w:pPr>
        <w:pStyle w:val="Heading1"/>
        <w:keepNext/>
      </w:pPr>
      <w:r>
        <w:t>6. Important trade-offs</w:t>
      </w:r>
    </w:p>
    <w:p>
      <w:pPr>
        <w:pStyle w:val="Heading2"/>
        <w:keepNext/>
      </w:pPr>
      <w:r>
        <w:t>Models are not automatically “free”</w:t>
      </w:r>
    </w:p>
    <w:p>
      <w:pPr>
        <w:pStyle w:val="ListBullet"/>
        <w:spacing w:before="0" w:after="80" w:line="280" w:lineRule="auto"/>
      </w:pPr>
      <w:r>
        <w:rPr>
          <w:rFonts w:ascii="Calibri" w:hAnsi="Calibri"/>
          <w:b w:val="0"/>
          <w:i w:val="0"/>
          <w:color w:val="000000"/>
          <w:sz w:val="22"/>
        </w:rPr>
        <w:t>Open-weight model licenses vary. Some allow research use but restrict redistribution, commercial use, or certain applications.</w:t>
      </w:r>
    </w:p>
    <w:p>
      <w:pPr>
        <w:pStyle w:val="ListBullet"/>
        <w:spacing w:before="0" w:after="80" w:line="280" w:lineRule="auto"/>
      </w:pPr>
      <w:r>
        <w:rPr>
          <w:rFonts w:ascii="Calibri" w:hAnsi="Calibri"/>
          <w:b w:val="0"/>
          <w:i w:val="0"/>
          <w:color w:val="000000"/>
          <w:sz w:val="22"/>
        </w:rPr>
        <w:t>Models need local disk space, updates, evaluation, and monitoring. A model can be free to download but expensive to operate well.</w:t>
      </w:r>
    </w:p>
    <w:p>
      <w:pPr>
        <w:pStyle w:val="ListBullet"/>
        <w:spacing w:before="0" w:after="80" w:line="280" w:lineRule="auto"/>
      </w:pPr>
      <w:r>
        <w:rPr>
          <w:rFonts w:ascii="Calibri" w:hAnsi="Calibri"/>
          <w:b w:val="0"/>
          <w:i w:val="0"/>
          <w:color w:val="000000"/>
          <w:sz w:val="22"/>
        </w:rPr>
        <w:t>Local models may be less capable than the best hosted models for some tasks. Benchmark representative research questions before changing production workflows.</w:t>
      </w:r>
    </w:p>
    <w:p>
      <w:pPr>
        <w:pStyle w:val="Heading2"/>
        <w:keepNext/>
      </w:pPr>
      <w:r>
        <w:t>DGX Spark is an AI appliance, not a complete lab server</w:t>
      </w:r>
    </w:p>
    <w:p>
      <w:pPr>
        <w:pStyle w:val="ListBullet"/>
        <w:spacing w:before="0" w:after="80" w:line="280" w:lineRule="auto"/>
      </w:pPr>
      <w:r>
        <w:rPr>
          <w:rFonts w:ascii="Calibri" w:hAnsi="Calibri"/>
          <w:b w:val="0"/>
          <w:i w:val="0"/>
          <w:color w:val="000000"/>
          <w:sz w:val="22"/>
        </w:rPr>
        <w:t>The Data Hub still needs PostgreSQL storage, backups, authentication, and a reliable always-on host.</w:t>
      </w:r>
    </w:p>
    <w:p>
      <w:pPr>
        <w:pStyle w:val="ListBullet"/>
        <w:spacing w:before="0" w:after="80" w:line="280" w:lineRule="auto"/>
      </w:pPr>
      <w:r>
        <w:rPr>
          <w:rFonts w:ascii="Calibri" w:hAnsi="Calibri"/>
          <w:b w:val="0"/>
          <w:i w:val="0"/>
          <w:color w:val="000000"/>
          <w:sz w:val="22"/>
        </w:rPr>
        <w:t>The Spark adds a second critical service. If it is offline, data access should continue and AI features should fail gracefully.</w:t>
      </w:r>
    </w:p>
    <w:p>
      <w:pPr>
        <w:pStyle w:val="ListBullet"/>
        <w:spacing w:before="0" w:after="80" w:line="280" w:lineRule="auto"/>
      </w:pPr>
      <w:r>
        <w:rPr>
          <w:rFonts w:ascii="Calibri" w:hAnsi="Calibri"/>
          <w:b w:val="0"/>
          <w:i w:val="0"/>
          <w:color w:val="000000"/>
          <w:sz w:val="22"/>
        </w:rPr>
        <w:t>A single Spark can become a shared bottleneck when several users run large prompts or batch jobs at once.</w:t>
      </w:r>
    </w:p>
    <w:p>
      <w:pPr>
        <w:pStyle w:val="Heading2"/>
        <w:keepNext/>
      </w:pPr>
      <w:r>
        <w:t>ARM software compatibility needs a pilot</w:t>
      </w:r>
    </w:p>
    <w:p>
      <w:pPr>
        <w:spacing w:before="0" w:after="120" w:line="264" w:lineRule="auto"/>
      </w:pPr>
      <w:r>
        <w:rPr>
          <w:rFonts w:ascii="Calibri" w:hAnsi="Calibri"/>
          <w:b w:val="0"/>
          <w:i w:val="0"/>
          <w:color w:val="000000"/>
          <w:sz w:val="22"/>
        </w:rPr>
        <w:t>DGX Spark uses a 20-core Arm processor and NVIDIA DGX OS. The model-serving stack and any custom Python packages should be tested on the Spark before procurement is treated as a production commitment. Prefer containers and documented, repeatable environments.</w:t>
      </w:r>
    </w:p>
    <w:p>
      <w:pPr>
        <w:pStyle w:val="Heading1"/>
        <w:keepNext/>
      </w:pPr>
      <w:r>
        <w:t>7. Suggested phased plan</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1300"/>
        <w:gridCol w:w="4660"/>
        <w:gridCol w:w="3400"/>
      </w:tblGrid>
      <w:tr>
        <w:tc>
          <w:tcPr>
            <w:tcW w:type="dxa" w:w="3120"/>
            <w:tcW w:w="130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7"/>
              </w:rPr>
              <w:t>Phase</w:t>
            </w:r>
          </w:p>
        </w:tc>
        <w:tc>
          <w:tcPr>
            <w:tcW w:type="dxa" w:w="3120"/>
            <w:tcW w:w="466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7"/>
              </w:rPr>
              <w:t>Work</w:t>
            </w:r>
          </w:p>
        </w:tc>
        <w:tc>
          <w:tcPr>
            <w:tcW w:type="dxa" w:w="3120"/>
            <w:tcW w:w="340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7"/>
              </w:rPr>
              <w:t>Go/no-go evidence</w:t>
            </w:r>
          </w:p>
        </w:tc>
      </w:tr>
      <w:tr>
        <w:tc>
          <w:tcPr>
            <w:tcW w:type="dxa" w:w="13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1. Keep Data Hub stable</w:t>
            </w:r>
          </w:p>
        </w:tc>
        <w:tc>
          <w:tcPr>
            <w:tcW w:type="dxa" w:w="46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Finish folder import, backups, role testing, and source-file retention procedures.</w:t>
            </w:r>
          </w:p>
        </w:tc>
        <w:tc>
          <w:tcPr>
            <w:tcW w:type="dxa" w:w="34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Researchers can import, query, export, and restore a project without AI.</w:t>
            </w:r>
          </w:p>
        </w:tc>
      </w:tr>
      <w:tr>
        <w:tc>
          <w:tcPr>
            <w:tcW w:type="dxa" w:w="13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2. Pilot one Spark</w:t>
            </w:r>
          </w:p>
        </w:tc>
        <w:tc>
          <w:tcPr>
            <w:tcW w:type="dxa" w:w="46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Install local model runtime and connect it only on the lab network.</w:t>
            </w:r>
          </w:p>
        </w:tc>
        <w:tc>
          <w:tcPr>
            <w:tcW w:type="dxa" w:w="34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A representative model answers agreed test questions within acceptable time.</w:t>
            </w:r>
          </w:p>
        </w:tc>
      </w:tr>
      <w:tr>
        <w:tc>
          <w:tcPr>
            <w:tcW w:type="dxa" w:w="13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3. Add one narrow AI feature</w:t>
            </w:r>
          </w:p>
        </w:tc>
        <w:tc>
          <w:tcPr>
            <w:tcW w:type="dxa" w:w="46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Start with schema suggestions, data dictionary help, or natural-language query translation.</w:t>
            </w:r>
          </w:p>
        </w:tc>
        <w:tc>
          <w:tcPr>
            <w:tcW w:type="dxa" w:w="34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Users save time and do not lose trust in results.</w:t>
            </w:r>
          </w:p>
        </w:tc>
      </w:tr>
      <w:tr>
        <w:tc>
          <w:tcPr>
            <w:tcW w:type="dxa" w:w="13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4. Add governance</w:t>
            </w:r>
          </w:p>
        </w:tc>
        <w:tc>
          <w:tcPr>
            <w:tcW w:type="dxa" w:w="46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Record model/version, tasks, inputs, outputs, and approval status.</w:t>
            </w:r>
          </w:p>
        </w:tc>
        <w:tc>
          <w:tcPr>
            <w:tcW w:type="dxa" w:w="34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The group can reproduce or audit an AI-assisted result.</w:t>
            </w:r>
          </w:p>
        </w:tc>
      </w:tr>
      <w:tr>
        <w:tc>
          <w:tcPr>
            <w:tcW w:type="dxa" w:w="13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5. Expand selectively</w:t>
            </w:r>
          </w:p>
        </w:tc>
        <w:tc>
          <w:tcPr>
            <w:tcW w:type="dxa" w:w="46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Consider report drafting, anomaly explanation, or batch labeling.</w:t>
            </w:r>
          </w:p>
        </w:tc>
        <w:tc>
          <w:tcPr>
            <w:tcW w:type="dxa" w:w="34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Measured value justifies additional model maintenance.</w:t>
            </w:r>
          </w:p>
        </w:tc>
      </w:tr>
    </w:tbl>
    <w:p>
      <w:pPr>
        <w:pStyle w:val="Heading1"/>
        <w:keepNext/>
      </w:pPr>
      <w:r>
        <w:t>8. Lab-machine configuration if DGX Spark is added</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1900"/>
        <w:gridCol w:w="7460"/>
      </w:tblGrid>
      <w:tr>
        <w:tc>
          <w:tcPr>
            <w:tcW w:type="dxa" w:w="4680"/>
            <w:tcW w:w="190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8"/>
              </w:rPr>
              <w:t>Component</w:t>
            </w:r>
          </w:p>
        </w:tc>
        <w:tc>
          <w:tcPr>
            <w:tcW w:type="dxa" w:w="4680"/>
            <w:tcW w:w="746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8"/>
              </w:rPr>
              <w:t>Recommendation</w:t>
            </w:r>
          </w:p>
        </w:tc>
      </w:tr>
      <w:tr>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Data Hub host</w:t>
            </w:r>
          </w:p>
        </w:tc>
        <w:tc>
          <w:tcPr>
            <w:tcW w:type="dxa" w:w="74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Keep PostgreSQL + web/API deployment on a reliable machine with at least 16 GB RAM and SSD storage.</w:t>
            </w:r>
          </w:p>
        </w:tc>
      </w:tr>
      <w:tr>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DGX Spark</w:t>
            </w:r>
          </w:p>
        </w:tc>
        <w:tc>
          <w:tcPr>
            <w:tcW w:type="dxa" w:w="74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Use as a separate local AI host or dedicated AI service node; connect over trusted 10 GbE or the lab network.</w:t>
            </w:r>
          </w:p>
        </w:tc>
      </w:tr>
      <w:tr>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Network</w:t>
            </w:r>
          </w:p>
        </w:tc>
        <w:tc>
          <w:tcPr>
            <w:tcW w:type="dxa" w:w="74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Use a private lab VLAN or VPN; do not expose model or database ports directly to the public internet.</w:t>
            </w:r>
          </w:p>
        </w:tc>
      </w:tr>
      <w:tr>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Storage</w:t>
            </w:r>
          </w:p>
        </w:tc>
        <w:tc>
          <w:tcPr>
            <w:tcW w:type="dxa" w:w="74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Use Spark NVMe for models and cache; use separate backup storage for PostgreSQL and original source folders.</w:t>
            </w:r>
          </w:p>
        </w:tc>
      </w:tr>
      <w:tr>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Power and uptime</w:t>
            </w:r>
          </w:p>
        </w:tc>
        <w:tc>
          <w:tcPr>
            <w:tcW w:type="dxa" w:w="74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Use a UPS and configure restart policies. Test recovery after power loss.</w:t>
            </w:r>
          </w:p>
        </w:tc>
      </w:tr>
      <w:tr>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Security</w:t>
            </w:r>
          </w:p>
        </w:tc>
        <w:tc>
          <w:tcPr>
            <w:tcW w:type="dxa" w:w="74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Keep model endpoints authenticated and internal. Restrict which Data Hub service account can call them.</w:t>
            </w:r>
          </w:p>
        </w:tc>
      </w:tr>
    </w:tbl>
    <w:p>
      <w:pPr>
        <w:pStyle w:val="Heading1"/>
        <w:keepNext/>
      </w:pPr>
      <w:r>
        <w:t>9. Decision</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9360"/>
      </w:tblGrid>
      <w:tr>
        <w:tc>
          <w:tcPr>
            <w:tcW w:type="dxa" w:w="9360"/>
            <w:tcW w:w="9360" w:type="dxa"/>
            <w:shd w:fill="E8F2EC"/>
            <w:tcMar>
              <w:top w:w="140" w:type="dxa"/>
              <w:start w:w="180" w:type="dxa"/>
              <w:bottom w:w="140" w:type="dxa"/>
              <w:end w:w="180" w:type="dxa"/>
            </w:tcMar>
          </w:tcPr>
          <w:p>
            <w:pPr>
              <w:spacing w:before="0" w:after="0" w:line="264" w:lineRule="auto"/>
            </w:pPr>
            <w:r>
              <w:rPr>
                <w:rFonts w:ascii="Calibri" w:hAnsi="Calibri"/>
                <w:b/>
                <w:i w:val="0"/>
                <w:color w:val="1F6B4A"/>
                <w:sz w:val="21"/>
              </w:rPr>
              <w:t xml:space="preserve">Recommended decision  </w:t>
            </w:r>
            <w:r>
              <w:rPr>
                <w:rFonts w:ascii="Calibri" w:hAnsi="Calibri"/>
                <w:b w:val="0"/>
                <w:i w:val="0"/>
                <w:color w:val="1F2937"/>
                <w:sz w:val="21"/>
              </w:rPr>
              <w:t>Proceed with DGX Spark as a second-stage addition if the lab expects frequent AI use, sensitive data that should not leave the machine, or a research program involving model evaluation. Do not purchase it solely to run the current folder-to-database workflow; the existing server already handles that job.</w:t>
            </w:r>
          </w:p>
        </w:tc>
      </w:tr>
    </w:tbl>
    <w:p>
      <w:pPr>
        <w:spacing w:after="40"/>
      </w:pPr>
    </w:p>
    <w:p>
      <w:pPr>
        <w:spacing w:before="0" w:after="120" w:line="264" w:lineRule="auto"/>
      </w:pPr>
      <w:r>
        <w:rPr>
          <w:rFonts w:ascii="Calibri" w:hAnsi="Calibri"/>
          <w:b w:val="0"/>
          <w:i w:val="0"/>
          <w:color w:val="000000"/>
          <w:sz w:val="22"/>
        </w:rPr>
        <w:t>Define 10–20 real lab tasks, run them through the current hosted workflow and a candidate local model, and compare accuracy, response time, privacy, reproducibility, and operating effort. Buy the Spark when the local advantages are material enough to justify the added service to maintain.</w:t>
      </w:r>
    </w:p>
    <w:p>
      <w:pPr>
        <w:pStyle w:val="Heading1"/>
        <w:keepNext/>
      </w:pPr>
      <w:r>
        <w:t>Appendix. Sources and assumptions</w:t>
      </w:r>
    </w:p>
    <w:p>
      <w:pPr>
        <w:spacing w:before="0" w:after="120" w:line="264" w:lineRule="auto"/>
      </w:pPr>
      <w:r>
        <w:rPr>
          <w:rFonts w:ascii="Calibri" w:hAnsi="Calibri"/>
          <w:b w:val="0"/>
          <w:i w:val="0"/>
          <w:color w:val="000000"/>
          <w:sz w:val="22"/>
        </w:rPr>
        <w:t>DGX Spark specifications and pricing are time-sensitive. Hardware facts were checked against NVIDIA documentation on July 28, 2026. The recommendation is an architectural judgment based on the current Research Data Hub implementation and should be validated with the lab’s actual data sensitivity, user count, and AI workload.</w:t>
      </w:r>
    </w:p>
    <w:p>
      <w:pPr>
        <w:spacing w:before="0" w:after="60" w:line="240" w:lineRule="auto"/>
      </w:pPr>
      <w:r>
        <w:rPr>
          <w:rFonts w:ascii="Calibri" w:hAnsi="Calibri"/>
          <w:b/>
          <w:i w:val="0"/>
          <w:color w:val="5B6573"/>
          <w:sz w:val="18"/>
        </w:rPr>
        <w:t xml:space="preserve">DGX Spark hardware overview: </w:t>
      </w:r>
      <w:r>
        <w:rPr>
          <w:rFonts w:ascii="Calibri" w:hAnsi="Calibri"/>
          <w:b w:val="0"/>
          <w:i w:val="0"/>
          <w:color w:val="2E74B5"/>
          <w:sz w:val="18"/>
        </w:rPr>
        <w:t>https://docs.nvidia.com/dgx/dgx-spark/hardware.html</w:t>
      </w:r>
    </w:p>
    <w:p>
      <w:pPr>
        <w:spacing w:before="0" w:after="60" w:line="240" w:lineRule="auto"/>
      </w:pPr>
      <w:r>
        <w:rPr>
          <w:rFonts w:ascii="Calibri" w:hAnsi="Calibri"/>
          <w:b/>
          <w:i w:val="0"/>
          <w:color w:val="5B6573"/>
          <w:sz w:val="18"/>
        </w:rPr>
        <w:t xml:space="preserve">DGX Spark system overview: </w:t>
      </w:r>
      <w:r>
        <w:rPr>
          <w:rFonts w:ascii="Calibri" w:hAnsi="Calibri"/>
          <w:b w:val="0"/>
          <w:i w:val="0"/>
          <w:color w:val="2E74B5"/>
          <w:sz w:val="18"/>
        </w:rPr>
        <w:t>https://docs.nvidia.com/dgx/dgx-spark/system-overview.html</w:t>
      </w:r>
    </w:p>
    <w:p>
      <w:pPr>
        <w:spacing w:before="0" w:after="60" w:line="240" w:lineRule="auto"/>
      </w:pPr>
      <w:r>
        <w:rPr>
          <w:rFonts w:ascii="Calibri" w:hAnsi="Calibri"/>
          <w:b/>
          <w:i w:val="0"/>
          <w:color w:val="5B6573"/>
          <w:sz w:val="18"/>
        </w:rPr>
        <w:t xml:space="preserve">NVIDIA Marketplace listing and displayed price: </w:t>
      </w:r>
      <w:r>
        <w:rPr>
          <w:rFonts w:ascii="Calibri" w:hAnsi="Calibri"/>
          <w:b w:val="0"/>
          <w:i w:val="0"/>
          <w:color w:val="2E74B5"/>
          <w:sz w:val="18"/>
        </w:rPr>
        <w:t>https://marketplace.nvidia.com/en-us/enterprise/personal-ai-supercomputers/dgx-spark/</w:t>
      </w:r>
    </w:p>
    <w:p>
      <w:pPr>
        <w:spacing w:before="0" w:after="60" w:line="240" w:lineRule="auto"/>
      </w:pPr>
      <w:r>
        <w:rPr>
          <w:rFonts w:ascii="Calibri" w:hAnsi="Calibri"/>
          <w:b/>
          <w:i w:val="0"/>
          <w:color w:val="5B6573"/>
          <w:sz w:val="18"/>
        </w:rPr>
        <w:t xml:space="preserve">Project deployment notes: </w:t>
      </w:r>
      <w:r>
        <w:rPr>
          <w:rFonts w:ascii="Calibri" w:hAnsi="Calibri"/>
          <w:b w:val="0"/>
          <w:i w:val="0"/>
          <w:color w:val="2E74B5"/>
          <w:sz w:val="18"/>
        </w:rPr>
        <w:t>SERVER_DEPLOY.md in the Research Data Hub project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5B6573"/>
        <w:sz w:val="17"/>
      </w:rPr>
      <w:t>Internal planning document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b/>
        <w:i w:val="0"/>
        <w:color w:val="5B6573"/>
        <w:sz w:val="17"/>
      </w:rPr>
      <w:t>RESEARCH DATA HUB  |  INFRASTRUCTURE DECISION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Data Hub + NVIDIA DGX Spark — Decision Brief</dc:title>
  <dc:subject>Comparison of current lab data system with adding DGX Spark</dc:subject>
  <dc:creator>Research Data Hub</dc:creator>
  <cp:keywords/>
  <dc:description>generated by python-docx</dc:description>
  <cp:lastModifiedBy/>
  <cp:revision>1</cp:revision>
  <dcterms:created xsi:type="dcterms:W3CDTF">2013-12-23T23:15:00Z</dcterms:created>
  <dcterms:modified xsi:type="dcterms:W3CDTF">2013-12-23T23:15:00Z</dcterms:modified>
  <cp:category/>
</cp:coreProperties>
</file>