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pPr>
      <w:r>
        <w:rPr>
          <w:rFonts w:ascii="Calibri" w:hAnsi="Calibri"/>
          <w:b/>
          <w:i w:val="0"/>
          <w:color w:val="2E74B5"/>
          <w:sz w:val="20"/>
        </w:rPr>
        <w:t>INFRASTRUCTURE DECISION BRIEF</w:t>
      </w:r>
    </w:p>
    <w:p>
      <w:pPr>
        <w:spacing w:before="0" w:after="80" w:line="240" w:lineRule="auto"/>
      </w:pPr>
      <w:r>
        <w:rPr>
          <w:rFonts w:ascii="Calibri" w:hAnsi="Calibri"/>
          <w:b/>
          <w:i w:val="0"/>
          <w:color w:val="0B2545"/>
          <w:sz w:val="50"/>
        </w:rPr>
        <w:t>Research Data Hub: System Options</w:t>
      </w:r>
    </w:p>
    <w:p>
      <w:pPr>
        <w:spacing w:before="0" w:after="300" w:line="252" w:lineRule="auto"/>
      </w:pPr>
      <w:r>
        <w:rPr>
          <w:rFonts w:ascii="Calibri" w:hAnsi="Calibri"/>
          <w:b w:val="0"/>
          <w:i w:val="0"/>
          <w:color w:val="5B6573"/>
          <w:sz w:val="27"/>
        </w:rPr>
        <w:t>Comparison of a Mac mini, Windows/NVIDIA desktop, DGX Spark, and the current lab-server approach</w:t>
      </w:r>
    </w:p>
    <w:p>
      <w:pPr>
        <w:spacing w:before="0" w:after="60" w:line="264" w:lineRule="auto"/>
      </w:pPr>
      <w:r>
        <w:rPr>
          <w:rFonts w:ascii="Calibri" w:hAnsi="Calibri"/>
          <w:b/>
          <w:i w:val="0"/>
          <w:color w:val="0B2545"/>
          <w:sz w:val="21"/>
        </w:rPr>
        <w:t xml:space="preserve">Prepared for: </w:t>
      </w:r>
      <w:r>
        <w:rPr>
          <w:rFonts w:ascii="Calibri" w:hAnsi="Calibri"/>
          <w:b w:val="0"/>
          <w:i w:val="0"/>
          <w:color w:val="333333"/>
          <w:sz w:val="21"/>
        </w:rPr>
        <w:t xml:space="preserve">Professor Eshan Dave and Jo Sias    </w:t>
      </w:r>
      <w:r>
        <w:rPr>
          <w:rFonts w:ascii="Calibri" w:hAnsi="Calibri"/>
          <w:b/>
          <w:i w:val="0"/>
          <w:color w:val="0B2545"/>
          <w:sz w:val="21"/>
        </w:rPr>
        <w:t xml:space="preserve">Prepared by: </w:t>
      </w:r>
      <w:r>
        <w:rPr>
          <w:rFonts w:ascii="Calibri" w:hAnsi="Calibri"/>
          <w:b w:val="0"/>
          <w:i w:val="0"/>
          <w:color w:val="333333"/>
          <w:sz w:val="21"/>
        </w:rPr>
        <w:t xml:space="preserve">Research Data Hub project team    </w:t>
      </w:r>
      <w:r>
        <w:rPr>
          <w:rFonts w:ascii="Calibri" w:hAnsi="Calibri"/>
          <w:b/>
          <w:i w:val="0"/>
          <w:color w:val="0B2545"/>
          <w:sz w:val="21"/>
        </w:rPr>
        <w:t xml:space="preserve">Date: </w:t>
      </w:r>
      <w:r>
        <w:rPr>
          <w:rFonts w:ascii="Calibri" w:hAnsi="Calibri"/>
          <w:b w:val="0"/>
          <w:i w:val="0"/>
          <w:color w:val="333333"/>
          <w:sz w:val="21"/>
        </w:rPr>
        <w:t>July 28, 2026</w:t>
      </w:r>
    </w:p>
    <w:p>
      <w:pPr>
        <w:spacing w:before="0" w:after="240" w:line="264" w:lineRule="auto"/>
      </w:pPr>
      <w:r>
        <w:rPr>
          <w:rFonts w:ascii="Calibri" w:hAnsi="Calibri"/>
          <w:b w:val="0"/>
          <w:i/>
          <w:color w:val="5B6573"/>
          <w:sz w:val="19"/>
        </w:rPr>
        <w:t>Purpose: support an informed decision about the lab machine that should host the research data system and, if desired, local AI models.</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9360"/>
      </w:tblGrid>
      <w:tr>
        <w:tc>
          <w:tcPr>
            <w:tcW w:type="dxa" w:w="9360"/>
            <w:tcW w:w="9360" w:type="dxa"/>
            <w:shd w:fill="E8F2EC"/>
            <w:tcMar>
              <w:top w:w="140" w:type="dxa"/>
              <w:start w:w="180" w:type="dxa"/>
              <w:bottom w:w="140" w:type="dxa"/>
              <w:end w:w="180" w:type="dxa"/>
            </w:tcMar>
          </w:tcPr>
          <w:p>
            <w:pPr>
              <w:spacing w:before="0" w:after="0" w:line="264" w:lineRule="auto"/>
            </w:pPr>
            <w:r>
              <w:rPr>
                <w:rFonts w:ascii="Calibri" w:hAnsi="Calibri"/>
                <w:b/>
                <w:i w:val="0"/>
                <w:color w:val="1F6B4A"/>
                <w:sz w:val="21"/>
              </w:rPr>
              <w:t xml:space="preserve">Decision in one sentence  </w:t>
            </w:r>
            <w:r>
              <w:rPr>
                <w:rFonts w:ascii="Calibri" w:hAnsi="Calibri"/>
                <w:b w:val="0"/>
                <w:i w:val="0"/>
                <w:color w:val="1F2937"/>
                <w:sz w:val="21"/>
              </w:rPr>
              <w:t>If the immediate need is reliable folder-to-database collaboration, choose the lowest-complexity server that meets storage and backup needs. If local AI is a strategic research capability, choose a Windows/NVIDIA desktop for flexibility and value, or DGX Spark for a compact, turnkey local-AI platform.</w:t>
            </w:r>
          </w:p>
        </w:tc>
      </w:tr>
    </w:tbl>
    <w:p>
      <w:pPr>
        <w:spacing w:after="40"/>
      </w:pPr>
    </w:p>
    <w:p>
      <w:pPr>
        <w:pStyle w:val="Heading1"/>
        <w:keepNext/>
      </w:pPr>
      <w:r>
        <w:t>1. Executive recommendation</w:t>
      </w:r>
    </w:p>
    <w:p>
      <w:pPr>
        <w:spacing w:before="0" w:after="120" w:line="264" w:lineRule="auto"/>
      </w:pPr>
      <w:r>
        <w:rPr>
          <w:rFonts w:ascii="Calibri" w:hAnsi="Calibri"/>
          <w:b w:val="0"/>
          <w:i w:val="0"/>
          <w:color w:val="000000"/>
          <w:sz w:val="22"/>
        </w:rPr>
        <w:t>The Research Data Hub and the AI compute system should be treated as related but separate decisions. The Data Hub needs dependable storage, PostgreSQL, backups, authentication, and browser access. A GPU system is only required if the lab wants to run AI models locally, keep sensitive data inside the lab, or support model evaluation and experimentation.</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2300"/>
        <w:gridCol w:w="2600"/>
        <w:gridCol w:w="4460"/>
      </w:tblGrid>
      <w:tr>
        <w:tc>
          <w:tcPr>
            <w:tcW w:type="dxa" w:w="3120"/>
            <w:tcW w:w="230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If the priority is…</w:t>
            </w:r>
          </w:p>
        </w:tc>
        <w:tc>
          <w:tcPr>
            <w:tcW w:type="dxa" w:w="3120"/>
            <w:tcW w:w="260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Recommended option</w:t>
            </w:r>
          </w:p>
        </w:tc>
        <w:tc>
          <w:tcPr>
            <w:tcW w:type="dxa" w:w="3120"/>
            <w:tcW w:w="446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Why</w:t>
            </w:r>
          </w:p>
        </w:tc>
      </w:tr>
      <w:tr>
        <w:tc>
          <w:tcPr>
            <w:tcW w:type="dxa" w:w="23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Lowest cost and simplest operation</w:t>
            </w:r>
          </w:p>
        </w:tc>
        <w:tc>
          <w:tcPr>
            <w:tcW w:type="dxa" w:w="26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Mac mini M4/M4 Pro</w:t>
            </w:r>
          </w:p>
        </w:tc>
        <w:tc>
          <w:tcPr>
            <w:tcW w:type="dxa" w:w="44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Quiet, compact, low power, and sufficient for the Data Hub and local data workflows.</w:t>
            </w:r>
          </w:p>
        </w:tc>
      </w:tr>
      <w:tr>
        <w:tc>
          <w:tcPr>
            <w:tcW w:type="dxa" w:w="23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Best balance for local AI and future flexibility</w:t>
            </w:r>
          </w:p>
        </w:tc>
        <w:tc>
          <w:tcPr>
            <w:tcW w:type="dxa" w:w="26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Windows desktop with NVIDIA GPU</w:t>
            </w:r>
          </w:p>
        </w:tc>
        <w:tc>
          <w:tcPr>
            <w:tcW w:type="dxa" w:w="44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CUDA compatibility, upgradeable memory/storage, and a broad local-AI software ecosystem.</w:t>
            </w:r>
          </w:p>
        </w:tc>
      </w:tr>
      <w:tr>
        <w:tc>
          <w:tcPr>
            <w:tcW w:type="dxa" w:w="23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Turnkey local AI and large unified memory</w:t>
            </w:r>
          </w:p>
        </w:tc>
        <w:tc>
          <w:tcPr>
            <w:tcW w:type="dxa" w:w="26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NVIDIA DGX Spark</w:t>
            </w:r>
          </w:p>
        </w:tc>
        <w:tc>
          <w:tcPr>
            <w:tcW w:type="dxa" w:w="44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Purpose-built local AI appliance with 128 GB unified memory and NVIDIA’s AI stack.</w:t>
            </w:r>
          </w:p>
        </w:tc>
      </w:tr>
      <w:tr>
        <w:tc>
          <w:tcPr>
            <w:tcW w:type="dxa" w:w="23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Proof of concept before purchase</w:t>
            </w:r>
          </w:p>
        </w:tc>
        <w:tc>
          <w:tcPr>
            <w:tcW w:type="dxa" w:w="26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Use current lab machine</w:t>
            </w:r>
          </w:p>
        </w:tc>
        <w:tc>
          <w:tcPr>
            <w:tcW w:type="dxa" w:w="44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Validate workflows, storage volume, user count, and AI tasks before committing capital.</w:t>
            </w:r>
          </w:p>
        </w:tc>
      </w:tr>
    </w:tbl>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9360"/>
      </w:tblGrid>
      <w:tr>
        <w:tc>
          <w:tcPr>
            <w:tcW w:type="dxa" w:w="9360"/>
            <w:tcW w:w="9360" w:type="dxa"/>
            <w:shd w:fill="F4F6F9"/>
            <w:tcMar>
              <w:top w:w="140" w:type="dxa"/>
              <w:start w:w="180" w:type="dxa"/>
              <w:bottom w:w="140" w:type="dxa"/>
              <w:end w:w="180" w:type="dxa"/>
            </w:tcMar>
          </w:tcPr>
          <w:p>
            <w:pPr>
              <w:spacing w:before="0" w:after="0" w:line="264" w:lineRule="auto"/>
            </w:pPr>
            <w:r>
              <w:rPr>
                <w:rFonts w:ascii="Calibri" w:hAnsi="Calibri"/>
                <w:b/>
                <w:i w:val="0"/>
                <w:color w:val="2E74B5"/>
                <w:sz w:val="21"/>
              </w:rPr>
              <w:t xml:space="preserve">My suggested path  </w:t>
            </w:r>
            <w:r>
              <w:rPr>
                <w:rFonts w:ascii="Calibri" w:hAnsi="Calibri"/>
                <w:b w:val="0"/>
                <w:i w:val="0"/>
                <w:color w:val="1F2937"/>
                <w:sz w:val="21"/>
              </w:rPr>
              <w:t>Start with the current system or a Mac mini as the reliable data host. Run a defined AI pilot on a Windows/NVIDIA desktop or DGX Spark. Purchase DGX Spark when privacy, model size, or local inference demand justifies its added cost and administration.</w:t>
            </w:r>
          </w:p>
        </w:tc>
      </w:tr>
    </w:tbl>
    <w:p>
      <w:pPr>
        <w:spacing w:after="40"/>
      </w:pPr>
    </w:p>
    <w:p>
      <w:pPr>
        <w:pStyle w:val="Heading1"/>
        <w:keepNext/>
      </w:pPr>
      <w:r>
        <w:t>2. What the system must do</w:t>
      </w:r>
    </w:p>
    <w:p>
      <w:pPr>
        <w:pStyle w:val="ListBullet"/>
        <w:spacing w:before="0" w:after="80" w:line="280" w:lineRule="auto"/>
      </w:pPr>
      <w:r>
        <w:rPr>
          <w:rFonts w:ascii="Calibri" w:hAnsi="Calibri"/>
          <w:b w:val="0"/>
          <w:i w:val="0"/>
          <w:color w:val="000000"/>
          <w:sz w:val="22"/>
        </w:rPr>
        <w:t>Allow researchers to select a folder of CSV and Excel files and create a project.</w:t>
      </w:r>
    </w:p>
    <w:p>
      <w:pPr>
        <w:pStyle w:val="ListBullet"/>
        <w:spacing w:before="0" w:after="80" w:line="280" w:lineRule="auto"/>
      </w:pPr>
      <w:r>
        <w:rPr>
          <w:rFonts w:ascii="Calibri" w:hAnsi="Calibri"/>
          <w:b w:val="0"/>
          <w:i w:val="0"/>
          <w:color w:val="000000"/>
          <w:sz w:val="22"/>
        </w:rPr>
        <w:t>Store structured data on the lab machine in PostgreSQL and keep project access controlled.</w:t>
      </w:r>
    </w:p>
    <w:p>
      <w:pPr>
        <w:pStyle w:val="ListBullet"/>
        <w:spacing w:before="0" w:after="80" w:line="280" w:lineRule="auto"/>
      </w:pPr>
      <w:r>
        <w:rPr>
          <w:rFonts w:ascii="Calibri" w:hAnsi="Calibri"/>
          <w:b w:val="0"/>
          <w:i w:val="0"/>
          <w:color w:val="000000"/>
          <w:sz w:val="22"/>
        </w:rPr>
        <w:t>Allow multiple lab users to browse, query, and export through a browser.</w:t>
      </w:r>
    </w:p>
    <w:p>
      <w:pPr>
        <w:pStyle w:val="ListBullet"/>
        <w:spacing w:before="0" w:after="80" w:line="280" w:lineRule="auto"/>
      </w:pPr>
      <w:r>
        <w:rPr>
          <w:rFonts w:ascii="Calibri" w:hAnsi="Calibri"/>
          <w:b w:val="0"/>
          <w:i w:val="0"/>
          <w:color w:val="000000"/>
          <w:sz w:val="22"/>
        </w:rPr>
        <w:t>Run reliably for long periods, with backups and recovery procedures.</w:t>
      </w:r>
    </w:p>
    <w:p>
      <w:pPr>
        <w:pStyle w:val="ListBullet"/>
        <w:spacing w:before="0" w:after="80" w:line="280" w:lineRule="auto"/>
      </w:pPr>
      <w:r>
        <w:rPr>
          <w:rFonts w:ascii="Calibri" w:hAnsi="Calibri"/>
          <w:b w:val="0"/>
          <w:i w:val="0"/>
          <w:color w:val="000000"/>
          <w:sz w:val="22"/>
        </w:rPr>
        <w:t>Optionally run local AI models for schema suggestions, natural-language search, data-quality explanations, or report drafting.</w:t>
      </w:r>
    </w:p>
    <w:p>
      <w:pPr>
        <w:spacing w:before="0" w:after="120" w:line="264" w:lineRule="auto"/>
      </w:pPr>
      <w:r>
        <w:rPr>
          <w:rFonts w:ascii="Calibri" w:hAnsi="Calibri"/>
          <w:b w:val="0"/>
          <w:i w:val="0"/>
          <w:color w:val="000000"/>
          <w:sz w:val="22"/>
        </w:rPr>
        <w:t>Important distinction: DGX Spark improves local AI capability; it does not replace the Data Hub’s project management, database, user accounts, or backups.</w:t>
      </w:r>
    </w:p>
    <w:p>
      <w:pPr>
        <w:pStyle w:val="Heading1"/>
        <w:keepNext/>
      </w:pPr>
      <w:r>
        <w:t>3. Options and estimated acquisition cost</w:t>
      </w:r>
    </w:p>
    <w:p>
      <w:pPr>
        <w:spacing w:before="0" w:after="120" w:line="264" w:lineRule="auto"/>
      </w:pPr>
      <w:r>
        <w:rPr>
          <w:rFonts w:ascii="Calibri" w:hAnsi="Calibri"/>
          <w:b w:val="0"/>
          <w:i/>
          <w:color w:val="5B6573"/>
          <w:sz w:val="19"/>
        </w:rPr>
        <w:t>The ranges below are planning estimates in U.S. dollars, before tax, shipping, institutional discounts, monitors, and labor. Prices change frequently; obtain current quotes before purchase.</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1500"/>
        <w:gridCol w:w="3300"/>
        <w:gridCol w:w="1900"/>
        <w:gridCol w:w="2660"/>
      </w:tblGrid>
      <w:tr>
        <w:tc>
          <w:tcPr>
            <w:tcW w:type="dxa" w:w="2340"/>
            <w:tcW w:w="150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7"/>
              </w:rPr>
              <w:t>Option</w:t>
            </w:r>
          </w:p>
        </w:tc>
        <w:tc>
          <w:tcPr>
            <w:tcW w:type="dxa" w:w="2340"/>
            <w:tcW w:w="330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7"/>
              </w:rPr>
              <w:t>Typical configuration</w:t>
            </w:r>
          </w:p>
        </w:tc>
        <w:tc>
          <w:tcPr>
            <w:tcW w:type="dxa" w:w="2340"/>
            <w:tcW w:w="190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7"/>
              </w:rPr>
              <w:t>Estimated upfront cost</w:t>
            </w:r>
          </w:p>
        </w:tc>
        <w:tc>
          <w:tcPr>
            <w:tcW w:type="dxa" w:w="2340"/>
            <w:tcW w:w="266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7"/>
              </w:rPr>
              <w:t>Best role</w:t>
            </w:r>
          </w:p>
        </w:tc>
      </w:tr>
      <w:tr>
        <w:tc>
          <w:tcPr>
            <w:tcW w:type="dxa" w:w="15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A. Existing lab machine</w:t>
            </w:r>
          </w:p>
        </w:tc>
        <w:tc>
          <w:tcPr>
            <w:tcW w:type="dxa" w:w="33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Current server/workstation + PostgreSQL + Docker + backup storage</w:t>
            </w:r>
          </w:p>
        </w:tc>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Incremental $300–$1,000 for backup drive/UPS/storage</w:t>
            </w:r>
          </w:p>
        </w:tc>
        <w:tc>
          <w:tcPr>
            <w:tcW w:type="dxa" w:w="26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Lowest-risk pilot and immediate deployment</w:t>
            </w:r>
          </w:p>
        </w:tc>
      </w:tr>
      <w:tr>
        <w:tc>
          <w:tcPr>
            <w:tcW w:type="dxa" w:w="15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B. Mac mini M4</w:t>
            </w:r>
          </w:p>
        </w:tc>
        <w:tc>
          <w:tcPr>
            <w:tcW w:type="dxa" w:w="33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M4, 24 GB unified memory, 512 GB–1 TB SSD; add external backup storage</w:t>
            </w:r>
          </w:p>
        </w:tc>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About $800–$1,800 total</w:t>
            </w:r>
          </w:p>
        </w:tc>
        <w:tc>
          <w:tcPr>
            <w:tcW w:type="dxa" w:w="26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Quiet Data Hub host; light local AI and data preparation</w:t>
            </w:r>
          </w:p>
        </w:tc>
      </w:tr>
      <w:tr>
        <w:tc>
          <w:tcPr>
            <w:tcW w:type="dxa" w:w="15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C. Mac mini M4 Pro</w:t>
            </w:r>
          </w:p>
        </w:tc>
        <w:tc>
          <w:tcPr>
            <w:tcW w:type="dxa" w:w="33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M4 Pro, 24–48 GB unified memory, 1 TB SSD; add backup storage/UPS</w:t>
            </w:r>
          </w:p>
        </w:tc>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About $1,500–$2,700 total</w:t>
            </w:r>
          </w:p>
        </w:tc>
        <w:tc>
          <w:tcPr>
            <w:tcW w:type="dxa" w:w="26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More capable Data Hub host and moderate local-model experimentation</w:t>
            </w:r>
          </w:p>
        </w:tc>
      </w:tr>
      <w:tr>
        <w:tc>
          <w:tcPr>
            <w:tcW w:type="dxa" w:w="15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D. Windows/NVIDIA desktop</w:t>
            </w:r>
          </w:p>
        </w:tc>
        <w:tc>
          <w:tcPr>
            <w:tcW w:type="dxa" w:w="33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Windows 11 Pro, 64 GB RAM, 2–4 TB NVMe, RTX 5080/5090, strong PSU/cooling</w:t>
            </w:r>
          </w:p>
        </w:tc>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About $3,500–$7,500 total</w:t>
            </w:r>
          </w:p>
        </w:tc>
        <w:tc>
          <w:tcPr>
            <w:tcW w:type="dxa" w:w="26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Best value for CUDA-based local AI and upgradeability</w:t>
            </w:r>
          </w:p>
        </w:tc>
      </w:tr>
      <w:tr>
        <w:tc>
          <w:tcPr>
            <w:tcW w:type="dxa" w:w="15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E. NVIDIA DGX Spark</w:t>
            </w:r>
          </w:p>
        </w:tc>
        <w:tc>
          <w:tcPr>
            <w:tcW w:type="dxa" w:w="33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GB10 Grace Blackwell, 128 GB unified memory, 4 TB NVMe; add backup/UPS/networking</w:t>
            </w:r>
          </w:p>
        </w:tc>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About $5,300–$6,500 total</w:t>
            </w:r>
          </w:p>
        </w:tc>
        <w:tc>
          <w:tcPr>
            <w:tcW w:type="dxa" w:w="266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Turnkey local AI appliance and model experimentation host</w:t>
            </w:r>
          </w:p>
        </w:tc>
      </w:tr>
    </w:tbl>
    <w:p>
      <w:pPr>
        <w:spacing w:before="0" w:after="120" w:line="264" w:lineRule="auto"/>
      </w:pPr>
      <w:r>
        <w:rPr>
          <w:rFonts w:ascii="Calibri" w:hAnsi="Calibri"/>
          <w:b w:val="0"/>
          <w:i/>
          <w:color w:val="5B6573"/>
          <w:sz w:val="18"/>
        </w:rPr>
        <w:t>Pricing anchors checked July 28, 2026: Apple lists Mac mini from $799 and M4 Pro models from $1,399; NVIDIA Marketplace displayed DGX Spark at $4,699; NVIDIA launched RTX 5090 at $1,999 MSRP, while a Dell RTX 5090 desktop configuration was listed around $5,630–$7,080 depending on memory and storage.</w:t>
      </w:r>
    </w:p>
    <w:p>
      <w:pPr>
        <w:pStyle w:val="Heading1"/>
        <w:keepNext/>
      </w:pPr>
      <w:r>
        <w:t>4. Detailed comparison</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1650"/>
        <w:gridCol w:w="1900"/>
        <w:gridCol w:w="2950"/>
        <w:gridCol w:w="2860"/>
      </w:tblGrid>
      <w:tr>
        <w:tc>
          <w:tcPr>
            <w:tcW w:type="dxa" w:w="2340"/>
            <w:tcW w:w="165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6"/>
              </w:rPr>
              <w:t>Decision area</w:t>
            </w:r>
          </w:p>
        </w:tc>
        <w:tc>
          <w:tcPr>
            <w:tcW w:type="dxa" w:w="2340"/>
            <w:tcW w:w="190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6"/>
              </w:rPr>
              <w:t>Mac mini</w:t>
            </w:r>
          </w:p>
        </w:tc>
        <w:tc>
          <w:tcPr>
            <w:tcW w:type="dxa" w:w="2340"/>
            <w:tcW w:w="295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6"/>
              </w:rPr>
              <w:t>Windows/NVIDIA desktop</w:t>
            </w:r>
          </w:p>
        </w:tc>
        <w:tc>
          <w:tcPr>
            <w:tcW w:type="dxa" w:w="2340"/>
            <w:tcW w:w="286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6"/>
              </w:rPr>
              <w:t>DGX Spark</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Data Hub / PostgreSQL</w:t>
            </w:r>
          </w:p>
        </w:tc>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Very good</w:t>
            </w:r>
          </w:p>
        </w:tc>
        <w:tc>
          <w:tcPr>
            <w:tcW w:type="dxa" w:w="29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Very good</w:t>
            </w:r>
          </w:p>
        </w:tc>
        <w:tc>
          <w:tcPr>
            <w:tcW w:type="dxa" w:w="286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Good, but still needs a disciplined server setup</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Local AI models</w:t>
            </w:r>
          </w:p>
        </w:tc>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Good for smaller/optimized models; Apple-silicon compatibility varies</w:t>
            </w:r>
          </w:p>
        </w:tc>
        <w:tc>
          <w:tcPr>
            <w:tcW w:type="dxa" w:w="29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Very good; strongest CUDA and upgrade path</w:t>
            </w:r>
          </w:p>
        </w:tc>
        <w:tc>
          <w:tcPr>
            <w:tcW w:type="dxa" w:w="286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Very good; designed for local AI and large unified memory</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Memory for larger models</w:t>
            </w:r>
          </w:p>
        </w:tc>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16–48 GB depending configuration</w:t>
            </w:r>
          </w:p>
        </w:tc>
        <w:tc>
          <w:tcPr>
            <w:tcW w:type="dxa" w:w="29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Usually 32–128 GB system RAM plus dedicated GPU VRAM</w:t>
            </w:r>
          </w:p>
        </w:tc>
        <w:tc>
          <w:tcPr>
            <w:tcW w:type="dxa" w:w="286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128 GB unified memory</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Software compatibility</w:t>
            </w:r>
          </w:p>
        </w:tc>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Best for macOS/Apple ecosystem; some AI tools need ports</w:t>
            </w:r>
          </w:p>
        </w:tc>
        <w:tc>
          <w:tcPr>
            <w:tcW w:type="dxa" w:w="29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Broadest AI tooling and CUDA support</w:t>
            </w:r>
          </w:p>
        </w:tc>
        <w:tc>
          <w:tcPr>
            <w:tcW w:type="dxa" w:w="286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NVIDIA stack is strong; Arm compatibility needs a pilot</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Noise / power</w:t>
            </w:r>
          </w:p>
        </w:tc>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Excellent for a lab office</w:t>
            </w:r>
          </w:p>
        </w:tc>
        <w:tc>
          <w:tcPr>
            <w:tcW w:type="dxa" w:w="29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Higher; depends on GPU and cooling</w:t>
            </w:r>
          </w:p>
        </w:tc>
        <w:tc>
          <w:tcPr>
            <w:tcW w:type="dxa" w:w="286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Compact and efficient; 240 W supply</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Upgradeability</w:t>
            </w:r>
          </w:p>
        </w:tc>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Limited after purchase</w:t>
            </w:r>
          </w:p>
        </w:tc>
        <w:tc>
          <w:tcPr>
            <w:tcW w:type="dxa" w:w="29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Strong; RAM/storage/GPU can be replaced or expanded</w:t>
            </w:r>
          </w:p>
        </w:tc>
        <w:tc>
          <w:tcPr>
            <w:tcW w:type="dxa" w:w="286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Limited; appliance-style system</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Multi-user AI concurrency</w:t>
            </w:r>
          </w:p>
        </w:tc>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Limited to moderate</w:t>
            </w:r>
          </w:p>
        </w:tc>
        <w:tc>
          <w:tcPr>
            <w:tcW w:type="dxa" w:w="29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Moderate to high depending GPU and workload</w:t>
            </w:r>
          </w:p>
        </w:tc>
        <w:tc>
          <w:tcPr>
            <w:tcW w:type="dxa" w:w="286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Moderate; one shared Spark can become a queue</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Operational complexity</w:t>
            </w:r>
          </w:p>
        </w:tc>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Low</w:t>
            </w:r>
          </w:p>
        </w:tc>
        <w:tc>
          <w:tcPr>
            <w:tcW w:type="dxa" w:w="29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Moderate</w:t>
            </w:r>
          </w:p>
        </w:tc>
        <w:tc>
          <w:tcPr>
            <w:tcW w:type="dxa" w:w="286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Moderate to high</w:t>
            </w:r>
          </w:p>
        </w:tc>
      </w:tr>
      <w:tr>
        <w:tc>
          <w:tcPr>
            <w:tcW w:type="dxa" w:w="16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Best reason to choose</w:t>
            </w:r>
          </w:p>
        </w:tc>
        <w:tc>
          <w:tcPr>
            <w:tcW w:type="dxa" w:w="190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Quiet, simple, affordable data host</w:t>
            </w:r>
          </w:p>
        </w:tc>
        <w:tc>
          <w:tcPr>
            <w:tcW w:type="dxa" w:w="295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Flexible local AI platform and best long-term experimentation value</w:t>
            </w:r>
          </w:p>
        </w:tc>
        <w:tc>
          <w:tcPr>
            <w:tcW w:type="dxa" w:w="2860"/>
            <w:tcMar>
              <w:top w:w="100" w:type="dxa"/>
              <w:start w:w="120" w:type="dxa"/>
              <w:bottom w:w="100" w:type="dxa"/>
              <w:end w:w="120" w:type="dxa"/>
            </w:tcMar>
            <w:vAlign w:val="center"/>
          </w:tcPr>
          <w:p>
            <w:pPr>
              <w:spacing w:before="0" w:after="0" w:line="252" w:lineRule="auto"/>
            </w:pPr>
            <w:r>
              <w:rPr>
                <w:rFonts w:ascii="Calibri" w:hAnsi="Calibri"/>
                <w:b w:val="0"/>
                <w:i w:val="0"/>
                <w:color w:val="1F2937"/>
                <w:sz w:val="16"/>
              </w:rPr>
              <w:t>Turnkey private AI with large unified memory</w:t>
            </w:r>
          </w:p>
        </w:tc>
      </w:tr>
    </w:tbl>
    <w:p>
      <w:pPr>
        <w:pStyle w:val="Heading1"/>
        <w:keepNext/>
      </w:pPr>
      <w:r>
        <w:t>5. Strengths and limitations</w:t>
      </w:r>
    </w:p>
    <w:p>
      <w:pPr>
        <w:pStyle w:val="Heading2"/>
        <w:keepNext/>
      </w:pPr>
      <w:r>
        <w:t>Mac mini</w:t>
      </w:r>
    </w:p>
    <w:p>
      <w:pPr>
        <w:pStyle w:val="ListBullet"/>
        <w:spacing w:before="0" w:after="80" w:line="280" w:lineRule="auto"/>
      </w:pPr>
      <w:r>
        <w:rPr>
          <w:rFonts w:ascii="Calibri" w:hAnsi="Calibri"/>
          <w:b w:val="0"/>
          <w:i w:val="0"/>
          <w:color w:val="000000"/>
          <w:sz w:val="22"/>
        </w:rPr>
        <w:t>Lowest power, quietest, and easiest to place in a lab office.</w:t>
      </w:r>
    </w:p>
    <w:p>
      <w:pPr>
        <w:pStyle w:val="ListBullet"/>
        <w:spacing w:before="0" w:after="80" w:line="280" w:lineRule="auto"/>
      </w:pPr>
      <w:r>
        <w:rPr>
          <w:rFonts w:ascii="Calibri" w:hAnsi="Calibri"/>
          <w:b w:val="0"/>
          <w:i w:val="0"/>
          <w:color w:val="000000"/>
          <w:sz w:val="22"/>
        </w:rPr>
        <w:t>Excellent fit for PostgreSQL, the web application, backups, and browser access.</w:t>
      </w:r>
    </w:p>
    <w:p>
      <w:pPr>
        <w:pStyle w:val="ListBullet"/>
        <w:spacing w:before="0" w:after="80" w:line="280" w:lineRule="auto"/>
      </w:pPr>
      <w:r>
        <w:rPr>
          <w:rFonts w:ascii="Calibri" w:hAnsi="Calibri"/>
          <w:b w:val="0"/>
          <w:i w:val="0"/>
          <w:color w:val="000000"/>
          <w:sz w:val="22"/>
        </w:rPr>
        <w:t>Apple unified memory can support local models, but model-serving software and performance should be tested for the specific model.</w:t>
      </w:r>
    </w:p>
    <w:p>
      <w:pPr>
        <w:pStyle w:val="ListBullet"/>
        <w:spacing w:before="0" w:after="80" w:line="280" w:lineRule="auto"/>
      </w:pPr>
      <w:r>
        <w:rPr>
          <w:rFonts w:ascii="Calibri" w:hAnsi="Calibri"/>
          <w:b w:val="0"/>
          <w:i w:val="0"/>
          <w:color w:val="000000"/>
          <w:sz w:val="22"/>
        </w:rPr>
        <w:t>Memory and storage are selected at purchase; later expansion is limited.</w:t>
      </w:r>
    </w:p>
    <w:p>
      <w:pPr>
        <w:pStyle w:val="Heading2"/>
        <w:keepNext/>
      </w:pPr>
      <w:r>
        <w:t>Windows desktop with NVIDIA GPU</w:t>
      </w:r>
    </w:p>
    <w:p>
      <w:pPr>
        <w:pStyle w:val="ListBullet"/>
        <w:spacing w:before="0" w:after="80" w:line="280" w:lineRule="auto"/>
      </w:pPr>
      <w:r>
        <w:rPr>
          <w:rFonts w:ascii="Calibri" w:hAnsi="Calibri"/>
          <w:b w:val="0"/>
          <w:i w:val="0"/>
          <w:color w:val="000000"/>
          <w:sz w:val="22"/>
        </w:rPr>
        <w:t>Best general-purpose platform for CUDA, PyTorch, model-serving tools, and future AI experiments.</w:t>
      </w:r>
    </w:p>
    <w:p>
      <w:pPr>
        <w:pStyle w:val="ListBullet"/>
        <w:spacing w:before="0" w:after="80" w:line="280" w:lineRule="auto"/>
      </w:pPr>
      <w:r>
        <w:rPr>
          <w:rFonts w:ascii="Calibri" w:hAnsi="Calibri"/>
          <w:b w:val="0"/>
          <w:i w:val="0"/>
          <w:color w:val="000000"/>
          <w:sz w:val="22"/>
        </w:rPr>
        <w:t>Can be configured as a strong Data Hub host and AI workstation in one machine, or the services can be separated.</w:t>
      </w:r>
    </w:p>
    <w:p>
      <w:pPr>
        <w:pStyle w:val="ListBullet"/>
        <w:spacing w:before="0" w:after="80" w:line="280" w:lineRule="auto"/>
      </w:pPr>
      <w:r>
        <w:rPr>
          <w:rFonts w:ascii="Calibri" w:hAnsi="Calibri"/>
          <w:b w:val="0"/>
          <w:i w:val="0"/>
          <w:color w:val="000000"/>
          <w:sz w:val="22"/>
        </w:rPr>
        <w:t>More heat, noise, power consumption, and maintenance than a Mac mini.</w:t>
      </w:r>
    </w:p>
    <w:p>
      <w:pPr>
        <w:pStyle w:val="ListBullet"/>
        <w:spacing w:before="0" w:after="80" w:line="280" w:lineRule="auto"/>
      </w:pPr>
      <w:r>
        <w:rPr>
          <w:rFonts w:ascii="Calibri" w:hAnsi="Calibri"/>
          <w:b w:val="0"/>
          <w:i w:val="0"/>
          <w:color w:val="000000"/>
          <w:sz w:val="22"/>
        </w:rPr>
        <w:t>A high-end configuration can approach or exceed DGX Spark pricing, especially with 64–128 GB RAM, multiple SSDs, and warranty support.</w:t>
      </w:r>
    </w:p>
    <w:p>
      <w:pPr>
        <w:pStyle w:val="Heading2"/>
        <w:keepNext/>
      </w:pPr>
      <w:r>
        <w:t>NVIDIA DGX Spark</w:t>
      </w:r>
    </w:p>
    <w:p>
      <w:pPr>
        <w:pStyle w:val="ListBullet"/>
        <w:spacing w:before="0" w:after="80" w:line="280" w:lineRule="auto"/>
      </w:pPr>
      <w:r>
        <w:rPr>
          <w:rFonts w:ascii="Calibri" w:hAnsi="Calibri"/>
          <w:b w:val="0"/>
          <w:i w:val="0"/>
          <w:color w:val="000000"/>
          <w:sz w:val="22"/>
        </w:rPr>
        <w:t>Purpose-built for local AI, with 128 GB coherent unified memory, 4 TB self-encrypting NVMe, 10 GbE, and a 240 W power supply according to NVIDIA.</w:t>
      </w:r>
    </w:p>
    <w:p>
      <w:pPr>
        <w:pStyle w:val="ListBullet"/>
        <w:spacing w:before="0" w:after="80" w:line="280" w:lineRule="auto"/>
      </w:pPr>
      <w:r>
        <w:rPr>
          <w:rFonts w:ascii="Calibri" w:hAnsi="Calibri"/>
          <w:b w:val="0"/>
          <w:i w:val="0"/>
          <w:color w:val="000000"/>
          <w:sz w:val="22"/>
        </w:rPr>
        <w:t>Compact and easier to deploy than a traditional GPU server.</w:t>
      </w:r>
    </w:p>
    <w:p>
      <w:pPr>
        <w:pStyle w:val="ListBullet"/>
        <w:spacing w:before="0" w:after="80" w:line="280" w:lineRule="auto"/>
      </w:pPr>
      <w:r>
        <w:rPr>
          <w:rFonts w:ascii="Calibri" w:hAnsi="Calibri"/>
          <w:b w:val="0"/>
          <w:i w:val="0"/>
          <w:color w:val="000000"/>
          <w:sz w:val="22"/>
        </w:rPr>
        <w:t>Not a complete research-data platform; PostgreSQL, backups, user access, and application operations still need to be managed.</w:t>
      </w:r>
    </w:p>
    <w:p>
      <w:pPr>
        <w:pStyle w:val="ListBullet"/>
        <w:spacing w:before="0" w:after="80" w:line="280" w:lineRule="auto"/>
      </w:pPr>
      <w:r>
        <w:rPr>
          <w:rFonts w:ascii="Calibri" w:hAnsi="Calibri"/>
          <w:b w:val="0"/>
          <w:i w:val="0"/>
          <w:color w:val="000000"/>
          <w:sz w:val="22"/>
        </w:rPr>
        <w:t>The Arm-based platform makes a controlled software pilot important before production adoption.</w:t>
      </w:r>
    </w:p>
    <w:p>
      <w:pPr>
        <w:pStyle w:val="Heading1"/>
        <w:keepNext/>
      </w:pPr>
      <w:r>
        <w:t>6. Privacy, “free models,” and total cost</w:t>
      </w:r>
    </w:p>
    <w:p>
      <w:pPr>
        <w:spacing w:before="0" w:after="120" w:line="264" w:lineRule="auto"/>
      </w:pPr>
      <w:r>
        <w:rPr>
          <w:rFonts w:ascii="Calibri" w:hAnsi="Calibri"/>
          <w:b w:val="0"/>
          <w:i w:val="0"/>
          <w:color w:val="000000"/>
          <w:sz w:val="22"/>
        </w:rPr>
        <w:t>Local models can reduce or eliminate per-request API charges and keep prompts/data inside the lab. However, model licensing still matters, and local operation has costs: hardware depreciation, power, model storage, updates, monitoring, support, and staff time. Local model quality may also be lower for some tasks than a hosted model, so the decision should be based on measured research outcomes rather than the word “free.”</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1800"/>
        <w:gridCol w:w="7560"/>
      </w:tblGrid>
      <w:tr>
        <w:tc>
          <w:tcPr>
            <w:tcW w:type="dxa" w:w="4680"/>
            <w:tcW w:w="180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Cost category</w:t>
            </w:r>
          </w:p>
        </w:tc>
        <w:tc>
          <w:tcPr>
            <w:tcW w:type="dxa" w:w="4680"/>
            <w:tcW w:w="756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What to include in the decision</w:t>
            </w:r>
          </w:p>
        </w:tc>
      </w:tr>
      <w:tr>
        <w:tc>
          <w:tcPr>
            <w:tcW w:type="dxa" w:w="18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Hardware</w:t>
            </w:r>
          </w:p>
        </w:tc>
        <w:tc>
          <w:tcPr>
            <w:tcW w:type="dxa" w:w="75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Computer, backup storage, UPS, networking, warranty, and replacement cycle.</w:t>
            </w:r>
          </w:p>
        </w:tc>
      </w:tr>
      <w:tr>
        <w:tc>
          <w:tcPr>
            <w:tcW w:type="dxa" w:w="18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Software</w:t>
            </w:r>
          </w:p>
        </w:tc>
        <w:tc>
          <w:tcPr>
            <w:tcW w:type="dxa" w:w="75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Operating-system support, model-serving stack, containers, security updates, and any commercial model license.</w:t>
            </w:r>
          </w:p>
        </w:tc>
      </w:tr>
      <w:tr>
        <w:tc>
          <w:tcPr>
            <w:tcW w:type="dxa" w:w="18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Operations</w:t>
            </w:r>
          </w:p>
        </w:tc>
        <w:tc>
          <w:tcPr>
            <w:tcW w:type="dxa" w:w="75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Setup, monitoring, backups, model updates, troubleshooting, and user support.</w:t>
            </w:r>
          </w:p>
        </w:tc>
      </w:tr>
      <w:tr>
        <w:tc>
          <w:tcPr>
            <w:tcW w:type="dxa" w:w="18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Research risk</w:t>
            </w:r>
          </w:p>
        </w:tc>
        <w:tc>
          <w:tcPr>
            <w:tcW w:type="dxa" w:w="75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Model accuracy, hallucinations, reproducibility, privacy controls, and whether outputs are acceptable for research use.</w:t>
            </w:r>
          </w:p>
        </w:tc>
      </w:tr>
      <w:tr>
        <w:tc>
          <w:tcPr>
            <w:tcW w:type="dxa" w:w="18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Opportunity cost</w:t>
            </w:r>
          </w:p>
        </w:tc>
        <w:tc>
          <w:tcPr>
            <w:tcW w:type="dxa" w:w="75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Time spent maintaining local AI versus using a hosted service for occasional tasks.</w:t>
            </w:r>
          </w:p>
        </w:tc>
      </w:tr>
    </w:tbl>
    <w:p>
      <w:pPr>
        <w:pStyle w:val="Heading1"/>
        <w:keepNext/>
      </w:pPr>
      <w:r>
        <w:t>7. Proposed architecture</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9360"/>
      </w:tblGrid>
      <w:tr>
        <w:tc>
          <w:tcPr>
            <w:tcW w:type="dxa" w:w="9360"/>
            <w:tcW w:w="9360" w:type="dxa"/>
            <w:shd w:fill="F4F6F9"/>
            <w:tcMar>
              <w:top w:w="140" w:type="dxa"/>
              <w:start w:w="180" w:type="dxa"/>
              <w:bottom w:w="140" w:type="dxa"/>
              <w:end w:w="180" w:type="dxa"/>
            </w:tcMar>
          </w:tcPr>
          <w:p>
            <w:pPr>
              <w:spacing w:before="0" w:after="0" w:line="264" w:lineRule="auto"/>
            </w:pPr>
            <w:r>
              <w:rPr>
                <w:rFonts w:ascii="Calibri" w:hAnsi="Calibri"/>
                <w:b/>
                <w:i w:val="0"/>
                <w:color w:val="2E74B5"/>
                <w:sz w:val="21"/>
              </w:rPr>
              <w:t xml:space="preserve">Recommended separation  </w:t>
            </w:r>
            <w:r>
              <w:rPr>
                <w:rFonts w:ascii="Calibri" w:hAnsi="Calibri"/>
                <w:b w:val="0"/>
                <w:i w:val="0"/>
                <w:color w:val="1F2937"/>
                <w:sz w:val="21"/>
              </w:rPr>
              <w:t>Keep Research Data Hub responsible for projects, permissions, PostgreSQL tables, queries, exports, and source metadata. Expose DGX Spark or a Windows GPU desktop as an internal AI service that the Data Hub calls only when an approved AI feature is used.</w:t>
            </w:r>
          </w:p>
        </w:tc>
      </w:tr>
    </w:tbl>
    <w:p>
      <w:pPr>
        <w:spacing w:after="40"/>
      </w:pPr>
    </w:p>
    <w:p>
      <w:pPr>
        <w:pStyle w:val="ListNumber"/>
        <w:spacing w:before="0" w:after="80" w:line="280" w:lineRule="auto"/>
      </w:pPr>
      <w:r>
        <w:rPr>
          <w:rFonts w:ascii="Calibri" w:hAnsi="Calibri"/>
          <w:b w:val="0"/>
          <w:i w:val="0"/>
          <w:color w:val="000000"/>
          <w:sz w:val="22"/>
        </w:rPr>
        <w:t>Researcher selects a folder in the Data Hub.</w:t>
      </w:r>
    </w:p>
    <w:p>
      <w:pPr>
        <w:pStyle w:val="ListNumber"/>
        <w:spacing w:before="0" w:after="80" w:line="280" w:lineRule="auto"/>
      </w:pPr>
      <w:r>
        <w:rPr>
          <w:rFonts w:ascii="Calibri" w:hAnsi="Calibri"/>
          <w:b w:val="0"/>
          <w:i w:val="0"/>
          <w:color w:val="000000"/>
          <w:sz w:val="22"/>
        </w:rPr>
        <w:t>Data Hub stores the imported tables in PostgreSQL on the lab machine.</w:t>
      </w:r>
    </w:p>
    <w:p>
      <w:pPr>
        <w:pStyle w:val="ListNumber"/>
        <w:spacing w:before="0" w:after="80" w:line="280" w:lineRule="auto"/>
      </w:pPr>
      <w:r>
        <w:rPr>
          <w:rFonts w:ascii="Calibri" w:hAnsi="Calibri"/>
          <w:b w:val="0"/>
          <w:i w:val="0"/>
          <w:color w:val="000000"/>
          <w:sz w:val="22"/>
        </w:rPr>
        <w:t>An approved AI feature sends only the required context to the local AI service.</w:t>
      </w:r>
    </w:p>
    <w:p>
      <w:pPr>
        <w:pStyle w:val="ListNumber"/>
        <w:spacing w:before="0" w:after="80" w:line="280" w:lineRule="auto"/>
      </w:pPr>
      <w:r>
        <w:rPr>
          <w:rFonts w:ascii="Calibri" w:hAnsi="Calibri"/>
          <w:b w:val="0"/>
          <w:i w:val="0"/>
          <w:color w:val="000000"/>
          <w:sz w:val="22"/>
        </w:rPr>
        <w:t>The AI service returns a response; the Data Hub records model/version and task details when reproducibility matters.</w:t>
      </w:r>
    </w:p>
    <w:p>
      <w:pPr>
        <w:pStyle w:val="ListNumber"/>
        <w:spacing w:before="0" w:after="80" w:line="280" w:lineRule="auto"/>
      </w:pPr>
      <w:r>
        <w:rPr>
          <w:rFonts w:ascii="Calibri" w:hAnsi="Calibri"/>
          <w:b w:val="0"/>
          <w:i w:val="0"/>
          <w:color w:val="000000"/>
          <w:sz w:val="22"/>
        </w:rPr>
        <w:t>If the AI service is offline, normal data access and querying continue.</w:t>
      </w:r>
    </w:p>
    <w:p>
      <w:pPr>
        <w:pStyle w:val="Heading1"/>
        <w:keepNext/>
      </w:pPr>
      <w:r>
        <w:t>8. Suggested evaluation plan</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1250"/>
        <w:gridCol w:w="4380"/>
        <w:gridCol w:w="3730"/>
      </w:tblGrid>
      <w:tr>
        <w:tc>
          <w:tcPr>
            <w:tcW w:type="dxa" w:w="3120"/>
            <w:tcW w:w="125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7"/>
              </w:rPr>
              <w:t>Step</w:t>
            </w:r>
          </w:p>
        </w:tc>
        <w:tc>
          <w:tcPr>
            <w:tcW w:type="dxa" w:w="3120"/>
            <w:tcW w:w="438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7"/>
              </w:rPr>
              <w:t>Action</w:t>
            </w:r>
          </w:p>
        </w:tc>
        <w:tc>
          <w:tcPr>
            <w:tcW w:type="dxa" w:w="3120"/>
            <w:tcW w:w="373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7"/>
              </w:rPr>
              <w:t>Decision evidence</w:t>
            </w:r>
          </w:p>
        </w:tc>
      </w:tr>
      <w:tr>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1. Baseline</w:t>
            </w:r>
          </w:p>
        </w:tc>
        <w:tc>
          <w:tcPr>
            <w:tcW w:type="dxa" w:w="438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Run the Data Hub on the current machine for representative folder sizes and user counts.</w:t>
            </w:r>
          </w:p>
        </w:tc>
        <w:tc>
          <w:tcPr>
            <w:tcW w:type="dxa" w:w="373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Import time, query time, storage growth, backup/restore time.</w:t>
            </w:r>
          </w:p>
        </w:tc>
      </w:tr>
      <w:tr>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2. Define AI tasks</w:t>
            </w:r>
          </w:p>
        </w:tc>
        <w:tc>
          <w:tcPr>
            <w:tcW w:type="dxa" w:w="438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Select 10–20 real tasks: schema suggestions, data dictionary help, search, quality explanations, or report drafting.</w:t>
            </w:r>
          </w:p>
        </w:tc>
        <w:tc>
          <w:tcPr>
            <w:tcW w:type="dxa" w:w="373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A shared test set with an agreed quality threshold.</w:t>
            </w:r>
          </w:p>
        </w:tc>
      </w:tr>
      <w:tr>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3. Pilot two candidates</w:t>
            </w:r>
          </w:p>
        </w:tc>
        <w:tc>
          <w:tcPr>
            <w:tcW w:type="dxa" w:w="438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Compare a Windows/NVIDIA desktop and DGX Spark, or borrow/rent access before purchase.</w:t>
            </w:r>
          </w:p>
        </w:tc>
        <w:tc>
          <w:tcPr>
            <w:tcW w:type="dxa" w:w="373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Accuracy, latency, concurrency, privacy, software effort, and model fit.</w:t>
            </w:r>
          </w:p>
        </w:tc>
      </w:tr>
      <w:tr>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4. Review with researchers</w:t>
            </w:r>
          </w:p>
        </w:tc>
        <w:tc>
          <w:tcPr>
            <w:tcW w:type="dxa" w:w="438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Have nontechnical users test the workflow without administrator assistance.</w:t>
            </w:r>
          </w:p>
        </w:tc>
        <w:tc>
          <w:tcPr>
            <w:tcW w:type="dxa" w:w="373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Usability, trust, and time saved.</w:t>
            </w:r>
          </w:p>
        </w:tc>
      </w:tr>
      <w:tr>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5. Decide and document</w:t>
            </w:r>
          </w:p>
        </w:tc>
        <w:tc>
          <w:tcPr>
            <w:tcW w:type="dxa" w:w="438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Choose a host, backup design, approved models, and support owner.</w:t>
            </w:r>
          </w:p>
        </w:tc>
        <w:tc>
          <w:tcPr>
            <w:tcW w:type="dxa" w:w="3730"/>
            <w:tcMar>
              <w:top w:w="100" w:type="dxa"/>
              <w:start w:w="120" w:type="dxa"/>
              <w:bottom w:w="100" w:type="dxa"/>
              <w:end w:w="120" w:type="dxa"/>
            </w:tcMar>
            <w:vAlign w:val="center"/>
          </w:tcPr>
          <w:p>
            <w:pPr>
              <w:spacing w:before="0" w:after="0" w:line="252" w:lineRule="auto"/>
            </w:pPr>
            <w:r>
              <w:rPr>
                <w:rFonts w:ascii="Calibri" w:hAnsi="Calibri"/>
                <w:b w:val="0"/>
                <w:i w:val="0"/>
                <w:color w:val="1F2937"/>
                <w:sz w:val="17"/>
              </w:rPr>
              <w:t>A written procurement and operations plan.</w:t>
            </w:r>
          </w:p>
        </w:tc>
      </w:tr>
    </w:tbl>
    <w:p>
      <w:pPr>
        <w:pStyle w:val="Heading1"/>
        <w:keepNext/>
      </w:pPr>
      <w:r>
        <w:t>9. Decision matrix</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1700"/>
        <w:gridCol w:w="1250"/>
        <w:gridCol w:w="1250"/>
        <w:gridCol w:w="1250"/>
        <w:gridCol w:w="1450"/>
        <w:gridCol w:w="2460"/>
      </w:tblGrid>
      <w:tr>
        <w:tc>
          <w:tcPr>
            <w:tcW w:type="dxa" w:w="1560"/>
            <w:tcW w:w="170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Option</w:t>
            </w:r>
          </w:p>
        </w:tc>
        <w:tc>
          <w:tcPr>
            <w:tcW w:type="dxa" w:w="1560"/>
            <w:tcW w:w="125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Data hosting</w:t>
            </w:r>
          </w:p>
        </w:tc>
        <w:tc>
          <w:tcPr>
            <w:tcW w:type="dxa" w:w="1560"/>
            <w:tcW w:w="125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Local AI</w:t>
            </w:r>
          </w:p>
        </w:tc>
        <w:tc>
          <w:tcPr>
            <w:tcW w:type="dxa" w:w="1560"/>
            <w:tcW w:w="125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Ease</w:t>
            </w:r>
          </w:p>
        </w:tc>
        <w:tc>
          <w:tcPr>
            <w:tcW w:type="dxa" w:w="1560"/>
            <w:tcW w:w="145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Cost efficiency</w:t>
            </w:r>
          </w:p>
        </w:tc>
        <w:tc>
          <w:tcPr>
            <w:tcW w:type="dxa" w:w="1560"/>
            <w:tcW w:w="2460" w:type="dxa"/>
            <w:shd w:fill="F2F4F7"/>
            <w:tcMar>
              <w:top w:w="100" w:type="dxa"/>
              <w:start w:w="120" w:type="dxa"/>
              <w:bottom w:w="100" w:type="dxa"/>
              <w:end w:w="120" w:type="dxa"/>
            </w:tcMar>
            <w:vAlign w:val="center"/>
          </w:tcPr>
          <w:p>
            <w:pPr>
              <w:spacing w:before="0" w:after="0" w:line="240" w:lineRule="auto"/>
            </w:pPr>
            <w:r>
              <w:rPr>
                <w:rFonts w:ascii="Calibri" w:hAnsi="Calibri"/>
                <w:b/>
                <w:i w:val="0"/>
                <w:color w:val="0B2545"/>
                <w:sz w:val="18"/>
              </w:rPr>
              <w:t>Overall fit</w:t>
            </w:r>
          </w:p>
        </w:tc>
      </w:tr>
      <w:tr>
        <w:tc>
          <w:tcPr>
            <w:tcW w:type="dxa" w:w="17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Existing machine</w:t>
            </w:r>
          </w:p>
        </w:tc>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5/5</w:t>
            </w:r>
          </w:p>
        </w:tc>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2/5</w:t>
            </w:r>
          </w:p>
        </w:tc>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4/5</w:t>
            </w:r>
          </w:p>
        </w:tc>
        <w:tc>
          <w:tcPr>
            <w:tcW w:type="dxa" w:w="14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5/5</w:t>
            </w:r>
          </w:p>
        </w:tc>
        <w:tc>
          <w:tcPr>
            <w:tcW w:type="dxa" w:w="24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Best immediate pilot</w:t>
            </w:r>
          </w:p>
        </w:tc>
      </w:tr>
      <w:tr>
        <w:tc>
          <w:tcPr>
            <w:tcW w:type="dxa" w:w="17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Mac mini M4/M4 Pro</w:t>
            </w:r>
          </w:p>
        </w:tc>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5/5</w:t>
            </w:r>
          </w:p>
        </w:tc>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3/5</w:t>
            </w:r>
          </w:p>
        </w:tc>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5/5</w:t>
            </w:r>
          </w:p>
        </w:tc>
        <w:tc>
          <w:tcPr>
            <w:tcW w:type="dxa" w:w="14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5/5</w:t>
            </w:r>
          </w:p>
        </w:tc>
        <w:tc>
          <w:tcPr>
            <w:tcW w:type="dxa" w:w="24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Best simple data host</w:t>
            </w:r>
          </w:p>
        </w:tc>
      </w:tr>
      <w:tr>
        <w:tc>
          <w:tcPr>
            <w:tcW w:type="dxa" w:w="17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Windows + NVIDIA</w:t>
            </w:r>
          </w:p>
        </w:tc>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5/5</w:t>
            </w:r>
          </w:p>
        </w:tc>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5/5</w:t>
            </w:r>
          </w:p>
        </w:tc>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3/5</w:t>
            </w:r>
          </w:p>
        </w:tc>
        <w:tc>
          <w:tcPr>
            <w:tcW w:type="dxa" w:w="14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4/5</w:t>
            </w:r>
          </w:p>
        </w:tc>
        <w:tc>
          <w:tcPr>
            <w:tcW w:type="dxa" w:w="24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Best flexible AI platform</w:t>
            </w:r>
          </w:p>
        </w:tc>
      </w:tr>
      <w:tr>
        <w:tc>
          <w:tcPr>
            <w:tcW w:type="dxa" w:w="170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DGX Spark</w:t>
            </w:r>
          </w:p>
        </w:tc>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4/5</w:t>
            </w:r>
          </w:p>
        </w:tc>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5/5</w:t>
            </w:r>
          </w:p>
        </w:tc>
        <w:tc>
          <w:tcPr>
            <w:tcW w:type="dxa" w:w="12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4/5</w:t>
            </w:r>
          </w:p>
        </w:tc>
        <w:tc>
          <w:tcPr>
            <w:tcW w:type="dxa" w:w="145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3/5</w:t>
            </w:r>
          </w:p>
        </w:tc>
        <w:tc>
          <w:tcPr>
            <w:tcW w:type="dxa" w:w="2460"/>
            <w:tcMar>
              <w:top w:w="100" w:type="dxa"/>
              <w:start w:w="120" w:type="dxa"/>
              <w:bottom w:w="100" w:type="dxa"/>
              <w:end w:w="120" w:type="dxa"/>
            </w:tcMar>
            <w:vAlign w:val="center"/>
          </w:tcPr>
          <w:p>
            <w:pPr>
              <w:spacing w:before="0" w:after="0" w:line="252" w:lineRule="auto"/>
            </w:pPr>
            <w:r>
              <w:rPr>
                <w:rFonts w:ascii="Calibri" w:hAnsi="Calibri"/>
                <w:b w:val="0"/>
                <w:i w:val="0"/>
                <w:color w:val="1F2937"/>
                <w:sz w:val="18"/>
              </w:rPr>
              <w:t>Best turnkey local AI</w:t>
            </w:r>
          </w:p>
        </w:tc>
      </w:tr>
    </w:tbl>
    <w:p>
      <w:pPr>
        <w:spacing w:before="0" w:after="120" w:line="264" w:lineRule="auto"/>
      </w:pPr>
      <w:r>
        <w:rPr>
          <w:rFonts w:ascii="Calibri" w:hAnsi="Calibri"/>
          <w:b w:val="0"/>
          <w:i/>
          <w:color w:val="5B6573"/>
          <w:sz w:val="18"/>
        </w:rPr>
        <w:t>Scores are relative judgments for this project, not benchmark results. The final decision should use the evaluation plan above.</w:t>
      </w:r>
    </w:p>
    <w:p>
      <w:pPr>
        <w:pStyle w:val="Heading1"/>
        <w:keepNext/>
      </w:pPr>
      <w:r>
        <w:t>10. Requested decision</w:t>
      </w:r>
    </w:p>
    <w:tbl>
      <w:tblPr>
        <w:tblW w:type="auto" w:w="0"/>
        <w:jc w:val="left"/>
        <w:tblLayout w:type="fixed"/>
        <w:tblLook w:firstColumn="1" w:firstRow="1" w:lastColumn="0" w:lastRow="0" w:noHBand="0" w:noVBand="1" w:val="04A0"/>
        <w:tblBorders>
          <w:top w:val="single" w:sz="6" w:color="D9E0E8"/>
          <w:left w:val="single" w:sz="6" w:color="D9E0E8"/>
          <w:bottom w:val="single" w:sz="6" w:color="D9E0E8"/>
          <w:right w:val="single" w:sz="6" w:color="D9E0E8"/>
          <w:insideH w:val="single" w:sz="6" w:color="D9E0E8"/>
          <w:insideV w:val="single" w:sz="6" w:color="D9E0E8"/>
        </w:tblBorders>
      </w:tblPr>
      <w:tblGrid>
        <w:gridCol w:w="9360"/>
      </w:tblGrid>
      <w:tr>
        <w:tc>
          <w:tcPr>
            <w:tcW w:type="dxa" w:w="9360"/>
            <w:tcW w:w="9360" w:type="dxa"/>
            <w:shd w:fill="E8F2EC"/>
            <w:tcMar>
              <w:top w:w="140" w:type="dxa"/>
              <w:start w:w="180" w:type="dxa"/>
              <w:bottom w:w="140" w:type="dxa"/>
              <w:end w:w="180" w:type="dxa"/>
            </w:tcMar>
          </w:tcPr>
          <w:p>
            <w:pPr>
              <w:spacing w:before="0" w:after="0" w:line="264" w:lineRule="auto"/>
            </w:pPr>
            <w:r>
              <w:rPr>
                <w:rFonts w:ascii="Calibri" w:hAnsi="Calibri"/>
                <w:b/>
                <w:i w:val="0"/>
                <w:color w:val="1F6B4A"/>
                <w:sz w:val="21"/>
              </w:rPr>
              <w:t xml:space="preserve">Recommended approval request  </w:t>
            </w:r>
            <w:r>
              <w:rPr>
                <w:rFonts w:ascii="Calibri" w:hAnsi="Calibri"/>
                <w:b w:val="0"/>
                <w:i w:val="0"/>
                <w:color w:val="1F2937"/>
                <w:sz w:val="21"/>
              </w:rPr>
              <w:t>Approve a short, measured pilot before purchasing a high-cost AI system. If the lab wants one machine now, select a Mac mini M4 Pro for the Data Hub and ordinary local workflows; select a Windows/NVIDIA desktop instead if local AI is an immediate research requirement. Select DGX Spark when the group values turnkey local AI, large unified memory, and privacy enough to justify its higher acquisition and support cost.</w:t>
            </w:r>
          </w:p>
        </w:tc>
      </w:tr>
    </w:tbl>
    <w:p>
      <w:pPr>
        <w:spacing w:after="40"/>
      </w:pPr>
    </w:p>
    <w:p>
      <w:pPr>
        <w:spacing w:before="0" w:after="120" w:line="264" w:lineRule="auto"/>
      </w:pPr>
      <w:r>
        <w:rPr>
          <w:rFonts w:ascii="Calibri" w:hAnsi="Calibri"/>
          <w:b w:val="0"/>
          <w:i w:val="0"/>
          <w:color w:val="000000"/>
          <w:sz w:val="22"/>
        </w:rPr>
        <w:t>The proposed approach avoids locking the research group into one hardware choice: the Data Hub remains the stable system of record, while the local AI service can be upgraded or replaced as models and lab needs change.</w:t>
      </w:r>
    </w:p>
    <w:p>
      <w:pPr>
        <w:pStyle w:val="Heading1"/>
        <w:keepNext/>
      </w:pPr>
      <w:r>
        <w:t>Appendix. Sources and assumptions</w:t>
      </w:r>
    </w:p>
    <w:p>
      <w:pPr>
        <w:spacing w:before="0" w:after="120" w:line="264" w:lineRule="auto"/>
      </w:pPr>
      <w:r>
        <w:rPr>
          <w:rFonts w:ascii="Calibri" w:hAnsi="Calibri"/>
          <w:b w:val="0"/>
          <w:i w:val="0"/>
          <w:color w:val="000000"/>
          <w:sz w:val="22"/>
        </w:rPr>
        <w:t>Prices are U.S. planning figures checked July 28, 2026 and may change. Institutional, education, tax, warranty, and reseller pricing may differ. Windows desktop pricing uses a current Dell RTX 5090 configuration as a reference point, not as a required vendor selection.</w:t>
      </w:r>
    </w:p>
    <w:p>
      <w:pPr>
        <w:spacing w:before="0" w:after="60" w:line="240" w:lineRule="auto"/>
      </w:pPr>
      <w:r>
        <w:rPr>
          <w:rFonts w:ascii="Calibri" w:hAnsi="Calibri"/>
          <w:b/>
          <w:i w:val="0"/>
          <w:color w:val="5B6573"/>
          <w:sz w:val="18"/>
        </w:rPr>
        <w:t xml:space="preserve">Apple Mac mini technical specifications: </w:t>
      </w:r>
      <w:r>
        <w:rPr>
          <w:rFonts w:ascii="Calibri" w:hAnsi="Calibri"/>
          <w:b w:val="0"/>
          <w:i w:val="0"/>
          <w:color w:val="2E74B5"/>
          <w:sz w:val="18"/>
        </w:rPr>
        <w:t>https://www.apple.com/mac-mini/specs/</w:t>
      </w:r>
    </w:p>
    <w:p>
      <w:pPr>
        <w:spacing w:before="0" w:after="60" w:line="240" w:lineRule="auto"/>
      </w:pPr>
      <w:r>
        <w:rPr>
          <w:rFonts w:ascii="Calibri" w:hAnsi="Calibri"/>
          <w:b/>
          <w:i w:val="0"/>
          <w:color w:val="5B6573"/>
          <w:sz w:val="18"/>
        </w:rPr>
        <w:t xml:space="preserve">Apple Mac mini purchase page: </w:t>
      </w:r>
      <w:r>
        <w:rPr>
          <w:rFonts w:ascii="Calibri" w:hAnsi="Calibri"/>
          <w:b w:val="0"/>
          <w:i w:val="0"/>
          <w:color w:val="2E74B5"/>
          <w:sz w:val="18"/>
        </w:rPr>
        <w:t>https://www.apple.com/shop/buy-mac/mac-mini</w:t>
      </w:r>
    </w:p>
    <w:p>
      <w:pPr>
        <w:spacing w:before="0" w:after="60" w:line="240" w:lineRule="auto"/>
      </w:pPr>
      <w:r>
        <w:rPr>
          <w:rFonts w:ascii="Calibri" w:hAnsi="Calibri"/>
          <w:b/>
          <w:i w:val="0"/>
          <w:color w:val="5B6573"/>
          <w:sz w:val="18"/>
        </w:rPr>
        <w:t xml:space="preserve">NVIDIA DGX Spark specifications: </w:t>
      </w:r>
      <w:r>
        <w:rPr>
          <w:rFonts w:ascii="Calibri" w:hAnsi="Calibri"/>
          <w:b w:val="0"/>
          <w:i w:val="0"/>
          <w:color w:val="2E74B5"/>
          <w:sz w:val="18"/>
        </w:rPr>
        <w:t>https://docs.nvidia.com/dgx/dgx-spark/hardware.html</w:t>
      </w:r>
    </w:p>
    <w:p>
      <w:pPr>
        <w:spacing w:before="0" w:after="60" w:line="240" w:lineRule="auto"/>
      </w:pPr>
      <w:r>
        <w:rPr>
          <w:rFonts w:ascii="Calibri" w:hAnsi="Calibri"/>
          <w:b/>
          <w:i w:val="0"/>
          <w:color w:val="5B6573"/>
          <w:sz w:val="18"/>
        </w:rPr>
        <w:t xml:space="preserve">NVIDIA DGX Spark Marketplace listing: </w:t>
      </w:r>
      <w:r>
        <w:rPr>
          <w:rFonts w:ascii="Calibri" w:hAnsi="Calibri"/>
          <w:b w:val="0"/>
          <w:i w:val="0"/>
          <w:color w:val="2E74B5"/>
          <w:sz w:val="18"/>
        </w:rPr>
        <w:t>https://marketplace.nvidia.com/en-us/enterprise/personal-ai-supercomputers/dgx-spark/</w:t>
      </w:r>
    </w:p>
    <w:p>
      <w:pPr>
        <w:spacing w:before="0" w:after="60" w:line="240" w:lineRule="auto"/>
      </w:pPr>
      <w:r>
        <w:rPr>
          <w:rFonts w:ascii="Calibri" w:hAnsi="Calibri"/>
          <w:b/>
          <w:i w:val="0"/>
          <w:color w:val="5B6573"/>
          <w:sz w:val="18"/>
        </w:rPr>
        <w:t xml:space="preserve">NVIDIA RTX 5090 launch MSRP: </w:t>
      </w:r>
      <w:r>
        <w:rPr>
          <w:rFonts w:ascii="Calibri" w:hAnsi="Calibri"/>
          <w:b w:val="0"/>
          <w:i w:val="0"/>
          <w:color w:val="2E74B5"/>
          <w:sz w:val="18"/>
        </w:rPr>
        <w:t>https://www.nvidia.com/en-us/geforce/news/rtx-50-series-graphics-cards-gpu-laptop-announcements/</w:t>
      </w:r>
    </w:p>
    <w:p>
      <w:pPr>
        <w:spacing w:before="0" w:after="60" w:line="240" w:lineRule="auto"/>
      </w:pPr>
      <w:r>
        <w:rPr>
          <w:rFonts w:ascii="Calibri" w:hAnsi="Calibri"/>
          <w:b/>
          <w:i w:val="0"/>
          <w:color w:val="5B6573"/>
          <w:sz w:val="18"/>
        </w:rPr>
        <w:t xml:space="preserve">Dell RTX 5090 desktop reference: </w:t>
      </w:r>
      <w:r>
        <w:rPr>
          <w:rFonts w:ascii="Calibri" w:hAnsi="Calibri"/>
          <w:b w:val="0"/>
          <w:i w:val="0"/>
          <w:color w:val="2E74B5"/>
          <w:sz w:val="18"/>
        </w:rPr>
        <w:t>https://www.dell.com/en-us/shop/desktop-computers/alienware-area-51-gaming-desktop/spd/alienware-area-51-aat2250-gaming-desktop/useaat2250wcto11</w:t>
      </w:r>
    </w:p>
    <w:p>
      <w:pPr>
        <w:spacing w:before="0" w:after="60" w:line="240" w:lineRule="auto"/>
      </w:pPr>
      <w:r>
        <w:rPr>
          <w:rFonts w:ascii="Calibri" w:hAnsi="Calibri"/>
          <w:b/>
          <w:i w:val="0"/>
          <w:color w:val="5B6573"/>
          <w:sz w:val="18"/>
        </w:rPr>
        <w:t xml:space="preserve">Project deployment notes: </w:t>
      </w:r>
      <w:r>
        <w:rPr>
          <w:rFonts w:ascii="Calibri" w:hAnsi="Calibri"/>
          <w:b w:val="0"/>
          <w:i w:val="0"/>
          <w:color w:val="2E74B5"/>
          <w:sz w:val="18"/>
        </w:rPr>
        <w:t>SERVER_DEPLOY.md in the Research Data Hub project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B6573"/>
        <w:sz w:val="17"/>
      </w:rPr>
      <w:t>Prepared for Professor Eshan Dave and Jo Sias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i w:val="0"/>
        <w:color w:val="5B6573"/>
        <w:sz w:val="17"/>
      </w:rPr>
      <w:t>RESEARCH DATA HUB  |  SYSTEM OPTIONS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Data Hub: System Options for Professor Eshan Dave and Jo Sias</dc:title>
  <dc:subject>Comparison of Mac mini, Windows/NVIDIA desktop, DGX Spark, and current lab server</dc:subject>
  <dc:creator>Research Data Hub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