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64"/>
        </w:rPr>
        <w:t>ANNUAL SALES PERFORMANCE</w:t>
        <w:br/>
        <w:t>REPORT 2024</w:t>
      </w:r>
    </w:p>
    <w:p>
      <w:pPr>
        <w:spacing w:before="160" w:after="80"/>
        <w:jc w:val="center"/>
      </w:pPr>
      <w:r>
        <w:rPr>
          <w:rFonts w:ascii="Calibri" w:hAnsi="Calibri"/>
          <w:b w:val="0"/>
          <w:i w:val="0"/>
          <w:color w:val="2F5496"/>
          <w:sz w:val="32"/>
        </w:rPr>
        <w:t>Consolidated Regional Sales Analysis &amp; Strategic Insights</w:t>
      </w:r>
    </w:p>
    <w:p>
      <w:pPr>
        <w:spacing w:before="120" w:after="120"/>
        <w:pBdr>
          <w:bottom w:val="single" w:sz="6" w:space="1" w:color="2F5496"/>
        </w:pBdr>
      </w:pPr>
    </w:p>
    <w:p>
      <w:pPr>
        <w:spacing w:before="240" w:after="120"/>
        <w:jc w:val="center"/>
      </w:pPr>
      <w:r>
        <w:rPr>
          <w:rFonts w:ascii="Calibri" w:hAnsi="Calibri"/>
          <w:b w:val="0"/>
          <w:i w:val="0"/>
          <w:color w:val="666666"/>
          <w:sz w:val="22"/>
        </w:rPr>
        <w:t>Prepared: June 13, 2026</w:t>
      </w:r>
    </w:p>
    <w:p>
      <w:pPr>
        <w:spacing w:before="0" w:after="120"/>
        <w:jc w:val="center"/>
      </w:pPr>
      <w:r>
        <w:rPr>
          <w:rFonts w:ascii="Calibri" w:hAnsi="Calibri"/>
          <w:b w:val="0"/>
          <w:i/>
          <w:color w:val="999999"/>
          <w:sz w:val="20"/>
        </w:rPr>
        <w:t>Confidential — For Management Use Only</w:t>
      </w:r>
    </w:p>
    <w:p>
      <w:r>
        <w:br w:type="page"/>
      </w:r>
    </w:p>
    <w:p>
      <w:pPr>
        <w:pStyle w:val="Heading1"/>
      </w:pPr>
      <w:r>
        <w:t>Table of Contents</w:t>
      </w:r>
    </w:p>
    <w:p>
      <w:pPr>
        <w:tabs>
          <w:tab w:pos="8352" w:val="right"/>
        </w:tabs>
        <w:spacing w:after="80"/>
      </w:pPr>
      <w:r>
        <w:rPr>
          <w:rFonts w:ascii="Calibri" w:hAnsi="Calibri"/>
          <w:color w:val="2F5496"/>
          <w:sz w:val="24"/>
        </w:rPr>
        <w:t>1.  Executive Summary</w:t>
      </w:r>
    </w:p>
    <w:p>
      <w:pPr>
        <w:tabs>
          <w:tab w:pos="8352" w:val="right"/>
        </w:tabs>
        <w:spacing w:after="80"/>
      </w:pPr>
      <w:r>
        <w:rPr>
          <w:rFonts w:ascii="Calibri" w:hAnsi="Calibri"/>
          <w:color w:val="2F5496"/>
          <w:sz w:val="24"/>
        </w:rPr>
        <w:t>2.  Regional Sales Overview</w:t>
      </w:r>
    </w:p>
    <w:p>
      <w:pPr>
        <w:tabs>
          <w:tab w:pos="8352" w:val="right"/>
        </w:tabs>
        <w:spacing w:after="80"/>
      </w:pPr>
      <w:r>
        <w:rPr>
          <w:rFonts w:ascii="Calibri" w:hAnsi="Calibri"/>
          <w:color w:val="2F5496"/>
          <w:sz w:val="24"/>
        </w:rPr>
        <w:t>3.  North Region Analysis</w:t>
      </w:r>
    </w:p>
    <w:p>
      <w:pPr>
        <w:tabs>
          <w:tab w:pos="8352" w:val="right"/>
        </w:tabs>
        <w:spacing w:after="80"/>
      </w:pPr>
      <w:r>
        <w:rPr>
          <w:rFonts w:ascii="Calibri" w:hAnsi="Calibri"/>
          <w:color w:val="2F5496"/>
          <w:sz w:val="24"/>
        </w:rPr>
        <w:t>4.  South Region Analysis</w:t>
      </w:r>
    </w:p>
    <w:p>
      <w:pPr>
        <w:tabs>
          <w:tab w:pos="8352" w:val="right"/>
        </w:tabs>
        <w:spacing w:after="80"/>
      </w:pPr>
      <w:r>
        <w:rPr>
          <w:rFonts w:ascii="Calibri" w:hAnsi="Calibri"/>
          <w:color w:val="2F5496"/>
          <w:sz w:val="24"/>
        </w:rPr>
        <w:t>5.  East Region Analysis</w:t>
      </w:r>
    </w:p>
    <w:p>
      <w:pPr>
        <w:tabs>
          <w:tab w:pos="8352" w:val="right"/>
        </w:tabs>
        <w:spacing w:after="80"/>
      </w:pPr>
      <w:r>
        <w:rPr>
          <w:rFonts w:ascii="Calibri" w:hAnsi="Calibri"/>
          <w:color w:val="2F5496"/>
          <w:sz w:val="24"/>
        </w:rPr>
        <w:t>6.  West Region Analysis</w:t>
      </w:r>
    </w:p>
    <w:p>
      <w:pPr>
        <w:tabs>
          <w:tab w:pos="8352" w:val="right"/>
        </w:tabs>
        <w:spacing w:after="80"/>
      </w:pPr>
      <w:r>
        <w:rPr>
          <w:rFonts w:ascii="Calibri" w:hAnsi="Calibri"/>
          <w:color w:val="2F5496"/>
          <w:sz w:val="24"/>
        </w:rPr>
        <w:t>7.  Central Region Analysis</w:t>
      </w:r>
    </w:p>
    <w:p>
      <w:pPr>
        <w:tabs>
          <w:tab w:pos="8352" w:val="right"/>
        </w:tabs>
        <w:spacing w:after="80"/>
      </w:pPr>
      <w:r>
        <w:rPr>
          <w:rFonts w:ascii="Calibri" w:hAnsi="Calibri"/>
          <w:color w:val="2F5496"/>
          <w:sz w:val="24"/>
        </w:rPr>
        <w:t>8.  Key Findings &amp; Trends</w:t>
      </w:r>
    </w:p>
    <w:p>
      <w:pPr>
        <w:tabs>
          <w:tab w:pos="8352" w:val="right"/>
        </w:tabs>
        <w:spacing w:after="80"/>
      </w:pPr>
      <w:r>
        <w:rPr>
          <w:rFonts w:ascii="Calibri" w:hAnsi="Calibri"/>
          <w:color w:val="2F5496"/>
          <w:sz w:val="24"/>
        </w:rPr>
        <w:t>9.  Strategic Recommendations</w:t>
      </w:r>
    </w:p>
    <w:p>
      <w:r>
        <w:br w:type="page"/>
      </w:r>
    </w:p>
    <w:p>
      <w:pPr>
        <w:pStyle w:val="Heading1"/>
      </w:pPr>
      <w:r>
        <w:t>1. Executive Summary</w:t>
      </w:r>
    </w:p>
    <w:p>
      <w:pPr>
        <w:spacing w:before="120" w:after="120"/>
        <w:pBdr>
          <w:bottom w:val="single" w:sz="6" w:space="1" w:color="2F5496"/>
        </w:pBdr>
      </w:pPr>
    </w:p>
    <w:p>
      <w:pPr>
        <w:spacing w:before="0" w:after="120"/>
      </w:pPr>
      <w:r>
        <w:rPr>
          <w:rFonts w:ascii="Calibri" w:hAnsi="Calibri"/>
          <w:b w:val="0"/>
          <w:i w:val="0"/>
          <w:sz w:val="22"/>
        </w:rPr>
        <w:t>This report presents a comprehensive analysis of the company's sales performance across all major operating regions for the fiscal year 2024. The objective is to provide management with actionable insights into regional performance trends, growth opportunities, and areas requiring strategic attention.</w:t>
      </w:r>
    </w:p>
    <w:p>
      <w:pPr>
        <w:spacing w:before="0" w:after="120"/>
      </w:pPr>
      <w:r>
        <w:rPr>
          <w:rFonts w:ascii="Calibri" w:hAnsi="Calibri"/>
          <w:b w:val="0"/>
          <w:i w:val="0"/>
          <w:sz w:val="22"/>
        </w:rPr>
        <w:t>Sales increased in several regions while some regions experienced slower growth. Management requested a consolidated report to review trends and opportunities across the full portfolio. This document consolidates data from all seven regions, analyzing key performance indicators and identifying cross-regional patterns that inform the strategic recommendations outlined in the final section.</w:t>
      </w:r>
    </w:p>
    <w:p>
      <w:pPr>
        <w:spacing w:before="0" w:after="120"/>
      </w:pPr>
      <w:r>
        <w:rPr>
          <w:rFonts w:ascii="Calibri" w:hAnsi="Calibri"/>
          <w:b w:val="0"/>
          <w:i/>
          <w:sz w:val="22"/>
        </w:rPr>
        <w:t>The findings indicate strong overall growth momentum, with particular strength in the West and South regions. The North and Central regions present targeted improvement opportunities that, if addressed, could unlock significant additional revenue.</w:t>
      </w:r>
    </w:p>
    <w:p>
      <w:pPr>
        <w:pStyle w:val="Heading1"/>
      </w:pPr>
      <w:r>
        <w:t>2. Regional Sales Overview</w:t>
      </w:r>
    </w:p>
    <w:p>
      <w:pPr>
        <w:spacing w:before="120" w:after="120"/>
        <w:pBdr>
          <w:bottom w:val="single" w:sz="6" w:space="1" w:color="2F5496"/>
        </w:pBdr>
      </w:pPr>
    </w:p>
    <w:p>
      <w:pPr>
        <w:spacing w:before="0" w:after="120"/>
      </w:pPr>
      <w:r>
        <w:rPr>
          <w:rFonts w:ascii="Calibri" w:hAnsi="Calibri"/>
          <w:b w:val="0"/>
          <w:i w:val="0"/>
          <w:sz w:val="22"/>
        </w:rPr>
        <w:t>The company operates across seven distinct regions. Each region's performance was evaluated based on quarterly sales data, year-over-year growth rates, and market penetration metrics. Below is a summary of the key regional performance indicators.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2160"/>
            <w:shd w:fill="1F3A5F" w:val="clear"/>
          </w:tcPr>
          <w:p>
            <w:pPr>
              <w:jc w:val="center"/>
            </w:pPr>
            <w:r/>
            <w:r>
              <w:rPr>
                <w:rFonts w:ascii="Calibri" w:hAnsi="Calibri"/>
                <w:b/>
                <w:color w:val="FFFFFF"/>
                <w:sz w:val="20"/>
              </w:rPr>
              <w:t>Region</w:t>
            </w:r>
          </w:p>
        </w:tc>
        <w:tc>
          <w:tcPr>
            <w:tcW w:type="dxa" w:w="1728"/>
            <w:shd w:fill="1F3A5F" w:val="clear"/>
          </w:tcPr>
          <w:p>
            <w:pPr>
              <w:jc w:val="center"/>
            </w:pPr>
            <w:r/>
            <w:r>
              <w:rPr>
                <w:rFonts w:ascii="Calibri" w:hAnsi="Calibri"/>
                <w:b/>
                <w:color w:val="FFFFFF"/>
                <w:sz w:val="20"/>
              </w:rPr>
              <w:t>Q4 Revenue</w:t>
            </w:r>
          </w:p>
        </w:tc>
        <w:tc>
          <w:tcPr>
            <w:tcW w:type="dxa" w:w="1728"/>
            <w:shd w:fill="1F3A5F" w:val="clear"/>
          </w:tcPr>
          <w:p>
            <w:pPr>
              <w:jc w:val="center"/>
            </w:pPr>
            <w:r/>
            <w:r>
              <w:rPr>
                <w:rFonts w:ascii="Calibri" w:hAnsi="Calibri"/>
                <w:b/>
                <w:color w:val="FFFFFF"/>
                <w:sz w:val="20"/>
              </w:rPr>
              <w:t>YoY Growth</w:t>
            </w:r>
          </w:p>
        </w:tc>
        <w:tc>
          <w:tcPr>
            <w:tcW w:type="dxa" w:w="1728"/>
            <w:shd w:fill="1F3A5F" w:val="clear"/>
          </w:tcPr>
          <w:p>
            <w:pPr>
              <w:jc w:val="center"/>
            </w:pPr>
            <w:r/>
            <w:r>
              <w:rPr>
                <w:rFonts w:ascii="Calibri" w:hAnsi="Calibri"/>
                <w:b/>
                <w:color w:val="FFFFFF"/>
                <w:sz w:val="20"/>
              </w:rPr>
              <w:t>Market Share</w:t>
            </w:r>
          </w:p>
        </w:tc>
        <w:tc>
          <w:tcPr>
            <w:tcW w:type="dxa" w:w="2160"/>
            <w:shd w:fill="1F3A5F" w:val="clear"/>
          </w:tcPr>
          <w:p>
            <w:pPr>
              <w:jc w:val="center"/>
            </w:pPr>
            <w:r/>
            <w:r>
              <w:rPr>
                <w:rFonts w:ascii="Calibri" w:hAnsi="Calibri"/>
                <w:b/>
                <w:color w:val="FFFFFF"/>
                <w:sz w:val="20"/>
              </w:rPr>
              <w:t>Trend</w:t>
            </w:r>
          </w:p>
        </w:tc>
      </w:tr>
      <w:tr>
        <w:tc>
          <w:tcPr>
            <w:tcW w:type="dxa" w:w="2160"/>
            <w:shd w:fill="F2F2F2" w:val="clear"/>
          </w:tcPr>
          <w:p>
            <w:pPr>
              <w:jc w:val="center"/>
            </w:pPr>
            <w:r/>
            <w:r>
              <w:rPr>
                <w:rFonts w:ascii="Calibri" w:hAnsi="Calibri"/>
                <w:sz w:val="20"/>
              </w:rPr>
              <w:t>North Region</w:t>
            </w:r>
          </w:p>
        </w:tc>
        <w:tc>
          <w:tcPr>
            <w:tcW w:type="dxa" w:w="1728"/>
            <w:shd w:fill="F2F2F2" w:val="clear"/>
          </w:tcPr>
          <w:p>
            <w:pPr>
              <w:jc w:val="center"/>
            </w:pPr>
            <w:r/>
            <w:r>
              <w:rPr>
                <w:rFonts w:ascii="Calibri" w:hAnsi="Calibri"/>
                <w:sz w:val="20"/>
              </w:rPr>
              <w:t>$4.2M</w:t>
            </w:r>
          </w:p>
        </w:tc>
        <w:tc>
          <w:tcPr>
            <w:tcW w:type="dxa" w:w="1728"/>
            <w:shd w:fill="F2F2F2" w:val="clear"/>
          </w:tcPr>
          <w:p>
            <w:pPr>
              <w:jc w:val="center"/>
            </w:pPr>
            <w:r/>
            <w:r>
              <w:rPr>
                <w:rFonts w:ascii="Calibri" w:hAnsi="Calibri"/>
                <w:sz w:val="20"/>
              </w:rPr>
              <w:t>+8.5%</w:t>
            </w:r>
          </w:p>
        </w:tc>
        <w:tc>
          <w:tcPr>
            <w:tcW w:type="dxa" w:w="1728"/>
            <w:shd w:fill="F2F2F2" w:val="clear"/>
          </w:tcPr>
          <w:p>
            <w:pPr>
              <w:jc w:val="center"/>
            </w:pPr>
            <w:r/>
            <w:r>
              <w:rPr>
                <w:rFonts w:ascii="Calibri" w:hAnsi="Calibri"/>
                <w:sz w:val="20"/>
              </w:rPr>
              <w:t>18.2%</w:t>
            </w:r>
          </w:p>
        </w:tc>
        <w:tc>
          <w:tcPr>
            <w:tcW w:type="dxa" w:w="2160"/>
            <w:shd w:fill="F2F2F2" w:val="clear"/>
          </w:tcPr>
          <w:p>
            <w:pPr>
              <w:jc w:val="center"/>
            </w:pPr>
            <w:r/>
            <w:r>
              <w:rPr>
                <w:rFonts w:ascii="Calibri" w:hAnsi="Calibri"/>
                <w:sz w:val="20"/>
              </w:rPr>
              <w:t>Stable Growth</w:t>
            </w:r>
          </w:p>
        </w:tc>
      </w:tr>
      <w:tr>
        <w:tc>
          <w:tcPr>
            <w:tcW w:type="dxa" w:w="2160"/>
          </w:tcPr>
          <w:p>
            <w:pPr>
              <w:jc w:val="center"/>
            </w:pPr>
            <w:r/>
            <w:r>
              <w:rPr>
                <w:rFonts w:ascii="Calibri" w:hAnsi="Calibri"/>
                <w:sz w:val="20"/>
              </w:rPr>
              <w:t>South Region</w:t>
            </w:r>
          </w:p>
        </w:tc>
        <w:tc>
          <w:tcPr>
            <w:tcW w:type="dxa" w:w="1728"/>
          </w:tcPr>
          <w:p>
            <w:pPr>
              <w:jc w:val="center"/>
            </w:pPr>
            <w:r/>
            <w:r>
              <w:rPr>
                <w:rFonts w:ascii="Calibri" w:hAnsi="Calibri"/>
                <w:sz w:val="20"/>
              </w:rPr>
              <w:t>$6.8M</w:t>
            </w:r>
          </w:p>
        </w:tc>
        <w:tc>
          <w:tcPr>
            <w:tcW w:type="dxa" w:w="1728"/>
          </w:tcPr>
          <w:p>
            <w:pPr>
              <w:jc w:val="center"/>
            </w:pPr>
            <w:r/>
            <w:r>
              <w:rPr>
                <w:rFonts w:ascii="Calibri" w:hAnsi="Calibri"/>
                <w:sz w:val="20"/>
              </w:rPr>
              <w:t>+14.2%</w:t>
            </w:r>
          </w:p>
        </w:tc>
        <w:tc>
          <w:tcPr>
            <w:tcW w:type="dxa" w:w="1728"/>
          </w:tcPr>
          <w:p>
            <w:pPr>
              <w:jc w:val="center"/>
            </w:pPr>
            <w:r/>
            <w:r>
              <w:rPr>
                <w:rFonts w:ascii="Calibri" w:hAnsi="Calibri"/>
                <w:sz w:val="20"/>
              </w:rPr>
              <w:t>24.6%</w:t>
            </w:r>
          </w:p>
        </w:tc>
        <w:tc>
          <w:tcPr>
            <w:tcW w:type="dxa" w:w="2160"/>
          </w:tcPr>
          <w:p>
            <w:pPr>
              <w:jc w:val="center"/>
            </w:pPr>
            <w:r/>
            <w:r>
              <w:rPr>
                <w:rFonts w:ascii="Calibri" w:hAnsi="Calibri"/>
                <w:sz w:val="20"/>
              </w:rPr>
              <w:t>Strong Growth</w:t>
            </w:r>
          </w:p>
        </w:tc>
      </w:tr>
      <w:tr>
        <w:tc>
          <w:tcPr>
            <w:tcW w:type="dxa" w:w="2160"/>
            <w:shd w:fill="F2F2F2" w:val="clear"/>
          </w:tcPr>
          <w:p>
            <w:pPr>
              <w:jc w:val="center"/>
            </w:pPr>
            <w:r/>
            <w:r>
              <w:rPr>
                <w:rFonts w:ascii="Calibri" w:hAnsi="Calibri"/>
                <w:sz w:val="20"/>
              </w:rPr>
              <w:t>East Region</w:t>
            </w:r>
          </w:p>
        </w:tc>
        <w:tc>
          <w:tcPr>
            <w:tcW w:type="dxa" w:w="1728"/>
            <w:shd w:fill="F2F2F2" w:val="clear"/>
          </w:tcPr>
          <w:p>
            <w:pPr>
              <w:jc w:val="center"/>
            </w:pPr>
            <w:r/>
            <w:r>
              <w:rPr>
                <w:rFonts w:ascii="Calibri" w:hAnsi="Calibri"/>
                <w:sz w:val="20"/>
              </w:rPr>
              <w:t>$5.1M</w:t>
            </w:r>
          </w:p>
        </w:tc>
        <w:tc>
          <w:tcPr>
            <w:tcW w:type="dxa" w:w="1728"/>
            <w:shd w:fill="F2F2F2" w:val="clear"/>
          </w:tcPr>
          <w:p>
            <w:pPr>
              <w:jc w:val="center"/>
            </w:pPr>
            <w:r/>
            <w:r>
              <w:rPr>
                <w:rFonts w:ascii="Calibri" w:hAnsi="Calibri"/>
                <w:sz w:val="20"/>
              </w:rPr>
              <w:t>+11.3%</w:t>
            </w:r>
          </w:p>
        </w:tc>
        <w:tc>
          <w:tcPr>
            <w:tcW w:type="dxa" w:w="1728"/>
            <w:shd w:fill="F2F2F2" w:val="clear"/>
          </w:tcPr>
          <w:p>
            <w:pPr>
              <w:jc w:val="center"/>
            </w:pPr>
            <w:r/>
            <w:r>
              <w:rPr>
                <w:rFonts w:ascii="Calibri" w:hAnsi="Calibri"/>
                <w:sz w:val="20"/>
              </w:rPr>
              <w:t>20.1%</w:t>
            </w:r>
          </w:p>
        </w:tc>
        <w:tc>
          <w:tcPr>
            <w:tcW w:type="dxa" w:w="2160"/>
            <w:shd w:fill="F2F2F2" w:val="clear"/>
          </w:tcPr>
          <w:p>
            <w:pPr>
              <w:jc w:val="center"/>
            </w:pPr>
            <w:r/>
            <w:r>
              <w:rPr>
                <w:rFonts w:ascii="Calibri" w:hAnsi="Calibri"/>
                <w:sz w:val="20"/>
              </w:rPr>
              <w:t>Steady Growth</w:t>
            </w:r>
          </w:p>
        </w:tc>
      </w:tr>
      <w:tr>
        <w:tc>
          <w:tcPr>
            <w:tcW w:type="dxa" w:w="2160"/>
          </w:tcPr>
          <w:p>
            <w:pPr>
              <w:jc w:val="center"/>
            </w:pPr>
            <w:r/>
            <w:r>
              <w:rPr>
                <w:rFonts w:ascii="Calibri" w:hAnsi="Calibri"/>
                <w:sz w:val="20"/>
              </w:rPr>
              <w:t>West Region</w:t>
            </w:r>
          </w:p>
        </w:tc>
        <w:tc>
          <w:tcPr>
            <w:tcW w:type="dxa" w:w="1728"/>
          </w:tcPr>
          <w:p>
            <w:pPr>
              <w:jc w:val="center"/>
            </w:pPr>
            <w:r/>
            <w:r>
              <w:rPr>
                <w:rFonts w:ascii="Calibri" w:hAnsi="Calibri"/>
                <w:sz w:val="20"/>
              </w:rPr>
              <w:t>$7.3M</w:t>
            </w:r>
          </w:p>
        </w:tc>
        <w:tc>
          <w:tcPr>
            <w:tcW w:type="dxa" w:w="1728"/>
          </w:tcPr>
          <w:p>
            <w:pPr>
              <w:jc w:val="center"/>
            </w:pPr>
            <w:r/>
            <w:r>
              <w:rPr>
                <w:rFonts w:ascii="Calibri" w:hAnsi="Calibri"/>
                <w:sz w:val="20"/>
              </w:rPr>
              <w:t>+16.8%</w:t>
            </w:r>
          </w:p>
        </w:tc>
        <w:tc>
          <w:tcPr>
            <w:tcW w:type="dxa" w:w="1728"/>
          </w:tcPr>
          <w:p>
            <w:pPr>
              <w:jc w:val="center"/>
            </w:pPr>
            <w:r/>
            <w:r>
              <w:rPr>
                <w:rFonts w:ascii="Calibri" w:hAnsi="Calibri"/>
                <w:sz w:val="20"/>
              </w:rPr>
              <w:t>26.4%</w:t>
            </w:r>
          </w:p>
        </w:tc>
        <w:tc>
          <w:tcPr>
            <w:tcW w:type="dxa" w:w="2160"/>
          </w:tcPr>
          <w:p>
            <w:pPr>
              <w:jc w:val="center"/>
            </w:pPr>
            <w:r/>
            <w:r>
              <w:rPr>
                <w:rFonts w:ascii="Calibri" w:hAnsi="Calibri"/>
                <w:sz w:val="20"/>
              </w:rPr>
              <w:t>Rapid Growth</w:t>
            </w:r>
          </w:p>
        </w:tc>
      </w:tr>
      <w:tr>
        <w:tc>
          <w:tcPr>
            <w:tcW w:type="dxa" w:w="2160"/>
            <w:shd w:fill="F2F2F2" w:val="clear"/>
          </w:tcPr>
          <w:p>
            <w:pPr>
              <w:jc w:val="center"/>
            </w:pPr>
            <w:r/>
            <w:r>
              <w:rPr>
                <w:rFonts w:ascii="Calibri" w:hAnsi="Calibri"/>
                <w:sz w:val="20"/>
              </w:rPr>
              <w:t>Central Region</w:t>
            </w:r>
          </w:p>
        </w:tc>
        <w:tc>
          <w:tcPr>
            <w:tcW w:type="dxa" w:w="1728"/>
            <w:shd w:fill="F2F2F2" w:val="clear"/>
          </w:tcPr>
          <w:p>
            <w:pPr>
              <w:jc w:val="center"/>
            </w:pPr>
            <w:r/>
            <w:r>
              <w:rPr>
                <w:rFonts w:ascii="Calibri" w:hAnsi="Calibri"/>
                <w:sz w:val="20"/>
              </w:rPr>
              <w:t>$3.6M</w:t>
            </w:r>
          </w:p>
        </w:tc>
        <w:tc>
          <w:tcPr>
            <w:tcW w:type="dxa" w:w="1728"/>
            <w:shd w:fill="F2F2F2" w:val="clear"/>
          </w:tcPr>
          <w:p>
            <w:pPr>
              <w:jc w:val="center"/>
            </w:pPr>
            <w:r/>
            <w:r>
              <w:rPr>
                <w:rFonts w:ascii="Calibri" w:hAnsi="Calibri"/>
                <w:sz w:val="20"/>
              </w:rPr>
              <w:t>+5.2%</w:t>
            </w:r>
          </w:p>
        </w:tc>
        <w:tc>
          <w:tcPr>
            <w:tcW w:type="dxa" w:w="1728"/>
            <w:shd w:fill="F2F2F2" w:val="clear"/>
          </w:tcPr>
          <w:p>
            <w:pPr>
              <w:jc w:val="center"/>
            </w:pPr>
            <w:r/>
            <w:r>
              <w:rPr>
                <w:rFonts w:ascii="Calibri" w:hAnsi="Calibri"/>
                <w:sz w:val="20"/>
              </w:rPr>
              <w:t>10.7%</w:t>
            </w:r>
          </w:p>
        </w:tc>
        <w:tc>
          <w:tcPr>
            <w:tcW w:type="dxa" w:w="2160"/>
            <w:shd w:fill="F2F2F2" w:val="clear"/>
          </w:tcPr>
          <w:p>
            <w:pPr>
              <w:jc w:val="center"/>
            </w:pPr>
            <w:r/>
            <w:r>
              <w:rPr>
                <w:rFonts w:ascii="Calibri" w:hAnsi="Calibri"/>
                <w:sz w:val="20"/>
              </w:rPr>
              <w:t>Moderate Growth</w:t>
            </w:r>
          </w:p>
        </w:tc>
      </w:tr>
      <w:tr>
        <w:tc>
          <w:tcPr>
            <w:tcW w:type="dxa" w:w="2160"/>
            <w:shd w:fill="D9E2F3" w:val="clear"/>
          </w:tcPr>
          <w:p>
            <w:pPr>
              <w:jc w:val="center"/>
            </w:pPr>
            <w:r/>
            <w:r>
              <w:rPr>
                <w:rFonts w:ascii="Calibri" w:hAnsi="Calibri"/>
                <w:b/>
                <w:sz w:val="20"/>
              </w:rPr>
              <w:t>Total / Average</w:t>
            </w:r>
          </w:p>
        </w:tc>
        <w:tc>
          <w:tcPr>
            <w:tcW w:type="dxa" w:w="1728"/>
            <w:shd w:fill="D9E2F3" w:val="clear"/>
          </w:tcPr>
          <w:p>
            <w:pPr>
              <w:jc w:val="center"/>
            </w:pPr>
            <w:r/>
            <w:r>
              <w:rPr>
                <w:rFonts w:ascii="Calibri" w:hAnsi="Calibri"/>
                <w:b/>
                <w:sz w:val="20"/>
              </w:rPr>
              <w:t>$27.0M</w:t>
            </w:r>
          </w:p>
        </w:tc>
        <w:tc>
          <w:tcPr>
            <w:tcW w:type="dxa" w:w="1728"/>
            <w:shd w:fill="D9E2F3" w:val="clear"/>
          </w:tcPr>
          <w:p>
            <w:pPr>
              <w:jc w:val="center"/>
            </w:pPr>
            <w:r/>
            <w:r>
              <w:rPr>
                <w:rFonts w:ascii="Calibri" w:hAnsi="Calibri"/>
                <w:b/>
                <w:sz w:val="20"/>
              </w:rPr>
              <w:t>+11.2%</w:t>
            </w:r>
          </w:p>
        </w:tc>
        <w:tc>
          <w:tcPr>
            <w:tcW w:type="dxa" w:w="1728"/>
            <w:shd w:fill="D9E2F3" w:val="clear"/>
          </w:tcPr>
          <w:p>
            <w:pPr>
              <w:jc w:val="center"/>
            </w:pPr>
            <w:r/>
            <w:r>
              <w:rPr>
                <w:rFonts w:ascii="Calibri" w:hAnsi="Calibri"/>
                <w:b/>
                <w:sz w:val="20"/>
              </w:rPr>
              <w:t>100%</w:t>
            </w:r>
          </w:p>
        </w:tc>
        <w:tc>
          <w:tcPr>
            <w:tcW w:type="dxa" w:w="2160"/>
            <w:shd w:fill="D9E2F3" w:val="clear"/>
          </w:tcPr>
          <w:p>
            <w:pPr>
              <w:jc w:val="center"/>
            </w:pPr>
            <w:r/>
            <w:r>
              <w:rPr>
                <w:rFonts w:ascii="Calibri" w:hAnsi="Calibri"/>
                <w:b/>
                <w:sz w:val="20"/>
              </w:rPr>
              <w:t>Positive</w:t>
            </w:r>
          </w:p>
        </w:tc>
      </w:tr>
      <w:tr>
        <w:tc>
          <w:tcPr>
            <w:tcW w:type="dxa" w:w="2160"/>
          </w:tcPr>
          <w:p/>
        </w:tc>
        <w:tc>
          <w:tcPr>
            <w:tcW w:type="dxa" w:w="1728"/>
          </w:tcPr>
          <w:p/>
        </w:tc>
        <w:tc>
          <w:tcPr>
            <w:tcW w:type="dxa" w:w="1728"/>
          </w:tcPr>
          <w:p/>
        </w:tc>
        <w:tc>
          <w:tcPr>
            <w:tcW w:type="dxa" w:w="1728"/>
          </w:tcPr>
          <w:p/>
        </w:tc>
        <w:tc>
          <w:tcPr>
            <w:tcW w:type="dxa" w:w="2160"/>
          </w:tcPr>
          <w:p/>
        </w:tc>
      </w:tr>
    </w:tbl>
    <w:p/>
    <w:p>
      <w:pPr>
        <w:spacing w:before="0" w:after="120"/>
        <w:jc w:val="center"/>
      </w:pPr>
      <w:r>
        <w:rPr>
          <w:rFonts w:ascii="Calibri" w:hAnsi="Calibri"/>
          <w:b w:val="0"/>
          <w:i/>
          <w:color w:val="666666"/>
          <w:sz w:val="18"/>
        </w:rPr>
        <w:t>Table 1: Regional Sales Performance Summary — FY 2024</w:t>
      </w:r>
    </w:p>
    <w:p>
      <w:r>
        <w:br w:type="page"/>
      </w:r>
    </w:p>
    <w:p>
      <w:pPr>
        <w:pStyle w:val="Heading1"/>
      </w:pPr>
      <w:r>
        <w:t>3. North Region Analysis</w:t>
      </w:r>
    </w:p>
    <w:p>
      <w:pPr>
        <w:spacing w:before="120" w:after="120"/>
        <w:pBdr>
          <w:bottom w:val="single" w:sz="6" w:space="1" w:color="2F5496"/>
        </w:pBdr>
      </w:pPr>
    </w:p>
    <w:p>
      <w:pPr>
        <w:spacing w:before="0" w:after="120"/>
      </w:pPr>
      <w:r>
        <w:rPr>
          <w:rFonts w:ascii="Calibri" w:hAnsi="Calibri"/>
          <w:b w:val="0"/>
          <w:i w:val="0"/>
          <w:sz w:val="22"/>
        </w:rPr>
        <w:t>The North region demonstrated stable growth throughout FY 2024, with quarterly revenue increasing steadily across all four quarters. Sales increased in several sub-regions while some areas experienced relatively slower growth. Management has identified targeted opportunities to accelerate momentum through expanded distribution channels and enhanced local marketing initiatives.</w:t>
      </w:r>
    </w:p>
    <w:p>
      <w:pPr>
        <w:pStyle w:val="Heading2"/>
      </w:pPr>
      <w:r>
        <w:t>Key Highlights</w:t>
      </w:r>
    </w:p>
    <w:p>
      <w:pPr>
        <w:pStyle w:val="ListBullet"/>
      </w:pPr>
      <w:r>
        <w:rPr>
          <w:rFonts w:ascii="Calibri" w:hAnsi="Calibri"/>
          <w:sz w:val="22"/>
        </w:rPr>
        <w:t>Q4 revenue of $4.2M representing 18.2% of total company revenue</w:t>
      </w:r>
    </w:p>
    <w:p>
      <w:pPr>
        <w:pStyle w:val="ListBullet"/>
      </w:pPr>
      <w:r>
        <w:rPr>
          <w:rFonts w:ascii="Calibri" w:hAnsi="Calibri"/>
          <w:sz w:val="22"/>
        </w:rPr>
        <w:t>Year-over-year growth of 8.5%, slightly below company average of 11.2%</w:t>
      </w:r>
    </w:p>
    <w:p>
      <w:pPr>
        <w:pStyle w:val="ListBullet"/>
      </w:pPr>
      <w:r>
        <w:rPr>
          <w:rFonts w:ascii="Calibri" w:hAnsi="Calibri"/>
          <w:sz w:val="22"/>
        </w:rPr>
        <w:t>Customer acquisition cost reduced by 6% through digital channel optimization</w:t>
      </w:r>
    </w:p>
    <w:p>
      <w:pPr>
        <w:pStyle w:val="ListBullet"/>
      </w:pPr>
      <w:r>
        <w:rPr>
          <w:rFonts w:ascii="Calibri" w:hAnsi="Calibri"/>
          <w:sz w:val="22"/>
        </w:rPr>
        <w:t>Two new distribution partnerships established in Q3</w:t>
      </w:r>
    </w:p>
    <w:p>
      <w:r>
        <w:br w:type="page"/>
      </w:r>
    </w:p>
    <w:p>
      <w:pPr>
        <w:pStyle w:val="Heading1"/>
      </w:pPr>
      <w:r>
        <w:t>4. South Region Analysis</w:t>
      </w:r>
    </w:p>
    <w:p>
      <w:pPr>
        <w:spacing w:before="120" w:after="120"/>
        <w:pBdr>
          <w:bottom w:val="single" w:sz="6" w:space="1" w:color="2F5496"/>
        </w:pBdr>
      </w:pPr>
    </w:p>
    <w:p>
      <w:pPr>
        <w:spacing w:before="0" w:after="120"/>
      </w:pPr>
      <w:r>
        <w:rPr>
          <w:rFonts w:ascii="Calibri" w:hAnsi="Calibri"/>
          <w:b w:val="0"/>
          <w:i w:val="0"/>
          <w:sz w:val="22"/>
        </w:rPr>
        <w:t>The South region was among the strongest performers this year, posting double-digit growth and expanding market share. Sales increased significantly across most product lines, driven by successful promotional campaigns and strong customer retention. The region's performance exceeded internal targets and contributed meaningfully to overall corporate results.</w:t>
      </w:r>
    </w:p>
    <w:p>
      <w:pPr>
        <w:pStyle w:val="Heading2"/>
      </w:pPr>
      <w:r>
        <w:t>Key Highlights</w:t>
      </w:r>
    </w:p>
    <w:p>
      <w:pPr>
        <w:pStyle w:val="ListBullet"/>
      </w:pPr>
      <w:r>
        <w:rPr>
          <w:rFonts w:ascii="Calibri" w:hAnsi="Calibri"/>
          <w:sz w:val="22"/>
        </w:rPr>
        <w:t>Q4 revenue of $6.8M — 24.6% of total company revenue (highest share among all regions)</w:t>
      </w:r>
    </w:p>
    <w:p>
      <w:pPr>
        <w:pStyle w:val="ListBullet"/>
      </w:pPr>
      <w:r>
        <w:rPr>
          <w:rFonts w:ascii="Calibri" w:hAnsi="Calibri"/>
          <w:sz w:val="22"/>
        </w:rPr>
        <w:t>Year-over-year growth of 14.2%, well above company average</w:t>
      </w:r>
    </w:p>
    <w:p>
      <w:pPr>
        <w:pStyle w:val="ListBullet"/>
      </w:pPr>
      <w:r>
        <w:rPr>
          <w:rFonts w:ascii="Calibri" w:hAnsi="Calibri"/>
          <w:sz w:val="22"/>
        </w:rPr>
        <w:t>Customer satisfaction score improved to 4.6/5.0</w:t>
      </w:r>
    </w:p>
    <w:p>
      <w:pPr>
        <w:pStyle w:val="ListBullet"/>
      </w:pPr>
      <w:r>
        <w:rPr>
          <w:rFonts w:ascii="Calibri" w:hAnsi="Calibri"/>
          <w:sz w:val="22"/>
        </w:rPr>
        <w:t>Three major enterprise accounts closed in Q4</w:t>
      </w:r>
    </w:p>
    <w:p>
      <w:r>
        <w:br w:type="page"/>
      </w:r>
    </w:p>
    <w:p>
      <w:pPr>
        <w:pStyle w:val="Heading1"/>
      </w:pPr>
      <w:r>
        <w:t>5. East Region Analysis</w:t>
      </w:r>
    </w:p>
    <w:p>
      <w:pPr>
        <w:spacing w:before="120" w:after="120"/>
        <w:pBdr>
          <w:bottom w:val="single" w:sz="6" w:space="1" w:color="2F5496"/>
        </w:pBdr>
      </w:pPr>
    </w:p>
    <w:p>
      <w:pPr>
        <w:spacing w:before="0" w:after="120"/>
      </w:pPr>
      <w:r>
        <w:rPr>
          <w:rFonts w:ascii="Calibri" w:hAnsi="Calibri"/>
          <w:b w:val="0"/>
          <w:i w:val="0"/>
          <w:sz w:val="22"/>
        </w:rPr>
        <w:t>The East region maintained steady growth throughout the year, with consistent quarter-over-quarter improvements. Sales increased in urban markets while rural expansion initiatives began gaining traction in the second half of the year. The region benefited from targeted marketing investments and improved sales team productivity.</w:t>
      </w:r>
    </w:p>
    <w:p>
      <w:pPr>
        <w:pStyle w:val="Heading2"/>
      </w:pPr>
      <w:r>
        <w:t>Key Highlights</w:t>
      </w:r>
    </w:p>
    <w:p>
      <w:pPr>
        <w:pStyle w:val="ListBullet"/>
      </w:pPr>
      <w:r>
        <w:rPr>
          <w:rFonts w:ascii="Calibri" w:hAnsi="Calibri"/>
          <w:sz w:val="22"/>
        </w:rPr>
        <w:t>Q4 revenue of $5.1M representing 20.1% of total revenue</w:t>
      </w:r>
    </w:p>
    <w:p>
      <w:pPr>
        <w:pStyle w:val="ListBullet"/>
      </w:pPr>
      <w:r>
        <w:rPr>
          <w:rFonts w:ascii="Calibri" w:hAnsi="Calibri"/>
          <w:sz w:val="22"/>
        </w:rPr>
        <w:t>Year-over-year growth of 11.3%, closely aligned with company average</w:t>
      </w:r>
    </w:p>
    <w:p>
      <w:pPr>
        <w:pStyle w:val="ListBullet"/>
      </w:pPr>
      <w:r>
        <w:rPr>
          <w:rFonts w:ascii="Calibri" w:hAnsi="Calibri"/>
          <w:sz w:val="22"/>
        </w:rPr>
        <w:t>Rural market penetration increased by 22% year-over-year</w:t>
      </w:r>
    </w:p>
    <w:p>
      <w:pPr>
        <w:pStyle w:val="ListBullet"/>
      </w:pPr>
      <w:r>
        <w:rPr>
          <w:rFonts w:ascii="Calibri" w:hAnsi="Calibri"/>
          <w:sz w:val="22"/>
        </w:rPr>
        <w:t>Sales team productivity improved 15% after new training program</w:t>
      </w:r>
    </w:p>
    <w:p>
      <w:r>
        <w:br w:type="page"/>
      </w:r>
    </w:p>
    <w:p>
      <w:pPr>
        <w:pStyle w:val="Heading1"/>
      </w:pPr>
      <w:r>
        <w:t>6. West Region Analysis</w:t>
      </w:r>
    </w:p>
    <w:p>
      <w:pPr>
        <w:spacing w:before="120" w:after="120"/>
        <w:pBdr>
          <w:bottom w:val="single" w:sz="6" w:space="1" w:color="2F5496"/>
        </w:pBdr>
      </w:pPr>
    </w:p>
    <w:p>
      <w:pPr>
        <w:spacing w:before="0" w:after="120"/>
      </w:pPr>
      <w:r>
        <w:rPr>
          <w:rFonts w:ascii="Calibri" w:hAnsi="Calibri"/>
          <w:b w:val="0"/>
          <w:i w:val="0"/>
          <w:sz w:val="22"/>
        </w:rPr>
        <w:t>The West region delivered exceptional performance in FY 2024, achieving the highest growth rate across all regions. Sales increased substantially across both existing and new product categories. The region's success was driven by strong economic conditions, effective sales leadership, and successful market expansion strategies.</w:t>
      </w:r>
    </w:p>
    <w:p>
      <w:pPr>
        <w:pStyle w:val="Heading2"/>
      </w:pPr>
      <w:r>
        <w:t>Key Highlights</w:t>
      </w:r>
    </w:p>
    <w:p>
      <w:pPr>
        <w:pStyle w:val="ListBullet"/>
      </w:pPr>
      <w:r>
        <w:rPr>
          <w:rFonts w:ascii="Calibri" w:hAnsi="Calibri"/>
          <w:sz w:val="22"/>
        </w:rPr>
        <w:t>Q4 revenue of $7.3M leading all regions with 26.4% revenue share</w:t>
      </w:r>
    </w:p>
    <w:p>
      <w:pPr>
        <w:pStyle w:val="ListBullet"/>
      </w:pPr>
      <w:r>
        <w:rPr>
          <w:rFonts w:ascii="Calibri" w:hAnsi="Calibri"/>
          <w:sz w:val="22"/>
        </w:rPr>
        <w:t>Year-over-year growth of 16.8% — fastest growing region</w:t>
      </w:r>
    </w:p>
    <w:p>
      <w:pPr>
        <w:pStyle w:val="ListBullet"/>
      </w:pPr>
      <w:r>
        <w:rPr>
          <w:rFonts w:ascii="Calibri" w:hAnsi="Calibri"/>
          <w:sz w:val="22"/>
        </w:rPr>
        <w:t>New product lines contributed 28% of regional revenue</w:t>
      </w:r>
    </w:p>
    <w:p>
      <w:pPr>
        <w:pStyle w:val="ListBullet"/>
      </w:pPr>
      <w:r>
        <w:rPr>
          <w:rFonts w:ascii="Calibri" w:hAnsi="Calibri"/>
          <w:sz w:val="22"/>
        </w:rPr>
        <w:t>E-commerce channel grew 45%, now representing 32% of regional sales</w:t>
      </w:r>
    </w:p>
    <w:p>
      <w:r>
        <w:br w:type="page"/>
      </w:r>
    </w:p>
    <w:p>
      <w:pPr>
        <w:pStyle w:val="Heading1"/>
      </w:pPr>
      <w:r>
        <w:t>7. Central Region Analysis</w:t>
      </w:r>
    </w:p>
    <w:p>
      <w:pPr>
        <w:spacing w:before="120" w:after="120"/>
        <w:pBdr>
          <w:bottom w:val="single" w:sz="6" w:space="1" w:color="2F5496"/>
        </w:pBdr>
      </w:pPr>
    </w:p>
    <w:p>
      <w:pPr>
        <w:spacing w:before="0" w:after="120"/>
      </w:pPr>
      <w:r>
        <w:rPr>
          <w:rFonts w:ascii="Calibri" w:hAnsi="Calibri"/>
          <w:b w:val="0"/>
          <w:i w:val="0"/>
          <w:sz w:val="22"/>
        </w:rPr>
        <w:t>The Central region showed moderate growth with room for improvement. Sales increased at a slower pace compared to other regions, reflecting both market challenges and internal execution gaps. Management is developing a targeted improvement plan to address the region's performance gap and unlock its full potential.</w:t>
      </w:r>
    </w:p>
    <w:p>
      <w:pPr>
        <w:pStyle w:val="Heading2"/>
      </w:pPr>
      <w:r>
        <w:t>Key Highlights</w:t>
      </w:r>
    </w:p>
    <w:p>
      <w:pPr>
        <w:pStyle w:val="ListBullet"/>
      </w:pPr>
      <w:r>
        <w:rPr>
          <w:rFonts w:ascii="Calibri" w:hAnsi="Calibri"/>
          <w:sz w:val="22"/>
        </w:rPr>
        <w:t>Q4 revenue of $3.6M representing 10.7% of total revenue</w:t>
      </w:r>
    </w:p>
    <w:p>
      <w:pPr>
        <w:pStyle w:val="ListBullet"/>
      </w:pPr>
      <w:r>
        <w:rPr>
          <w:rFonts w:ascii="Calibri" w:hAnsi="Calibri"/>
          <w:sz w:val="22"/>
        </w:rPr>
        <w:t>Year-over-year growth of 5.2% — below company average</w:t>
      </w:r>
    </w:p>
    <w:p>
      <w:pPr>
        <w:pStyle w:val="ListBullet"/>
      </w:pPr>
      <w:r>
        <w:rPr>
          <w:rFonts w:ascii="Calibri" w:hAnsi="Calibri"/>
          <w:sz w:val="22"/>
        </w:rPr>
        <w:t>Cost optimization initiative identified $420K in annual savings</w:t>
      </w:r>
    </w:p>
    <w:p>
      <w:pPr>
        <w:pStyle w:val="ListBullet"/>
      </w:pPr>
      <w:r>
        <w:rPr>
          <w:rFonts w:ascii="Calibri" w:hAnsi="Calibri"/>
          <w:sz w:val="22"/>
        </w:rPr>
        <w:t>New regional director appointed in Q4 to drive turnaround strategy</w:t>
      </w:r>
    </w:p>
    <w:p>
      <w:r>
        <w:br w:type="page"/>
      </w:r>
    </w:p>
    <w:p>
      <w:pPr>
        <w:pStyle w:val="Heading1"/>
      </w:pPr>
      <w:r>
        <w:t>8. Key Findings &amp; Trends</w:t>
      </w:r>
    </w:p>
    <w:p>
      <w:pPr>
        <w:spacing w:before="120" w:after="120"/>
        <w:pBdr>
          <w:bottom w:val="single" w:sz="6" w:space="1" w:color="2F5496"/>
        </w:pBdr>
      </w:pPr>
    </w:p>
    <w:p>
      <w:pPr>
        <w:pStyle w:val="Heading2"/>
      </w:pPr>
      <w:r>
        <w:t>Overall Revenue Growth</w:t>
      </w:r>
    </w:p>
    <w:p>
      <w:pPr>
        <w:spacing w:before="0" w:after="120"/>
      </w:pPr>
      <w:r>
        <w:rPr>
          <w:rFonts w:ascii="Calibri" w:hAnsi="Calibri"/>
          <w:b w:val="0"/>
          <w:i w:val="0"/>
          <w:sz w:val="22"/>
        </w:rPr>
        <w:t>The company achieved 11.2% year-over-year revenue growth in FY 2024, driven primarily by strong performance in the West (+16.8%) and South (+14.2%) regions. Total consolidated revenue reached $27.0M for Q4 alone.</w:t>
      </w:r>
    </w:p>
    <w:p>
      <w:pPr>
        <w:pStyle w:val="Heading2"/>
      </w:pPr>
      <w:r>
        <w:t>Regional Disparities</w:t>
      </w:r>
    </w:p>
    <w:p>
      <w:pPr>
        <w:spacing w:before="0" w:after="120"/>
      </w:pPr>
      <w:r>
        <w:rPr>
          <w:rFonts w:ascii="Calibri" w:hAnsi="Calibri"/>
          <w:b w:val="0"/>
          <w:i w:val="0"/>
          <w:sz w:val="22"/>
        </w:rPr>
        <w:t>A notable performance gap exists between high-growth regions (West, South) and lower-growth regions (Central at +5.2%). Addressing this disparity represents a significant opportunity for corporate value creation.</w:t>
      </w:r>
    </w:p>
    <w:p>
      <w:pPr>
        <w:pStyle w:val="Heading2"/>
      </w:pPr>
      <w:r>
        <w:t>Channel Evolution</w:t>
      </w:r>
    </w:p>
    <w:p>
      <w:pPr>
        <w:spacing w:before="0" w:after="120"/>
      </w:pPr>
      <w:r>
        <w:rPr>
          <w:rFonts w:ascii="Calibri" w:hAnsi="Calibri"/>
          <w:b w:val="0"/>
          <w:i w:val="0"/>
          <w:sz w:val="22"/>
        </w:rPr>
        <w:t>E-commerce and digital channels are becoming increasingly important, with the West region's online channel growing 45% year-over-year. Digital transformation initiatives should be accelerated across all regions.</w:t>
      </w:r>
    </w:p>
    <w:p>
      <w:pPr>
        <w:pStyle w:val="Heading2"/>
      </w:pPr>
      <w:r>
        <w:t>Market Share Dynamics</w:t>
      </w:r>
    </w:p>
    <w:p>
      <w:pPr>
        <w:spacing w:before="0" w:after="120"/>
      </w:pPr>
      <w:r>
        <w:rPr>
          <w:rFonts w:ascii="Calibri" w:hAnsi="Calibri"/>
          <w:b w:val="0"/>
          <w:i w:val="0"/>
          <w:sz w:val="22"/>
        </w:rPr>
        <w:t>The company maintains strong market positions across all regions, with market share ranging from 10.7% (Central) to 26.4% (West). There is room for share expansion, particularly in the North and Central regions.</w:t>
      </w:r>
    </w:p>
    <w:p>
      <w:r>
        <w:br w:type="page"/>
      </w:r>
    </w:p>
    <w:p>
      <w:pPr>
        <w:pStyle w:val="Heading1"/>
      </w:pPr>
      <w:r>
        <w:t>9. Strategic Recommendations</w:t>
      </w:r>
    </w:p>
    <w:p>
      <w:pPr>
        <w:spacing w:before="120" w:after="120"/>
        <w:pBdr>
          <w:bottom w:val="single" w:sz="6" w:space="1" w:color="2F5496"/>
        </w:pBdr>
      </w:pPr>
    </w:p>
    <w:p>
      <w:pPr>
        <w:spacing w:before="0" w:after="120"/>
      </w:pPr>
      <w:r>
        <w:rPr>
          <w:rFonts w:ascii="Calibri" w:hAnsi="Calibri"/>
          <w:b w:val="0"/>
          <w:i w:val="0"/>
          <w:sz w:val="22"/>
        </w:rPr>
        <w:t>Based on the analysis of regional performance data and emerging market trends, management recommends the following strategic actions for FY 2025:</w:t>
      </w:r>
    </w:p>
    <w:p>
      <w:pPr>
        <w:pStyle w:val="Heading2"/>
      </w:pPr>
      <w:r>
        <w:t>Accelerate Digital Transformation</w:t>
      </w:r>
    </w:p>
    <w:p>
      <w:pPr>
        <w:spacing w:before="0" w:after="120"/>
      </w:pPr>
      <w:r>
        <w:rPr>
          <w:rFonts w:ascii="Calibri" w:hAnsi="Calibri"/>
          <w:b w:val="0"/>
          <w:i w:val="0"/>
          <w:sz w:val="22"/>
        </w:rPr>
        <w:t>Invest in e-commerce capabilities and digital marketing across all regions, with particular focus on North and Central regions where digital penetration lags behind peers. Target: 30% digital channel contribution by Q4 FY 2025.</w:t>
      </w:r>
    </w:p>
    <w:p>
      <w:pPr>
        <w:pStyle w:val="Heading2"/>
      </w:pPr>
      <w:r>
        <w:t>Regional Turnaround Plan — Central Region</w:t>
      </w:r>
    </w:p>
    <w:p>
      <w:pPr>
        <w:spacing w:before="0" w:after="120"/>
      </w:pPr>
      <w:r>
        <w:rPr>
          <w:rFonts w:ascii="Calibri" w:hAnsi="Calibri"/>
          <w:b w:val="0"/>
          <w:i w:val="0"/>
          <w:sz w:val="22"/>
        </w:rPr>
        <w:t>Implement a dedicated growth initiative for the Central region, including leadership changes, targeted marketing investments, and distribution network expansion. Target: achieve 10%+ growth rate by Q2 FY 2025.</w:t>
      </w:r>
    </w:p>
    <w:p>
      <w:pPr>
        <w:pStyle w:val="Heading2"/>
      </w:pPr>
      <w:r>
        <w:t>Scale High-Performance Practices</w:t>
      </w:r>
    </w:p>
    <w:p>
      <w:pPr>
        <w:spacing w:before="0" w:after="120"/>
      </w:pPr>
      <w:r>
        <w:rPr>
          <w:rFonts w:ascii="Calibri" w:hAnsi="Calibri"/>
          <w:b w:val="0"/>
          <w:i w:val="0"/>
          <w:sz w:val="22"/>
        </w:rPr>
        <w:t>Document and replicate the successful strategies from West and South regions across the broader organization. Key areas include sales training programs, customer retention frameworks, and promotional campaign templates.</w:t>
      </w:r>
    </w:p>
    <w:p>
      <w:pPr>
        <w:pStyle w:val="Heading2"/>
      </w:pPr>
      <w:r>
        <w:t>Strengthen Cross-Regional Collaboration</w:t>
      </w:r>
    </w:p>
    <w:p>
      <w:pPr>
        <w:spacing w:before="0" w:after="120"/>
      </w:pPr>
      <w:r>
        <w:rPr>
          <w:rFonts w:ascii="Calibri" w:hAnsi="Calibri"/>
          <w:b w:val="0"/>
          <w:i w:val="0"/>
          <w:sz w:val="22"/>
        </w:rPr>
        <w:t>Establish a Regional Excellence Council to facilitate knowledge sharing and best practice transfer between regions. Monthly cross-regional reviews to track progress against targets.</w:t>
      </w:r>
    </w:p>
    <w:p>
      <w:pPr>
        <w:pStyle w:val="Heading2"/>
      </w:pPr>
      <w:r>
        <w:t>Enhance Data &amp; Analytics Capabilities</w:t>
      </w:r>
    </w:p>
    <w:p>
      <w:pPr>
        <w:spacing w:before="0" w:after="120"/>
      </w:pPr>
      <w:r>
        <w:rPr>
          <w:rFonts w:ascii="Calibri" w:hAnsi="Calibri"/>
          <w:b w:val="0"/>
          <w:i w:val="0"/>
          <w:sz w:val="22"/>
        </w:rPr>
        <w:t>Deploy advanced analytics tools to provide real-time sales performance dashboards for all regions. Enable predictive forecasting and early warning systems for underperforming segments.</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r>
    <w:r>
      <w:rPr>
        <w:rFonts w:ascii="Calibri" w:hAnsi="Calibri"/>
        <w:color w:val="666666"/>
        <w:sz w:val="18"/>
      </w:rPr>
      <w:instrText xml:space="preserve"> PAGE </w:instrText>
    </w:r>
    <w:r>
      <w:rPr>
        <w:rFonts w:ascii="Calibri" w:hAnsi="Calibri"/>
        <w:color w:val="666666"/>
        <w:sz w:val="18"/>
      </w:rPr>
      <w:fldChar w:fldCharType="end"/>
    </w:r>
    <w:r>
      <w:rPr>
        <w:rFonts w:ascii="Calibri" w:hAnsi="Calibri"/>
        <w:color w:val="666666"/>
        <w:sz w:val="18"/>
      </w:rPr>
      <w:t xml:space="preserve"> of </w:t>
    </w:r>
    <w:r>
      <w:rPr>
        <w:rFonts w:ascii="Calibri" w:hAnsi="Calibri"/>
        <w:color w:val="666666"/>
        <w:sz w:val="18"/>
      </w:rPr>
      <w:fldChar w:fldCharType="begin"/>
    </w:r>
    <w:r>
      <w:rPr>
        <w:rFonts w:ascii="Calibri" w:hAnsi="Calibri"/>
        <w:color w:val="666666"/>
        <w:sz w:val="18"/>
      </w:rPr>
      <w:instrText xml:space="preserve"> NUMPAGES </w:instrText>
    </w:r>
    <w:r>
      <w:rPr>
        <w:rFonts w:ascii="Calibri" w:hAnsi="Calibri"/>
        <w:color w:val="666666"/>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6C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