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color w:val="C9A84C"/>
          <w:sz w:val="16"/>
        </w:rPr>
        <w:t>━━━━━━━━━━━━━━━━━━━━━━━━━━━━━━━━━━━━━━━━</w:t>
      </w:r>
    </w:p>
    <w:p/>
    <w:p>
      <w:pPr>
        <w:jc w:val="center"/>
      </w:pPr>
      <w:r>
        <w:rPr>
          <w:rFonts w:ascii="Calibri" w:hAnsi="Calibri"/>
          <w:b/>
          <w:color w:val="1F3A5F"/>
          <w:sz w:val="68"/>
        </w:rPr>
        <w:t>ANNUAL SALES</w:t>
        <w:br/>
        <w:t>PERFORMANCE REPORT</w:t>
      </w:r>
    </w:p>
    <w:p>
      <w:pPr>
        <w:jc w:val="center"/>
      </w:pPr>
      <w:r>
        <w:rPr>
          <w:rFonts w:ascii="Calibri" w:hAnsi="Calibri"/>
          <w:b/>
          <w:color w:val="C9A84C"/>
          <w:sz w:val="56"/>
        </w:rPr>
        <w:t>2024</w:t>
      </w:r>
    </w:p>
    <w:p/>
    <w:p>
      <w:pPr>
        <w:jc w:val="center"/>
      </w:pPr>
      <w:r>
        <w:rPr>
          <w:rFonts w:ascii="Calibri" w:hAnsi="Calibri"/>
          <w:color w:val="666666"/>
          <w:sz w:val="26"/>
        </w:rPr>
        <w:t>Consolidated Regional Sales Analysis  •  Strategic Insights</w:t>
      </w:r>
    </w:p>
    <w:p>
      <w:pPr>
        <w:jc w:val="center"/>
      </w:pPr>
      <w:r>
        <w:rPr>
          <w:color w:val="C9A84C"/>
          <w:sz w:val="16"/>
        </w:rPr>
        <w:t>━━━━━━━━━━━━━━━━━━━━━━━━━━━━━━━━━━━━━━━━</w:t>
      </w:r>
    </w:p>
    <w:p/>
    <w:p/>
    <w:p>
      <w:pPr>
        <w:jc w:val="center"/>
      </w:pPr>
      <w:r>
        <w:rPr>
          <w:rFonts w:ascii="Calibri" w:hAnsi="Calibri"/>
          <w:color w:val="999999"/>
          <w:sz w:val="20"/>
        </w:rPr>
        <w:t>Prepared: June 13, 2026</w:t>
      </w:r>
    </w:p>
    <w:p>
      <w:pPr>
        <w:jc w:val="center"/>
      </w:pPr>
      <w:r>
        <w:rPr>
          <w:rFonts w:ascii="Calibri" w:hAnsi="Calibri"/>
          <w:color w:val="999999"/>
          <w:sz w:val="20"/>
        </w:rPr>
        <w:t>Classification: Confidential</w:t>
      </w:r>
    </w:p>
    <w:p>
      <w:pPr>
        <w:jc w:val="center"/>
      </w:pPr>
      <w:r>
        <w:rPr>
          <w:rFonts w:ascii="Calibri" w:hAnsi="Calibri"/>
          <w:color w:val="999999"/>
          <w:sz w:val="20"/>
        </w:rPr>
        <w:t>For Management Review Only</w:t>
      </w:r>
    </w:p>
    <w:p>
      <w:r>
        <w:br w:type="page"/>
      </w:r>
    </w:p>
    <w:p>
      <w:pPr>
        <w:pStyle w:val="Heading1"/>
      </w:pPr>
      <w:r>
        <w:t>Table of Contents</w:t>
      </w:r>
    </w:p>
    <w:p>
      <w:pPr>
        <w:spacing w:before="80" w:after="80"/>
        <w:pBdr>
          <w:bottom w:val="single" w:sz="8" w:space="1" w:color="C9A84C"/>
        </w:pBdr>
      </w:pPr>
    </w:p>
    <w:p>
      <w:pPr>
        <w:spacing w:after="60"/>
      </w:pPr>
      <w:r>
        <w:rPr>
          <w:rFonts w:ascii="Calibri" w:hAnsi="Calibri"/>
          <w:color w:val="1F3A5F"/>
          <w:sz w:val="24"/>
        </w:rPr>
        <w:t>1.  Executive Summary</w:t>
      </w:r>
    </w:p>
    <w:p>
      <w:pPr>
        <w:spacing w:after="60"/>
        <w:ind w:left="432"/>
      </w:pPr>
      <w:r>
        <w:rPr>
          <w:rFonts w:ascii="Calibri" w:hAnsi="Calibri"/>
          <w:color w:val="1F3A5F"/>
          <w:sz w:val="24"/>
        </w:rPr>
        <w:t>2.  Performance Dashboard</w:t>
      </w:r>
    </w:p>
    <w:p>
      <w:pPr>
        <w:spacing w:after="60"/>
      </w:pPr>
      <w:r>
        <w:rPr>
          <w:rFonts w:ascii="Calibri" w:hAnsi="Calibri"/>
          <w:color w:val="1F3A5F"/>
          <w:sz w:val="24"/>
        </w:rPr>
        <w:t>3.  Regional Revenue Analysis</w:t>
      </w:r>
    </w:p>
    <w:p>
      <w:pPr>
        <w:spacing w:after="60"/>
        <w:ind w:left="432"/>
      </w:pPr>
      <w:r>
        <w:rPr>
          <w:rFonts w:ascii="Calibri" w:hAnsi="Calibri"/>
          <w:color w:val="1F3A5F"/>
          <w:sz w:val="24"/>
        </w:rPr>
        <w:t>4.  Market Share Overview</w:t>
      </w:r>
    </w:p>
    <w:p>
      <w:pPr>
        <w:spacing w:after="60"/>
      </w:pPr>
      <w:r>
        <w:rPr>
          <w:rFonts w:ascii="Calibri" w:hAnsi="Calibri"/>
          <w:color w:val="1F3A5F"/>
          <w:sz w:val="24"/>
        </w:rPr>
        <w:t>5.  Growth Trends</w:t>
      </w:r>
    </w:p>
    <w:p>
      <w:pPr>
        <w:spacing w:after="60"/>
        <w:ind w:left="432"/>
      </w:pPr>
      <w:r>
        <w:rPr>
          <w:rFonts w:ascii="Calibri" w:hAnsi="Calibri"/>
          <w:color w:val="1F3A5F"/>
          <w:sz w:val="24"/>
        </w:rPr>
        <w:t>6.  North Region</w:t>
      </w:r>
    </w:p>
    <w:p>
      <w:pPr>
        <w:spacing w:after="60"/>
      </w:pPr>
      <w:r>
        <w:rPr>
          <w:rFonts w:ascii="Calibri" w:hAnsi="Calibri"/>
          <w:color w:val="1F3A5F"/>
          <w:sz w:val="24"/>
        </w:rPr>
        <w:t>7.  South Region</w:t>
      </w:r>
    </w:p>
    <w:p>
      <w:pPr>
        <w:spacing w:after="60"/>
        <w:ind w:left="432"/>
      </w:pPr>
      <w:r>
        <w:rPr>
          <w:rFonts w:ascii="Calibri" w:hAnsi="Calibri"/>
          <w:color w:val="1F3A5F"/>
          <w:sz w:val="24"/>
        </w:rPr>
        <w:t>8.  East Region</w:t>
      </w:r>
    </w:p>
    <w:p>
      <w:pPr>
        <w:spacing w:after="60"/>
      </w:pPr>
      <w:r>
        <w:rPr>
          <w:rFonts w:ascii="Calibri" w:hAnsi="Calibri"/>
          <w:color w:val="1F3A5F"/>
          <w:sz w:val="24"/>
        </w:rPr>
        <w:t>9.  West Region</w:t>
      </w:r>
    </w:p>
    <w:p>
      <w:pPr>
        <w:spacing w:after="60"/>
        <w:ind w:left="432"/>
      </w:pPr>
      <w:r>
        <w:rPr>
          <w:rFonts w:ascii="Calibri" w:hAnsi="Calibri"/>
          <w:color w:val="1F3A5F"/>
          <w:sz w:val="24"/>
        </w:rPr>
        <w:t>10.  Central Region</w:t>
      </w:r>
    </w:p>
    <w:p>
      <w:pPr>
        <w:spacing w:after="60"/>
      </w:pPr>
      <w:r>
        <w:rPr>
          <w:rFonts w:ascii="Calibri" w:hAnsi="Calibri"/>
          <w:color w:val="1F3A5F"/>
          <w:sz w:val="24"/>
        </w:rPr>
        <w:t>11.  Key Findings</w:t>
      </w:r>
    </w:p>
    <w:p>
      <w:pPr>
        <w:spacing w:after="60"/>
        <w:ind w:left="432"/>
      </w:pPr>
      <w:r>
        <w:rPr>
          <w:rFonts w:ascii="Calibri" w:hAnsi="Calibri"/>
          <w:color w:val="1F3A5F"/>
          <w:sz w:val="24"/>
        </w:rPr>
        <w:t>12.  Strategic Recommendations</w:t>
      </w:r>
    </w:p>
    <w:p>
      <w:r>
        <w:br w:type="page"/>
      </w:r>
    </w:p>
    <w:p>
      <w:pPr>
        <w:pStyle w:val="Heading1"/>
      </w:pPr>
      <w:r>
        <w:t>1. Executive Summary</w:t>
      </w:r>
    </w:p>
    <w:p>
      <w:pPr>
        <w:spacing w:before="80" w:after="80"/>
        <w:pBdr>
          <w:bottom w:val="single" w:sz="8" w:space="1" w:color="C9A84C"/>
        </w:pBdr>
      </w:pPr>
    </w:p>
    <w:p>
      <w:pPr>
        <w:spacing w:before="0" w:after="120"/>
      </w:pPr>
      <w:r>
        <w:rPr>
          <w:rFonts w:ascii="Calibri" w:hAnsi="Calibri"/>
          <w:b w:val="0"/>
          <w:i w:val="0"/>
          <w:sz w:val="22"/>
        </w:rPr>
        <w:t>This report presents a comprehensive analysis of the company's sales performance across all major operating regions for the fiscal year 2024. The objective is to provide management with actionable insights into regional performance trends, growth opportunities, and areas requiring strategic attention.</w:t>
      </w:r>
    </w:p>
    <w:p>
      <w:pPr>
        <w:spacing w:before="120" w:after="120"/>
      </w:pPr>
      <w:r>
        <w:rPr>
          <w:rFonts w:ascii="Calibri" w:hAnsi="Calibri"/>
          <w:b w:val="0"/>
          <w:i w:val="0"/>
          <w:sz w:val="22"/>
        </w:rPr>
        <w:t>Sales increased in several regions while some regions experienced slower growth. Management requested a consolidated report to review trends and opportunities across the full portfolio. This document consolidates data from all seven regions, analyzing key performance indicators and identifying cross-regional patterns that inform the strategic recommendations outlined in the final section.</w:t>
      </w:r>
    </w:p>
    <w:tbl>
      <w:tblPr>
        <w:tblW w:type="auto" w:w="0"/>
        <w:jc w:val="center"/>
        <w:tblLook w:firstColumn="1" w:firstRow="1" w:lastColumn="0" w:lastRow="0" w:noHBand="0" w:noVBand="1" w:val="04A0"/>
      </w:tblPr>
      <w:tblGrid>
        <w:gridCol w:w="2196"/>
        <w:gridCol w:w="2196"/>
        <w:gridCol w:w="2196"/>
        <w:gridCol w:w="2196"/>
      </w:tblGrid>
      <w:tr>
        <w:tc>
          <w:tcPr>
            <w:tcW w:type="dxa" w:w="2196"/>
            <w:shd w:fill="FDF8EE" w:val="clear"/>
            <w:tcBorders>
              <w:bottom w:val="single" w:sz="12" w:space="0" w:color="C9A84C"/>
            </w:tcBorders>
          </w:tcPr>
          <w:p>
            <w:pPr>
              <w:spacing w:before="0" w:after="0"/>
              <w:jc w:val="center"/>
            </w:pPr>
            <w:r>
              <w:rPr>
                <w:rFonts w:ascii="Calibri" w:hAnsi="Calibri"/>
                <w:b/>
                <w:color w:val="1F3A5F"/>
                <w:sz w:val="52"/>
              </w:rPr>
              <w:t>$27.0M</w:t>
            </w:r>
          </w:p>
          <w:p>
            <w:pPr>
              <w:spacing w:before="0" w:after="0"/>
              <w:jc w:val="center"/>
            </w:pPr>
            <w:r>
              <w:rPr>
                <w:rFonts w:ascii="Calibri" w:hAnsi="Calibri"/>
                <w:color w:val="666666"/>
                <w:sz w:val="18"/>
              </w:rPr>
              <w:t>Total Q4 Revenue</w:t>
            </w:r>
          </w:p>
          <w:p>
            <w:pPr>
              <w:spacing w:before="0" w:after="0"/>
              <w:jc w:val="center"/>
            </w:pPr>
            <w:r>
              <w:rPr>
                <w:rFonts w:ascii="Calibri" w:hAnsi="Calibri"/>
                <w:color w:val="C9A84C"/>
                <w:sz w:val="16"/>
              </w:rPr>
              <w:t>+11.2% YoY</w:t>
            </w:r>
          </w:p>
        </w:tc>
        <w:tc>
          <w:tcPr>
            <w:tcW w:type="dxa" w:w="2196"/>
            <w:shd w:fill="FDF8EE" w:val="clear"/>
            <w:tcBorders>
              <w:bottom w:val="single" w:sz="12" w:space="0" w:color="C9A84C"/>
            </w:tcBorders>
          </w:tcPr>
          <w:p>
            <w:pPr>
              <w:spacing w:before="0" w:after="0"/>
              <w:jc w:val="center"/>
            </w:pPr>
            <w:r>
              <w:rPr>
                <w:rFonts w:ascii="Calibri" w:hAnsi="Calibri"/>
                <w:b/>
                <w:color w:val="1F3A5F"/>
                <w:sz w:val="52"/>
              </w:rPr>
              <w:t>18.2%</w:t>
            </w:r>
          </w:p>
          <w:p>
            <w:pPr>
              <w:spacing w:before="0" w:after="0"/>
              <w:jc w:val="center"/>
            </w:pPr>
            <w:r>
              <w:rPr>
                <w:rFonts w:ascii="Calibri" w:hAnsi="Calibri"/>
                <w:color w:val="666666"/>
                <w:sz w:val="18"/>
              </w:rPr>
              <w:t>Operating Margin</w:t>
            </w:r>
          </w:p>
          <w:p>
            <w:pPr>
              <w:spacing w:before="0" w:after="0"/>
              <w:jc w:val="center"/>
            </w:pPr>
            <w:r>
              <w:rPr>
                <w:rFonts w:ascii="Calibri" w:hAnsi="Calibri"/>
                <w:color w:val="C9A84C"/>
                <w:sz w:val="16"/>
              </w:rPr>
              <w:t>+2.1 pp</w:t>
            </w:r>
          </w:p>
        </w:tc>
        <w:tc>
          <w:tcPr>
            <w:tcW w:type="dxa" w:w="2196"/>
            <w:shd w:fill="FDF8EE" w:val="clear"/>
            <w:tcBorders>
              <w:bottom w:val="single" w:sz="12" w:space="0" w:color="C9A84C"/>
            </w:tcBorders>
          </w:tcPr>
          <w:p>
            <w:pPr>
              <w:spacing w:before="0" w:after="0"/>
              <w:jc w:val="center"/>
            </w:pPr>
            <w:r>
              <w:rPr>
                <w:rFonts w:ascii="Calibri" w:hAnsi="Calibri"/>
                <w:b/>
                <w:color w:val="1F3A5F"/>
                <w:sz w:val="52"/>
              </w:rPr>
              <w:t>5</w:t>
            </w:r>
          </w:p>
          <w:p>
            <w:pPr>
              <w:spacing w:before="0" w:after="0"/>
              <w:jc w:val="center"/>
            </w:pPr>
            <w:r>
              <w:rPr>
                <w:rFonts w:ascii="Calibri" w:hAnsi="Calibri"/>
                <w:color w:val="666666"/>
                <w:sz w:val="18"/>
              </w:rPr>
              <w:t>Regions Analyzed</w:t>
            </w:r>
          </w:p>
          <w:p>
            <w:pPr>
              <w:spacing w:before="0" w:after="0"/>
              <w:jc w:val="center"/>
            </w:pPr>
            <w:r>
              <w:rPr>
                <w:rFonts w:ascii="Calibri" w:hAnsi="Calibri"/>
                <w:color w:val="C9A84C"/>
                <w:sz w:val="16"/>
              </w:rPr>
              <w:t>Nationwide</w:t>
            </w:r>
          </w:p>
        </w:tc>
        <w:tc>
          <w:tcPr>
            <w:tcW w:type="dxa" w:w="2196"/>
            <w:shd w:fill="FDF8EE" w:val="clear"/>
            <w:tcBorders>
              <w:bottom w:val="single" w:sz="12" w:space="0" w:color="C9A84C"/>
            </w:tcBorders>
          </w:tcPr>
          <w:p>
            <w:pPr>
              <w:spacing w:before="0" w:after="0"/>
              <w:jc w:val="center"/>
            </w:pPr>
            <w:r>
              <w:rPr>
                <w:rFonts w:ascii="Calibri" w:hAnsi="Calibri"/>
                <w:b/>
                <w:color w:val="1F3A5F"/>
                <w:sz w:val="52"/>
              </w:rPr>
              <w:t>16.8%</w:t>
            </w:r>
          </w:p>
          <w:p>
            <w:pPr>
              <w:spacing w:before="0" w:after="0"/>
              <w:jc w:val="center"/>
            </w:pPr>
            <w:r>
              <w:rPr>
                <w:rFonts w:ascii="Calibri" w:hAnsi="Calibri"/>
                <w:color w:val="666666"/>
                <w:sz w:val="18"/>
              </w:rPr>
              <w:t>Best Growth Rate</w:t>
            </w:r>
          </w:p>
          <w:p>
            <w:pPr>
              <w:spacing w:before="0" w:after="0"/>
              <w:jc w:val="center"/>
            </w:pPr>
            <w:r>
              <w:rPr>
                <w:rFonts w:ascii="Calibri" w:hAnsi="Calibri"/>
                <w:color w:val="C9A84C"/>
                <w:sz w:val="16"/>
              </w:rPr>
              <w:t>West Region</w:t>
            </w:r>
          </w:p>
        </w:tc>
      </w:tr>
    </w:tbl>
    <w:p/>
    <w:p>
      <w:pPr>
        <w:spacing w:before="0" w:after="120"/>
      </w:pPr>
      <w:r>
        <w:rPr>
          <w:rFonts w:ascii="Calibri" w:hAnsi="Calibri"/>
          <w:b w:val="0"/>
          <w:i/>
          <w:color w:val="666666"/>
          <w:sz w:val="22"/>
        </w:rPr>
        <w:t>The findings indicate strong overall growth momentum, with particular strength in the West and South regions. The North and Central regions present targeted improvement opportunities that, if addressed, could unlock significant additional revenue.</w:t>
      </w:r>
    </w:p>
    <w:p>
      <w:r>
        <w:br w:type="page"/>
      </w:r>
    </w:p>
    <w:p>
      <w:pPr>
        <w:pStyle w:val="Heading1"/>
      </w:pPr>
      <w:r>
        <w:t>2. Performance Dashboard</w:t>
      </w:r>
    </w:p>
    <w:p>
      <w:pPr>
        <w:spacing w:before="80" w:after="80"/>
        <w:pBdr>
          <w:bottom w:val="single" w:sz="8" w:space="1" w:color="C9A84C"/>
        </w:pBdr>
      </w:pPr>
    </w:p>
    <w:p>
      <w:pPr>
        <w:spacing w:before="0" w:after="120"/>
      </w:pPr>
      <w:r>
        <w:rPr>
          <w:rFonts w:ascii="Calibri" w:hAnsi="Calibri"/>
          <w:b w:val="0"/>
          <w:i/>
          <w:color w:val="666666"/>
          <w:sz w:val="22"/>
        </w:rPr>
        <w:t>Key performance indicators across all operating regions for Q4 2024.</w:t>
      </w:r>
    </w:p>
    <w:tbl>
      <w:tblPr>
        <w:tblW w:type="auto" w:w="0"/>
        <w:jc w:val="center"/>
        <w:tblLook w:firstColumn="1" w:firstRow="1" w:lastColumn="0" w:lastRow="0" w:noHBand="0" w:noVBand="1" w:val="04A0"/>
      </w:tblPr>
      <w:tblGrid>
        <w:gridCol w:w="2928"/>
        <w:gridCol w:w="2928"/>
        <w:gridCol w:w="2928"/>
      </w:tblGrid>
      <w:tr>
        <w:tc>
          <w:tcPr>
            <w:tcW w:type="dxa" w:w="2928"/>
            <w:shd w:fill="FDF8EE" w:val="clear"/>
            <w:tcBorders>
              <w:bottom w:val="single" w:sz="12" w:space="0" w:color="C9A84C"/>
            </w:tcBorders>
          </w:tcPr>
          <w:p>
            <w:pPr>
              <w:spacing w:before="0" w:after="0"/>
              <w:jc w:val="center"/>
            </w:pPr>
            <w:r>
              <w:rPr>
                <w:rFonts w:ascii="Calibri" w:hAnsi="Calibri"/>
                <w:b/>
                <w:color w:val="1F3A5F"/>
                <w:sz w:val="52"/>
              </w:rPr>
              <w:t>$27.0M</w:t>
            </w:r>
          </w:p>
          <w:p>
            <w:pPr>
              <w:spacing w:before="0" w:after="0"/>
              <w:jc w:val="center"/>
            </w:pPr>
            <w:r>
              <w:rPr>
                <w:rFonts w:ascii="Calibri" w:hAnsi="Calibri"/>
                <w:color w:val="666666"/>
                <w:sz w:val="18"/>
              </w:rPr>
              <w:t>Consolidated Revenue</w:t>
            </w:r>
          </w:p>
          <w:p>
            <w:pPr>
              <w:spacing w:before="0" w:after="0"/>
              <w:jc w:val="center"/>
            </w:pPr>
            <w:r>
              <w:rPr>
                <w:rFonts w:ascii="Calibri" w:hAnsi="Calibri"/>
                <w:color w:val="C9A84C"/>
                <w:sz w:val="16"/>
              </w:rPr>
              <w:t>Q4 2024 Total</w:t>
            </w:r>
          </w:p>
        </w:tc>
        <w:tc>
          <w:tcPr>
            <w:tcW w:type="dxa" w:w="2928"/>
            <w:shd w:fill="FDF8EE" w:val="clear"/>
            <w:tcBorders>
              <w:bottom w:val="single" w:sz="12" w:space="0" w:color="C9A84C"/>
            </w:tcBorders>
          </w:tcPr>
          <w:p>
            <w:pPr>
              <w:spacing w:before="0" w:after="0"/>
              <w:jc w:val="center"/>
            </w:pPr>
            <w:r>
              <w:rPr>
                <w:rFonts w:ascii="Calibri" w:hAnsi="Calibri"/>
                <w:b/>
                <w:color w:val="1F3A5F"/>
                <w:sz w:val="52"/>
              </w:rPr>
              <w:t>11.2%</w:t>
            </w:r>
          </w:p>
          <w:p>
            <w:pPr>
              <w:spacing w:before="0" w:after="0"/>
              <w:jc w:val="center"/>
            </w:pPr>
            <w:r>
              <w:rPr>
                <w:rFonts w:ascii="Calibri" w:hAnsi="Calibri"/>
                <w:color w:val="666666"/>
                <w:sz w:val="18"/>
              </w:rPr>
              <w:t>Avg. YoY Growth</w:t>
            </w:r>
          </w:p>
          <w:p>
            <w:pPr>
              <w:spacing w:before="0" w:after="0"/>
              <w:jc w:val="center"/>
            </w:pPr>
            <w:r>
              <w:rPr>
                <w:rFonts w:ascii="Calibri" w:hAnsi="Calibri"/>
                <w:color w:val="C9A84C"/>
                <w:sz w:val="16"/>
              </w:rPr>
              <w:t>Company-Wide</w:t>
            </w:r>
          </w:p>
        </w:tc>
        <w:tc>
          <w:tcPr>
            <w:tcW w:type="dxa" w:w="2928"/>
            <w:shd w:fill="FDF8EE" w:val="clear"/>
            <w:tcBorders>
              <w:bottom w:val="single" w:sz="12" w:space="0" w:color="C9A84C"/>
            </w:tcBorders>
          </w:tcPr>
          <w:p>
            <w:pPr>
              <w:spacing w:before="0" w:after="0"/>
              <w:jc w:val="center"/>
            </w:pPr>
            <w:r>
              <w:rPr>
                <w:rFonts w:ascii="Calibri" w:hAnsi="Calibri"/>
                <w:b/>
                <w:color w:val="1F3A5F"/>
                <w:sz w:val="52"/>
              </w:rPr>
              <w:t>26.4%</w:t>
            </w:r>
          </w:p>
          <w:p>
            <w:pPr>
              <w:spacing w:before="0" w:after="0"/>
              <w:jc w:val="center"/>
            </w:pPr>
            <w:r>
              <w:rPr>
                <w:rFonts w:ascii="Calibri" w:hAnsi="Calibri"/>
                <w:color w:val="666666"/>
                <w:sz w:val="18"/>
              </w:rPr>
              <w:t>Highest Market Share</w:t>
            </w:r>
          </w:p>
          <w:p>
            <w:pPr>
              <w:spacing w:before="0" w:after="0"/>
              <w:jc w:val="center"/>
            </w:pPr>
            <w:r>
              <w:rPr>
                <w:rFonts w:ascii="Calibri" w:hAnsi="Calibri"/>
                <w:color w:val="C9A84C"/>
                <w:sz w:val="16"/>
              </w:rPr>
              <w:t>West Region</w:t>
            </w:r>
          </w:p>
        </w:tc>
      </w:tr>
      <w:tr>
        <w:tc>
          <w:tcPr>
            <w:tcW w:type="dxa" w:w="2928"/>
            <w:shd w:fill="FDF8EE" w:val="clear"/>
            <w:tcBorders>
              <w:bottom w:val="single" w:sz="12" w:space="0" w:color="C9A84C"/>
            </w:tcBorders>
          </w:tcPr>
          <w:p>
            <w:pPr>
              <w:spacing w:before="0" w:after="0"/>
              <w:jc w:val="center"/>
            </w:pPr>
            <w:r>
              <w:rPr>
                <w:rFonts w:ascii="Calibri" w:hAnsi="Calibri"/>
                <w:b/>
                <w:color w:val="C9A84C"/>
                <w:sz w:val="52"/>
              </w:rPr>
              <w:t>5.2%</w:t>
            </w:r>
          </w:p>
          <w:p>
            <w:pPr>
              <w:spacing w:before="0" w:after="0"/>
              <w:jc w:val="center"/>
            </w:pPr>
            <w:r>
              <w:rPr>
                <w:rFonts w:ascii="Calibri" w:hAnsi="Calibri"/>
                <w:color w:val="666666"/>
                <w:sz w:val="18"/>
              </w:rPr>
              <w:t>Improvement Target</w:t>
            </w:r>
          </w:p>
          <w:p>
            <w:pPr>
              <w:spacing w:before="0" w:after="0"/>
              <w:jc w:val="center"/>
            </w:pPr>
            <w:r>
              <w:rPr>
                <w:rFonts w:ascii="Calibri" w:hAnsi="Calibri"/>
                <w:color w:val="C9A84C"/>
                <w:sz w:val="16"/>
              </w:rPr>
              <w:t>Central Region</w:t>
            </w:r>
          </w:p>
        </w:tc>
        <w:tc>
          <w:tcPr>
            <w:tcW w:type="dxa" w:w="2928"/>
            <w:shd w:fill="FDF8EE" w:val="clear"/>
            <w:tcBorders>
              <w:bottom w:val="single" w:sz="12" w:space="0" w:color="C9A84C"/>
            </w:tcBorders>
          </w:tcPr>
          <w:p>
            <w:pPr>
              <w:spacing w:before="0" w:after="0"/>
              <w:jc w:val="center"/>
            </w:pPr>
            <w:r>
              <w:rPr>
                <w:rFonts w:ascii="Calibri" w:hAnsi="Calibri"/>
                <w:b/>
                <w:color w:val="1F3A5F"/>
                <w:sz w:val="52"/>
              </w:rPr>
              <w:t>4.6/5.0</w:t>
            </w:r>
          </w:p>
          <w:p>
            <w:pPr>
              <w:spacing w:before="0" w:after="0"/>
              <w:jc w:val="center"/>
            </w:pPr>
            <w:r>
              <w:rPr>
                <w:rFonts w:ascii="Calibri" w:hAnsi="Calibri"/>
                <w:color w:val="666666"/>
                <w:sz w:val="18"/>
              </w:rPr>
              <w:t>Customer Satisfaction</w:t>
            </w:r>
          </w:p>
          <w:p>
            <w:pPr>
              <w:spacing w:before="0" w:after="0"/>
              <w:jc w:val="center"/>
            </w:pPr>
            <w:r>
              <w:rPr>
                <w:rFonts w:ascii="Calibri" w:hAnsi="Calibri"/>
                <w:color w:val="C9A84C"/>
                <w:sz w:val="16"/>
              </w:rPr>
              <w:t>South Region</w:t>
            </w:r>
          </w:p>
        </w:tc>
        <w:tc>
          <w:tcPr>
            <w:tcW w:type="dxa" w:w="2928"/>
            <w:shd w:fill="FDF8EE" w:val="clear"/>
            <w:tcBorders>
              <w:bottom w:val="single" w:sz="12" w:space="0" w:color="C9A84C"/>
            </w:tcBorders>
          </w:tcPr>
          <w:p>
            <w:pPr>
              <w:spacing w:before="0" w:after="0"/>
              <w:jc w:val="center"/>
            </w:pPr>
            <w:r>
              <w:rPr>
                <w:rFonts w:ascii="Calibri" w:hAnsi="Calibri"/>
                <w:b/>
                <w:color w:val="C9A84C"/>
                <w:sz w:val="52"/>
              </w:rPr>
              <w:t>45%</w:t>
            </w:r>
          </w:p>
          <w:p>
            <w:pPr>
              <w:spacing w:before="0" w:after="0"/>
              <w:jc w:val="center"/>
            </w:pPr>
            <w:r>
              <w:rPr>
                <w:rFonts w:ascii="Calibri" w:hAnsi="Calibri"/>
                <w:color w:val="666666"/>
                <w:sz w:val="18"/>
              </w:rPr>
              <w:t>E-Commerce Growth</w:t>
            </w:r>
          </w:p>
          <w:p>
            <w:pPr>
              <w:spacing w:before="0" w:after="0"/>
              <w:jc w:val="center"/>
            </w:pPr>
            <w:r>
              <w:rPr>
                <w:rFonts w:ascii="Calibri" w:hAnsi="Calibri"/>
                <w:color w:val="C9A84C"/>
                <w:sz w:val="16"/>
              </w:rPr>
              <w:t>West Region YoY</w:t>
            </w:r>
          </w:p>
        </w:tc>
      </w:tr>
    </w:tbl>
    <w:p/>
    <w:p>
      <w:pPr>
        <w:spacing w:before="120" w:after="120"/>
      </w:pPr>
      <w:r>
        <w:rPr>
          <w:rFonts w:ascii="Calibri" w:hAnsi="Calibri"/>
          <w:b/>
          <w:i w:val="0"/>
          <w:color w:val="1F3A5F"/>
          <w:sz w:val="24"/>
        </w:rPr>
        <w:t>Regional Goal Achievement</w:t>
      </w:r>
    </w:p>
    <w:p>
      <w:pPr>
        <w:spacing w:before="0" w:after="120"/>
      </w:pPr>
      <w:r>
        <w:rPr>
          <w:rFonts w:ascii="Calibri" w:hAnsi="Calibri"/>
          <w:b w:val="0"/>
          <w:i/>
          <w:color w:val="666666"/>
          <w:sz w:val="18"/>
        </w:rPr>
        <w:t>Progress toward FY 2024 revenue targets by region:</w:t>
      </w:r>
    </w:p>
    <w:tbl>
      <w:tblPr>
        <w:tblW w:type="auto" w:w="0"/>
        <w:jc w:val="center"/>
        <w:tblLook w:firstColumn="1" w:firstRow="1" w:lastColumn="0" w:lastRow="0" w:noHBand="0" w:noVBand="1" w:val="04A0"/>
      </w:tblPr>
      <w:tblGrid>
        <w:gridCol w:w="2928"/>
        <w:gridCol w:w="2928"/>
        <w:gridCol w:w="2928"/>
      </w:tblGrid>
      <w:tr>
        <w:tc>
          <w:tcPr>
            <w:tcW w:type="dxa" w:w="1728"/>
            <w:shd w:fill="1F3A5F" w:val="clear"/>
          </w:tcPr>
          <w:p>
            <w:pPr>
              <w:jc w:val="center"/>
            </w:pPr>
            <w:r/>
            <w:r>
              <w:rPr>
                <w:rFonts w:ascii="Calibri" w:hAnsi="Calibri"/>
                <w:b/>
                <w:color w:val="FFFFFF"/>
                <w:sz w:val="18"/>
              </w:rPr>
              <w:t>Region</w:t>
            </w:r>
          </w:p>
        </w:tc>
        <w:tc>
          <w:tcPr>
            <w:tcW w:type="dxa" w:w="5040"/>
            <w:shd w:fill="1F3A5F" w:val="clear"/>
          </w:tcPr>
          <w:p>
            <w:pPr>
              <w:jc w:val="center"/>
            </w:pPr>
            <w:r/>
            <w:r>
              <w:rPr>
                <w:rFonts w:ascii="Calibri" w:hAnsi="Calibri"/>
                <w:b/>
                <w:color w:val="FFFFFF"/>
                <w:sz w:val="18"/>
              </w:rPr>
              <w:t>Progress</w:t>
            </w:r>
          </w:p>
        </w:tc>
        <w:tc>
          <w:tcPr>
            <w:tcW w:type="dxa" w:w="1440"/>
            <w:shd w:fill="1F3A5F" w:val="clear"/>
          </w:tcPr>
          <w:p>
            <w:pPr>
              <w:jc w:val="center"/>
            </w:pPr>
            <w:r/>
            <w:r>
              <w:rPr>
                <w:rFonts w:ascii="Calibri" w:hAnsi="Calibri"/>
                <w:b/>
                <w:color w:val="FFFFFF"/>
                <w:sz w:val="18"/>
              </w:rPr>
              <w:t>Achievement</w:t>
            </w:r>
          </w:p>
        </w:tc>
      </w:tr>
      <w:tr>
        <w:tc>
          <w:tcPr>
            <w:tcW w:type="dxa" w:w="1728"/>
            <w:shd w:fill="FDF8EE" w:val="clear"/>
            <w:tcBorders>
              <w:left w:val="single" w:sz="6" w:space="0" w:color="C9A84C"/>
              <w:right w:val="single" w:sz="6" w:space="0" w:color="C9A84C"/>
            </w:tcBorders>
          </w:tcPr>
          <w:p>
            <w:pPr>
              <w:jc w:val="left"/>
            </w:pPr>
            <w:r/>
            <w:r>
              <w:rPr>
                <w:rFonts w:ascii="Calibri" w:hAnsi="Calibri"/>
                <w:b/>
                <w:color w:val="1F3A5F"/>
                <w:sz w:val="20"/>
              </w:rPr>
              <w:t>West</w:t>
            </w:r>
          </w:p>
        </w:tc>
        <w:tc>
          <w:tcPr>
            <w:tcW w:type="dxa" w:w="5040"/>
            <w:shd w:fill="FDF8EE" w:val="clear"/>
            <w:tcBorders>
              <w:left w:val="single" w:sz="6" w:space="0" w:color="C9A84C"/>
              <w:right w:val="single" w:sz="6" w:space="0" w:color="C9A84C"/>
            </w:tcBorders>
          </w:tcPr>
          <w:p>
            <w:pPr>
              <w:jc w:val="left"/>
            </w:pPr>
            <w:r/>
            <w:r>
              <w:rPr>
                <w:rFonts w:ascii="Calibri" w:hAnsi="Calibri"/>
                <w:b w:val="0"/>
                <w:color w:val="1F3A5F"/>
                <w:sz w:val="16"/>
              </w:rPr>
              <w:t>██████████████████░░</w:t>
            </w:r>
          </w:p>
        </w:tc>
        <w:tc>
          <w:tcPr>
            <w:tcW w:type="dxa" w:w="1440"/>
            <w:shd w:fill="FDF8EE" w:val="clear"/>
            <w:tcBorders>
              <w:left w:val="single" w:sz="6" w:space="0" w:color="C9A84C"/>
              <w:right w:val="single" w:sz="6" w:space="0" w:color="C9A84C"/>
            </w:tcBorders>
          </w:tcPr>
          <w:p>
            <w:pPr>
              <w:jc w:val="center"/>
            </w:pPr>
            <w:r/>
            <w:r>
              <w:rPr>
                <w:rFonts w:ascii="Calibri" w:hAnsi="Calibri"/>
                <w:b/>
                <w:color w:val="1F3A5F"/>
                <w:sz w:val="22"/>
              </w:rPr>
              <w:t>92%</w:t>
            </w:r>
          </w:p>
        </w:tc>
      </w:tr>
      <w:tr>
        <w:tc>
          <w:tcPr>
            <w:tcW w:type="dxa" w:w="1728"/>
            <w:shd w:fill="FFFFFF" w:val="clear"/>
          </w:tcPr>
          <w:p>
            <w:pPr>
              <w:jc w:val="left"/>
            </w:pPr>
            <w:r/>
            <w:r>
              <w:rPr>
                <w:rFonts w:ascii="Calibri" w:hAnsi="Calibri"/>
                <w:b/>
                <w:color w:val="1F3A5F"/>
                <w:sz w:val="20"/>
              </w:rPr>
              <w:t>South</w:t>
            </w:r>
          </w:p>
        </w:tc>
        <w:tc>
          <w:tcPr>
            <w:tcW w:type="dxa" w:w="5040"/>
            <w:shd w:fill="FFFFFF" w:val="clear"/>
          </w:tcPr>
          <w:p>
            <w:pPr>
              <w:jc w:val="left"/>
            </w:pPr>
            <w:r/>
            <w:r>
              <w:rPr>
                <w:rFonts w:ascii="Calibri" w:hAnsi="Calibri"/>
                <w:b w:val="0"/>
                <w:color w:val="1F3A5F"/>
                <w:sz w:val="16"/>
              </w:rPr>
              <w:t>█████████████████░░░</w:t>
            </w:r>
          </w:p>
        </w:tc>
        <w:tc>
          <w:tcPr>
            <w:tcW w:type="dxa" w:w="1440"/>
            <w:shd w:fill="FFFFFF" w:val="clear"/>
          </w:tcPr>
          <w:p>
            <w:pPr>
              <w:jc w:val="center"/>
            </w:pPr>
            <w:r/>
            <w:r>
              <w:rPr>
                <w:rFonts w:ascii="Calibri" w:hAnsi="Calibri"/>
                <w:b/>
                <w:color w:val="1F3A5F"/>
                <w:sz w:val="22"/>
              </w:rPr>
              <w:t>88%</w:t>
            </w:r>
          </w:p>
        </w:tc>
      </w:tr>
      <w:tr>
        <w:tc>
          <w:tcPr>
            <w:tcW w:type="dxa" w:w="1728"/>
            <w:shd w:fill="FDF8EE" w:val="clear"/>
          </w:tcPr>
          <w:p>
            <w:pPr>
              <w:jc w:val="left"/>
            </w:pPr>
            <w:r/>
            <w:r>
              <w:rPr>
                <w:rFonts w:ascii="Calibri" w:hAnsi="Calibri"/>
                <w:b/>
                <w:color w:val="1F3A5F"/>
                <w:sz w:val="20"/>
              </w:rPr>
              <w:t>East</w:t>
            </w:r>
          </w:p>
        </w:tc>
        <w:tc>
          <w:tcPr>
            <w:tcW w:type="dxa" w:w="5040"/>
            <w:shd w:fill="FDF8EE" w:val="clear"/>
          </w:tcPr>
          <w:p>
            <w:pPr>
              <w:jc w:val="left"/>
            </w:pPr>
            <w:r/>
            <w:r>
              <w:rPr>
                <w:rFonts w:ascii="Calibri" w:hAnsi="Calibri"/>
                <w:b w:val="0"/>
                <w:color w:val="1F3A5F"/>
                <w:sz w:val="16"/>
              </w:rPr>
              <w:t>███████████████░░░░░</w:t>
            </w:r>
          </w:p>
        </w:tc>
        <w:tc>
          <w:tcPr>
            <w:tcW w:type="dxa" w:w="1440"/>
            <w:shd w:fill="FDF8EE" w:val="clear"/>
          </w:tcPr>
          <w:p>
            <w:pPr>
              <w:jc w:val="center"/>
            </w:pPr>
            <w:r/>
            <w:r>
              <w:rPr>
                <w:rFonts w:ascii="Calibri" w:hAnsi="Calibri"/>
                <w:b/>
                <w:color w:val="1F3A5F"/>
                <w:sz w:val="22"/>
              </w:rPr>
              <w:t>79%</w:t>
            </w:r>
          </w:p>
        </w:tc>
      </w:tr>
      <w:tr>
        <w:tc>
          <w:tcPr>
            <w:tcW w:type="dxa" w:w="1728"/>
            <w:shd w:fill="FFFFFF" w:val="clear"/>
          </w:tcPr>
          <w:p>
            <w:pPr>
              <w:jc w:val="left"/>
            </w:pPr>
            <w:r/>
            <w:r>
              <w:rPr>
                <w:rFonts w:ascii="Calibri" w:hAnsi="Calibri"/>
                <w:b/>
                <w:color w:val="1F3A5F"/>
                <w:sz w:val="20"/>
              </w:rPr>
              <w:t>North</w:t>
            </w:r>
          </w:p>
        </w:tc>
        <w:tc>
          <w:tcPr>
            <w:tcW w:type="dxa" w:w="5040"/>
            <w:shd w:fill="FFFFFF" w:val="clear"/>
          </w:tcPr>
          <w:p>
            <w:pPr>
              <w:jc w:val="left"/>
            </w:pPr>
            <w:r/>
            <w:r>
              <w:rPr>
                <w:rFonts w:ascii="Calibri" w:hAnsi="Calibri"/>
                <w:b w:val="0"/>
                <w:color w:val="1F3A5F"/>
                <w:sz w:val="16"/>
              </w:rPr>
              <w:t>██████████████░░░░░░</w:t>
            </w:r>
          </w:p>
        </w:tc>
        <w:tc>
          <w:tcPr>
            <w:tcW w:type="dxa" w:w="1440"/>
            <w:shd w:fill="FFFFFF" w:val="clear"/>
          </w:tcPr>
          <w:p>
            <w:pPr>
              <w:jc w:val="center"/>
            </w:pPr>
            <w:r/>
            <w:r>
              <w:rPr>
                <w:rFonts w:ascii="Calibri" w:hAnsi="Calibri"/>
                <w:b/>
                <w:color w:val="1F3A5F"/>
                <w:sz w:val="22"/>
              </w:rPr>
              <w:t>71%</w:t>
            </w:r>
          </w:p>
        </w:tc>
      </w:tr>
      <w:tr>
        <w:tc>
          <w:tcPr>
            <w:tcW w:type="dxa" w:w="1728"/>
            <w:shd w:fill="FDF8EE" w:val="clear"/>
          </w:tcPr>
          <w:p>
            <w:pPr>
              <w:jc w:val="left"/>
            </w:pPr>
            <w:r/>
            <w:r>
              <w:rPr>
                <w:rFonts w:ascii="Calibri" w:hAnsi="Calibri"/>
                <w:b/>
                <w:color w:val="1F3A5F"/>
                <w:sz w:val="20"/>
              </w:rPr>
              <w:t>Central</w:t>
            </w:r>
          </w:p>
        </w:tc>
        <w:tc>
          <w:tcPr>
            <w:tcW w:type="dxa" w:w="5040"/>
            <w:shd w:fill="FDF8EE" w:val="clear"/>
          </w:tcPr>
          <w:p>
            <w:pPr>
              <w:jc w:val="left"/>
            </w:pPr>
            <w:r/>
            <w:r>
              <w:rPr>
                <w:rFonts w:ascii="Calibri" w:hAnsi="Calibri"/>
                <w:b w:val="0"/>
                <w:color w:val="1F3A5F"/>
                <w:sz w:val="16"/>
              </w:rPr>
              <w:t>███████████░░░░░░░░░</w:t>
            </w:r>
          </w:p>
        </w:tc>
        <w:tc>
          <w:tcPr>
            <w:tcW w:type="dxa" w:w="1440"/>
            <w:shd w:fill="FDF8EE" w:val="clear"/>
          </w:tcPr>
          <w:p>
            <w:pPr>
              <w:jc w:val="center"/>
            </w:pPr>
            <w:r/>
            <w:r>
              <w:rPr>
                <w:rFonts w:ascii="Calibri" w:hAnsi="Calibri"/>
                <w:b/>
                <w:color w:val="1F3A5F"/>
                <w:sz w:val="22"/>
              </w:rPr>
              <w:t>58%</w:t>
            </w:r>
          </w:p>
        </w:tc>
      </w:tr>
    </w:tbl>
    <w:p>
      <w:r>
        <w:br w:type="page"/>
      </w:r>
    </w:p>
    <w:p>
      <w:pPr>
        <w:pStyle w:val="Heading1"/>
      </w:pPr>
      <w:r>
        <w:t>3. Regional Revenue Analysis</w:t>
      </w:r>
    </w:p>
    <w:p>
      <w:pPr>
        <w:spacing w:before="80" w:after="80"/>
        <w:pBdr>
          <w:bottom w:val="single" w:sz="8" w:space="1" w:color="C9A84C"/>
        </w:pBdr>
      </w:pPr>
    </w:p>
    <w:p>
      <w:pPr>
        <w:spacing w:before="0" w:after="120"/>
      </w:pPr>
      <w:r>
        <w:rPr>
          <w:rFonts w:ascii="Calibri" w:hAnsi="Calibri"/>
          <w:b w:val="0"/>
          <w:i w:val="0"/>
          <w:sz w:val="22"/>
        </w:rPr>
        <w:t>The bar chart below illustrates Q4 2024 revenue performance across all five operating regions. The West region leads with $7.3M in revenue, followed closely by the South at $6.8M. Together, these two regions account for over half of total company revenue.</w:t>
      </w:r>
    </w:p>
    <w:p>
      <w:pPr>
        <w:spacing w:before="80" w:after="40"/>
        <w:jc w:val="center"/>
      </w:pPr>
      <w:r>
        <w:rPr>
          <w:rFonts w:ascii="Calibri" w:hAnsi="Calibri"/>
          <w:b/>
          <w:i w:val="0"/>
          <w:color w:val="1F3A5F"/>
          <w:sz w:val="18"/>
        </w:rPr>
        <w:t>Chart 1: Q4 2024 Revenue by Region (USD Millions)</w:t>
      </w:r>
    </w:p>
    <w:p>
      <w:pPr>
        <w:jc w:val="center"/>
      </w:pPr>
      <w:r>
        <w:drawing>
          <wp:inline xmlns:a="http://schemas.openxmlformats.org/drawingml/2006/main" xmlns:pic="http://schemas.openxmlformats.org/drawingml/2006/picture">
            <wp:extent cx="5303520" cy="3045363"/>
            <wp:docPr id="1" name="Picture 1"/>
            <wp:cNvGraphicFramePr>
              <a:graphicFrameLocks noChangeAspect="1"/>
            </wp:cNvGraphicFramePr>
            <a:graphic>
              <a:graphicData uri="http://schemas.openxmlformats.org/drawingml/2006/picture">
                <pic:pic>
                  <pic:nvPicPr>
                    <pic:cNvPr id="0" name="bar_revenue.png"/>
                    <pic:cNvPicPr/>
                  </pic:nvPicPr>
                  <pic:blipFill>
                    <a:blip r:embed="rId9"/>
                    <a:stretch>
                      <a:fillRect/>
                    </a:stretch>
                  </pic:blipFill>
                  <pic:spPr>
                    <a:xfrm>
                      <a:off x="0" y="0"/>
                      <a:ext cx="5303520" cy="3045363"/>
                    </a:xfrm>
                    <a:prstGeom prst="rect"/>
                  </pic:spPr>
                </pic:pic>
              </a:graphicData>
            </a:graphic>
          </wp:inline>
        </w:drawing>
      </w:r>
    </w:p>
    <w:p/>
    <w:p>
      <w:pPr>
        <w:spacing w:before="80" w:after="120"/>
      </w:pPr>
      <w:r>
        <w:rPr>
          <w:rFonts w:ascii="Calibri" w:hAnsi="Calibri"/>
          <w:b/>
          <w:i w:val="0"/>
          <w:color w:val="1F3A5F"/>
          <w:sz w:val="24"/>
        </w:rPr>
        <w:t>Revenue Breakdown by Region</w:t>
      </w:r>
    </w:p>
    <w:tbl>
      <w:tblPr>
        <w:tblW w:type="auto" w:w="0"/>
        <w:jc w:val="center"/>
        <w:tblLook w:firstColumn="1" w:firstRow="1" w:lastColumn="0" w:lastRow="0" w:noHBand="0" w:noVBand="1" w:val="04A0"/>
      </w:tblPr>
      <w:tblGrid>
        <w:gridCol w:w="1757"/>
        <w:gridCol w:w="1757"/>
        <w:gridCol w:w="1757"/>
        <w:gridCol w:w="1757"/>
        <w:gridCol w:w="1757"/>
      </w:tblGrid>
      <w:tr>
        <w:tc>
          <w:tcPr>
            <w:tcW w:type="dxa" w:w="1757"/>
            <w:shd w:fill="1F3A5F" w:val="clear"/>
          </w:tcPr>
          <w:p>
            <w:pPr>
              <w:jc w:val="center"/>
            </w:pPr>
            <w:r/>
            <w:r>
              <w:rPr>
                <w:rFonts w:ascii="Calibri" w:hAnsi="Calibri"/>
                <w:b/>
                <w:color w:val="FFFFFF"/>
                <w:sz w:val="18"/>
              </w:rPr>
              <w:t>Region</w:t>
            </w:r>
          </w:p>
        </w:tc>
        <w:tc>
          <w:tcPr>
            <w:tcW w:type="dxa" w:w="1757"/>
            <w:shd w:fill="1F3A5F" w:val="clear"/>
          </w:tcPr>
          <w:p>
            <w:pPr>
              <w:jc w:val="center"/>
            </w:pPr>
            <w:r/>
            <w:r>
              <w:rPr>
                <w:rFonts w:ascii="Calibri" w:hAnsi="Calibri"/>
                <w:b/>
                <w:color w:val="FFFFFF"/>
                <w:sz w:val="18"/>
              </w:rPr>
              <w:t>Q4 Revenue</w:t>
            </w:r>
          </w:p>
        </w:tc>
        <w:tc>
          <w:tcPr>
            <w:tcW w:type="dxa" w:w="1757"/>
            <w:shd w:fill="1F3A5F" w:val="clear"/>
          </w:tcPr>
          <w:p>
            <w:pPr>
              <w:jc w:val="center"/>
            </w:pPr>
            <w:r/>
            <w:r>
              <w:rPr>
                <w:rFonts w:ascii="Calibri" w:hAnsi="Calibri"/>
                <w:b/>
                <w:color w:val="FFFFFF"/>
                <w:sz w:val="18"/>
              </w:rPr>
              <w:t>YoY Growth</w:t>
            </w:r>
          </w:p>
        </w:tc>
        <w:tc>
          <w:tcPr>
            <w:tcW w:type="dxa" w:w="1757"/>
            <w:shd w:fill="1F3A5F" w:val="clear"/>
          </w:tcPr>
          <w:p>
            <w:pPr>
              <w:jc w:val="center"/>
            </w:pPr>
            <w:r/>
            <w:r>
              <w:rPr>
                <w:rFonts w:ascii="Calibri" w:hAnsi="Calibri"/>
                <w:b/>
                <w:color w:val="FFFFFF"/>
                <w:sz w:val="18"/>
              </w:rPr>
              <w:t>Market Share</w:t>
            </w:r>
          </w:p>
        </w:tc>
        <w:tc>
          <w:tcPr>
            <w:tcW w:type="dxa" w:w="1757"/>
            <w:shd w:fill="1F3A5F" w:val="clear"/>
          </w:tcPr>
          <w:p>
            <w:pPr>
              <w:jc w:val="center"/>
            </w:pPr>
            <w:r/>
            <w:r>
              <w:rPr>
                <w:rFonts w:ascii="Calibri" w:hAnsi="Calibri"/>
                <w:b/>
                <w:color w:val="FFFFFF"/>
                <w:sz w:val="18"/>
              </w:rPr>
              <w:t>Status</w:t>
            </w:r>
          </w:p>
        </w:tc>
      </w:tr>
      <w:tr>
        <w:tc>
          <w:tcPr>
            <w:tcW w:type="dxa" w:w="1757"/>
            <w:shd w:fill="FDF8EE" w:val="clear"/>
          </w:tcPr>
          <w:p>
            <w:pPr>
              <w:jc w:val="center"/>
            </w:pPr>
            <w:r/>
            <w:r>
              <w:rPr>
                <w:rFonts w:ascii="Calibri" w:hAnsi="Calibri"/>
                <w:b w:val="0"/>
                <w:color w:val="1F3A5F"/>
                <w:sz w:val="20"/>
              </w:rPr>
              <w:t>West</w:t>
            </w:r>
          </w:p>
        </w:tc>
        <w:tc>
          <w:tcPr>
            <w:tcW w:type="dxa" w:w="1757"/>
            <w:shd w:fill="FDF8EE" w:val="clear"/>
          </w:tcPr>
          <w:p>
            <w:pPr>
              <w:jc w:val="center"/>
            </w:pPr>
            <w:r/>
            <w:r>
              <w:rPr>
                <w:rFonts w:ascii="Calibri" w:hAnsi="Calibri"/>
                <w:b w:val="0"/>
                <w:color w:val="1F3A5F"/>
                <w:sz w:val="20"/>
              </w:rPr>
              <w:t>$7.3M</w:t>
            </w:r>
          </w:p>
        </w:tc>
        <w:tc>
          <w:tcPr>
            <w:tcW w:type="dxa" w:w="1757"/>
            <w:shd w:fill="FDF8EE" w:val="clear"/>
          </w:tcPr>
          <w:p>
            <w:pPr>
              <w:jc w:val="center"/>
            </w:pPr>
            <w:r/>
            <w:r>
              <w:rPr>
                <w:rFonts w:ascii="Calibri" w:hAnsi="Calibri"/>
                <w:b w:val="0"/>
                <w:color w:val="1F3A5F"/>
                <w:sz w:val="20"/>
              </w:rPr>
              <w:t>+16.8%</w:t>
            </w:r>
          </w:p>
        </w:tc>
        <w:tc>
          <w:tcPr>
            <w:tcW w:type="dxa" w:w="1757"/>
            <w:shd w:fill="FDF8EE" w:val="clear"/>
          </w:tcPr>
          <w:p>
            <w:pPr>
              <w:jc w:val="center"/>
            </w:pPr>
            <w:r/>
            <w:r>
              <w:rPr>
                <w:rFonts w:ascii="Calibri" w:hAnsi="Calibri"/>
                <w:b w:val="0"/>
                <w:color w:val="1F3A5F"/>
                <w:sz w:val="20"/>
              </w:rPr>
              <w:t>26.4%</w:t>
            </w:r>
          </w:p>
        </w:tc>
        <w:tc>
          <w:tcPr>
            <w:tcW w:type="dxa" w:w="1757"/>
            <w:shd w:fill="D5F5E3" w:val="clear"/>
          </w:tcPr>
          <w:p>
            <w:pPr>
              <w:jc w:val="center"/>
            </w:pPr>
            <w:r/>
            <w:r>
              <w:rPr>
                <w:rFonts w:ascii="Calibri" w:hAnsi="Calibri"/>
                <w:b w:val="0"/>
                <w:color w:val="1F3A5F"/>
                <w:sz w:val="20"/>
              </w:rPr>
              <w:t>Exceeding</w:t>
            </w:r>
          </w:p>
        </w:tc>
      </w:tr>
      <w:tr>
        <w:tc>
          <w:tcPr>
            <w:tcW w:type="dxa" w:w="1757"/>
          </w:tcPr>
          <w:p>
            <w:pPr>
              <w:jc w:val="center"/>
            </w:pPr>
            <w:r/>
            <w:r>
              <w:rPr>
                <w:rFonts w:ascii="Calibri" w:hAnsi="Calibri"/>
                <w:b w:val="0"/>
                <w:color w:val="1F3A5F"/>
                <w:sz w:val="20"/>
              </w:rPr>
              <w:t>South</w:t>
            </w:r>
          </w:p>
        </w:tc>
        <w:tc>
          <w:tcPr>
            <w:tcW w:type="dxa" w:w="1757"/>
          </w:tcPr>
          <w:p>
            <w:pPr>
              <w:jc w:val="center"/>
            </w:pPr>
            <w:r/>
            <w:r>
              <w:rPr>
                <w:rFonts w:ascii="Calibri" w:hAnsi="Calibri"/>
                <w:b w:val="0"/>
                <w:color w:val="1F3A5F"/>
                <w:sz w:val="20"/>
              </w:rPr>
              <w:t>$6.8M</w:t>
            </w:r>
          </w:p>
        </w:tc>
        <w:tc>
          <w:tcPr>
            <w:tcW w:type="dxa" w:w="1757"/>
          </w:tcPr>
          <w:p>
            <w:pPr>
              <w:jc w:val="center"/>
            </w:pPr>
            <w:r/>
            <w:r>
              <w:rPr>
                <w:rFonts w:ascii="Calibri" w:hAnsi="Calibri"/>
                <w:b w:val="0"/>
                <w:color w:val="1F3A5F"/>
                <w:sz w:val="20"/>
              </w:rPr>
              <w:t>+14.2%</w:t>
            </w:r>
          </w:p>
        </w:tc>
        <w:tc>
          <w:tcPr>
            <w:tcW w:type="dxa" w:w="1757"/>
          </w:tcPr>
          <w:p>
            <w:pPr>
              <w:jc w:val="center"/>
            </w:pPr>
            <w:r/>
            <w:r>
              <w:rPr>
                <w:rFonts w:ascii="Calibri" w:hAnsi="Calibri"/>
                <w:b w:val="0"/>
                <w:color w:val="1F3A5F"/>
                <w:sz w:val="20"/>
              </w:rPr>
              <w:t>24.6%</w:t>
            </w:r>
          </w:p>
        </w:tc>
        <w:tc>
          <w:tcPr>
            <w:tcW w:type="dxa" w:w="1757"/>
            <w:shd w:fill="D5F5E3" w:val="clear"/>
          </w:tcPr>
          <w:p>
            <w:pPr>
              <w:jc w:val="center"/>
            </w:pPr>
            <w:r/>
            <w:r>
              <w:rPr>
                <w:rFonts w:ascii="Calibri" w:hAnsi="Calibri"/>
                <w:b w:val="0"/>
                <w:color w:val="1F3A5F"/>
                <w:sz w:val="20"/>
              </w:rPr>
              <w:t>Exceeding</w:t>
            </w:r>
          </w:p>
        </w:tc>
      </w:tr>
      <w:tr>
        <w:tc>
          <w:tcPr>
            <w:tcW w:type="dxa" w:w="1757"/>
            <w:shd w:fill="FDF8EE" w:val="clear"/>
          </w:tcPr>
          <w:p>
            <w:pPr>
              <w:jc w:val="center"/>
            </w:pPr>
            <w:r/>
            <w:r>
              <w:rPr>
                <w:rFonts w:ascii="Calibri" w:hAnsi="Calibri"/>
                <w:b w:val="0"/>
                <w:color w:val="1F3A5F"/>
                <w:sz w:val="20"/>
              </w:rPr>
              <w:t>East</w:t>
            </w:r>
          </w:p>
        </w:tc>
        <w:tc>
          <w:tcPr>
            <w:tcW w:type="dxa" w:w="1757"/>
            <w:shd w:fill="FDF8EE" w:val="clear"/>
          </w:tcPr>
          <w:p>
            <w:pPr>
              <w:jc w:val="center"/>
            </w:pPr>
            <w:r/>
            <w:r>
              <w:rPr>
                <w:rFonts w:ascii="Calibri" w:hAnsi="Calibri"/>
                <w:b w:val="0"/>
                <w:color w:val="1F3A5F"/>
                <w:sz w:val="20"/>
              </w:rPr>
              <w:t>$5.1M</w:t>
            </w:r>
          </w:p>
        </w:tc>
        <w:tc>
          <w:tcPr>
            <w:tcW w:type="dxa" w:w="1757"/>
            <w:shd w:fill="FDF8EE" w:val="clear"/>
          </w:tcPr>
          <w:p>
            <w:pPr>
              <w:jc w:val="center"/>
            </w:pPr>
            <w:r/>
            <w:r>
              <w:rPr>
                <w:rFonts w:ascii="Calibri" w:hAnsi="Calibri"/>
                <w:b w:val="0"/>
                <w:color w:val="1F3A5F"/>
                <w:sz w:val="20"/>
              </w:rPr>
              <w:t>+11.3%</w:t>
            </w:r>
          </w:p>
        </w:tc>
        <w:tc>
          <w:tcPr>
            <w:tcW w:type="dxa" w:w="1757"/>
            <w:shd w:fill="FDF8EE" w:val="clear"/>
          </w:tcPr>
          <w:p>
            <w:pPr>
              <w:jc w:val="center"/>
            </w:pPr>
            <w:r/>
            <w:r>
              <w:rPr>
                <w:rFonts w:ascii="Calibri" w:hAnsi="Calibri"/>
                <w:b w:val="0"/>
                <w:color w:val="1F3A5F"/>
                <w:sz w:val="20"/>
              </w:rPr>
              <w:t>20.1%</w:t>
            </w:r>
          </w:p>
        </w:tc>
        <w:tc>
          <w:tcPr>
            <w:tcW w:type="dxa" w:w="1757"/>
            <w:shd w:fill="FDEBD0" w:val="clear"/>
          </w:tcPr>
          <w:p>
            <w:pPr>
              <w:jc w:val="center"/>
            </w:pPr>
            <w:r/>
            <w:r>
              <w:rPr>
                <w:rFonts w:ascii="Calibri" w:hAnsi="Calibri"/>
                <w:b w:val="0"/>
                <w:color w:val="1F3A5F"/>
                <w:sz w:val="20"/>
              </w:rPr>
              <w:t>On Track</w:t>
            </w:r>
          </w:p>
        </w:tc>
      </w:tr>
      <w:tr>
        <w:tc>
          <w:tcPr>
            <w:tcW w:type="dxa" w:w="1757"/>
          </w:tcPr>
          <w:p>
            <w:pPr>
              <w:jc w:val="center"/>
            </w:pPr>
            <w:r/>
            <w:r>
              <w:rPr>
                <w:rFonts w:ascii="Calibri" w:hAnsi="Calibri"/>
                <w:b w:val="0"/>
                <w:color w:val="1F3A5F"/>
                <w:sz w:val="20"/>
              </w:rPr>
              <w:t>North</w:t>
            </w:r>
          </w:p>
        </w:tc>
        <w:tc>
          <w:tcPr>
            <w:tcW w:type="dxa" w:w="1757"/>
          </w:tcPr>
          <w:p>
            <w:pPr>
              <w:jc w:val="center"/>
            </w:pPr>
            <w:r/>
            <w:r>
              <w:rPr>
                <w:rFonts w:ascii="Calibri" w:hAnsi="Calibri"/>
                <w:b w:val="0"/>
                <w:color w:val="1F3A5F"/>
                <w:sz w:val="20"/>
              </w:rPr>
              <w:t>$4.2M</w:t>
            </w:r>
          </w:p>
        </w:tc>
        <w:tc>
          <w:tcPr>
            <w:tcW w:type="dxa" w:w="1757"/>
          </w:tcPr>
          <w:p>
            <w:pPr>
              <w:jc w:val="center"/>
            </w:pPr>
            <w:r/>
            <w:r>
              <w:rPr>
                <w:rFonts w:ascii="Calibri" w:hAnsi="Calibri"/>
                <w:b w:val="0"/>
                <w:color w:val="1F3A5F"/>
                <w:sz w:val="20"/>
              </w:rPr>
              <w:t>+8.5%</w:t>
            </w:r>
          </w:p>
        </w:tc>
        <w:tc>
          <w:tcPr>
            <w:tcW w:type="dxa" w:w="1757"/>
          </w:tcPr>
          <w:p>
            <w:pPr>
              <w:jc w:val="center"/>
            </w:pPr>
            <w:r/>
            <w:r>
              <w:rPr>
                <w:rFonts w:ascii="Calibri" w:hAnsi="Calibri"/>
                <w:b w:val="0"/>
                <w:color w:val="1F3A5F"/>
                <w:sz w:val="20"/>
              </w:rPr>
              <w:t>18.2%</w:t>
            </w:r>
          </w:p>
        </w:tc>
        <w:tc>
          <w:tcPr>
            <w:tcW w:type="dxa" w:w="1757"/>
            <w:shd w:fill="FDEBD0" w:val="clear"/>
          </w:tcPr>
          <w:p>
            <w:pPr>
              <w:jc w:val="center"/>
            </w:pPr>
            <w:r/>
            <w:r>
              <w:rPr>
                <w:rFonts w:ascii="Calibri" w:hAnsi="Calibri"/>
                <w:b w:val="0"/>
                <w:color w:val="1F3A5F"/>
                <w:sz w:val="20"/>
              </w:rPr>
              <w:t>On Track</w:t>
            </w:r>
          </w:p>
        </w:tc>
      </w:tr>
      <w:tr>
        <w:tc>
          <w:tcPr>
            <w:tcW w:type="dxa" w:w="1757"/>
            <w:shd w:fill="FDF8EE" w:val="clear"/>
          </w:tcPr>
          <w:p>
            <w:pPr>
              <w:jc w:val="center"/>
            </w:pPr>
            <w:r/>
            <w:r>
              <w:rPr>
                <w:rFonts w:ascii="Calibri" w:hAnsi="Calibri"/>
                <w:b w:val="0"/>
                <w:color w:val="1F3A5F"/>
                <w:sz w:val="20"/>
              </w:rPr>
              <w:t>Central</w:t>
            </w:r>
          </w:p>
        </w:tc>
        <w:tc>
          <w:tcPr>
            <w:tcW w:type="dxa" w:w="1757"/>
            <w:shd w:fill="FDF8EE" w:val="clear"/>
          </w:tcPr>
          <w:p>
            <w:pPr>
              <w:jc w:val="center"/>
            </w:pPr>
            <w:r/>
            <w:r>
              <w:rPr>
                <w:rFonts w:ascii="Calibri" w:hAnsi="Calibri"/>
                <w:b w:val="0"/>
                <w:color w:val="1F3A5F"/>
                <w:sz w:val="20"/>
              </w:rPr>
              <w:t>$3.6M</w:t>
            </w:r>
          </w:p>
        </w:tc>
        <w:tc>
          <w:tcPr>
            <w:tcW w:type="dxa" w:w="1757"/>
            <w:shd w:fill="FDF8EE" w:val="clear"/>
          </w:tcPr>
          <w:p>
            <w:pPr>
              <w:jc w:val="center"/>
            </w:pPr>
            <w:r/>
            <w:r>
              <w:rPr>
                <w:rFonts w:ascii="Calibri" w:hAnsi="Calibri"/>
                <w:b w:val="0"/>
                <w:color w:val="1F3A5F"/>
                <w:sz w:val="20"/>
              </w:rPr>
              <w:t>+5.2%</w:t>
            </w:r>
          </w:p>
        </w:tc>
        <w:tc>
          <w:tcPr>
            <w:tcW w:type="dxa" w:w="1757"/>
            <w:shd w:fill="FDF8EE" w:val="clear"/>
          </w:tcPr>
          <w:p>
            <w:pPr>
              <w:jc w:val="center"/>
            </w:pPr>
            <w:r/>
            <w:r>
              <w:rPr>
                <w:rFonts w:ascii="Calibri" w:hAnsi="Calibri"/>
                <w:b w:val="0"/>
                <w:color w:val="1F3A5F"/>
                <w:sz w:val="20"/>
              </w:rPr>
              <w:t>10.7%</w:t>
            </w:r>
          </w:p>
        </w:tc>
        <w:tc>
          <w:tcPr>
            <w:tcW w:type="dxa" w:w="1757"/>
            <w:shd w:fill="FADBD8" w:val="clear"/>
          </w:tcPr>
          <w:p>
            <w:pPr>
              <w:jc w:val="center"/>
            </w:pPr>
            <w:r/>
            <w:r>
              <w:rPr>
                <w:rFonts w:ascii="Calibri" w:hAnsi="Calibri"/>
                <w:b w:val="0"/>
                <w:color w:val="1F3A5F"/>
                <w:sz w:val="20"/>
              </w:rPr>
              <w:t>Attention</w:t>
            </w:r>
          </w:p>
        </w:tc>
      </w:tr>
      <w:tr>
        <w:tc>
          <w:tcPr>
            <w:tcW w:type="dxa" w:w="1757"/>
            <w:shd w:fill="1F3A5F" w:val="clear"/>
          </w:tcPr>
          <w:p>
            <w:pPr>
              <w:jc w:val="center"/>
            </w:pPr>
            <w:r/>
            <w:r>
              <w:rPr>
                <w:rFonts w:ascii="Calibri" w:hAnsi="Calibri"/>
                <w:b/>
                <w:color w:val="C9A84C"/>
                <w:sz w:val="20"/>
              </w:rPr>
              <w:t>Total</w:t>
            </w:r>
          </w:p>
        </w:tc>
        <w:tc>
          <w:tcPr>
            <w:tcW w:type="dxa" w:w="1757"/>
            <w:shd w:fill="1F3A5F" w:val="clear"/>
          </w:tcPr>
          <w:p>
            <w:pPr>
              <w:jc w:val="center"/>
            </w:pPr>
            <w:r/>
            <w:r>
              <w:rPr>
                <w:rFonts w:ascii="Calibri" w:hAnsi="Calibri"/>
                <w:b/>
                <w:color w:val="C9A84C"/>
                <w:sz w:val="20"/>
              </w:rPr>
              <w:t>$27.0M</w:t>
            </w:r>
          </w:p>
        </w:tc>
        <w:tc>
          <w:tcPr>
            <w:tcW w:type="dxa" w:w="1757"/>
            <w:shd w:fill="1F3A5F" w:val="clear"/>
          </w:tcPr>
          <w:p>
            <w:pPr>
              <w:jc w:val="center"/>
            </w:pPr>
            <w:r/>
            <w:r>
              <w:rPr>
                <w:rFonts w:ascii="Calibri" w:hAnsi="Calibri"/>
                <w:b/>
                <w:color w:val="C9A84C"/>
                <w:sz w:val="20"/>
              </w:rPr>
              <w:t>+11.2%</w:t>
            </w:r>
          </w:p>
        </w:tc>
        <w:tc>
          <w:tcPr>
            <w:tcW w:type="dxa" w:w="1757"/>
            <w:shd w:fill="1F3A5F" w:val="clear"/>
          </w:tcPr>
          <w:p>
            <w:pPr>
              <w:jc w:val="center"/>
            </w:pPr>
            <w:r/>
            <w:r>
              <w:rPr>
                <w:rFonts w:ascii="Calibri" w:hAnsi="Calibri"/>
                <w:b/>
                <w:color w:val="C9A84C"/>
                <w:sz w:val="20"/>
              </w:rPr>
              <w:t>100%</w:t>
            </w:r>
          </w:p>
        </w:tc>
        <w:tc>
          <w:tcPr>
            <w:tcW w:type="dxa" w:w="1757"/>
            <w:shd w:fill="1F3A5F" w:val="clear"/>
          </w:tcPr>
          <w:p>
            <w:pPr>
              <w:jc w:val="center"/>
            </w:pPr>
            <w:r/>
            <w:r>
              <w:rPr>
                <w:rFonts w:ascii="Calibri" w:hAnsi="Calibri"/>
                <w:b/>
                <w:color w:val="C9A84C"/>
                <w:sz w:val="20"/>
              </w:rPr>
              <w:t>●</w:t>
            </w:r>
          </w:p>
        </w:tc>
      </w:tr>
    </w:tbl>
    <w:p>
      <w:r>
        <w:br w:type="page"/>
      </w:r>
    </w:p>
    <w:p>
      <w:pPr>
        <w:pStyle w:val="Heading1"/>
      </w:pPr>
      <w:r>
        <w:t>4. Market Share Overview</w:t>
      </w:r>
    </w:p>
    <w:p>
      <w:pPr>
        <w:spacing w:before="80" w:after="80"/>
        <w:pBdr>
          <w:bottom w:val="single" w:sz="8" w:space="1" w:color="C9A84C"/>
        </w:pBdr>
      </w:pPr>
    </w:p>
    <w:p>
      <w:pPr>
        <w:spacing w:before="0" w:after="120"/>
      </w:pPr>
      <w:r>
        <w:rPr>
          <w:rFonts w:ascii="Calibri" w:hAnsi="Calibri"/>
          <w:b w:val="0"/>
          <w:i w:val="0"/>
          <w:sz w:val="22"/>
        </w:rPr>
        <w:t>The West and South regions together command 51% of total company revenue. The pie chart below illustrates the market share distribution across all operating regions.</w:t>
      </w:r>
    </w:p>
    <w:p>
      <w:pPr>
        <w:spacing w:before="80" w:after="40"/>
        <w:jc w:val="center"/>
      </w:pPr>
      <w:r>
        <w:rPr>
          <w:rFonts w:ascii="Calibri" w:hAnsi="Calibri"/>
          <w:b/>
          <w:i w:val="0"/>
          <w:color w:val="1F3A5F"/>
          <w:sz w:val="18"/>
        </w:rPr>
        <w:t>Chart 2: Market Share Distribution by Region</w:t>
      </w:r>
    </w:p>
    <w:p>
      <w:pPr>
        <w:jc w:val="center"/>
      </w:pPr>
      <w:r>
        <w:drawing>
          <wp:inline xmlns:a="http://schemas.openxmlformats.org/drawingml/2006/main" xmlns:pic="http://schemas.openxmlformats.org/drawingml/2006/picture">
            <wp:extent cx="4114800" cy="4162833"/>
            <wp:docPr id="2" name="Picture 2"/>
            <wp:cNvGraphicFramePr>
              <a:graphicFrameLocks noChangeAspect="1"/>
            </wp:cNvGraphicFramePr>
            <a:graphic>
              <a:graphicData uri="http://schemas.openxmlformats.org/drawingml/2006/picture">
                <pic:pic>
                  <pic:nvPicPr>
                    <pic:cNvPr id="0" name="pie_market_share.png"/>
                    <pic:cNvPicPr/>
                  </pic:nvPicPr>
                  <pic:blipFill>
                    <a:blip r:embed="rId10"/>
                    <a:stretch>
                      <a:fillRect/>
                    </a:stretch>
                  </pic:blipFill>
                  <pic:spPr>
                    <a:xfrm>
                      <a:off x="0" y="0"/>
                      <a:ext cx="4114800" cy="4162833"/>
                    </a:xfrm>
                    <a:prstGeom prst="rect"/>
                  </pic:spPr>
                </pic:pic>
              </a:graphicData>
            </a:graphic>
          </wp:inline>
        </w:drawing>
      </w:r>
    </w:p>
    <w:p>
      <w:pPr>
        <w:spacing w:before="160" w:after="120"/>
      </w:pPr>
      <w:r>
        <w:rPr>
          <w:rFonts w:ascii="Calibri" w:hAnsi="Calibri"/>
          <w:b w:val="0"/>
          <w:i/>
          <w:color w:val="666666"/>
          <w:sz w:val="22"/>
        </w:rPr>
        <w:t>The West region holds the largest share at 26.4%, followed by the South at 24.6%. The Central region, while smallest at 10.7%, represents a significant growth opportunity.</w:t>
      </w:r>
    </w:p>
    <w:p>
      <w:r>
        <w:br w:type="page"/>
      </w:r>
    </w:p>
    <w:p>
      <w:pPr>
        <w:pStyle w:val="Heading1"/>
      </w:pPr>
      <w:r>
        <w:t>5. Growth Trends</w:t>
      </w:r>
    </w:p>
    <w:p>
      <w:pPr>
        <w:spacing w:before="80" w:after="80"/>
        <w:pBdr>
          <w:bottom w:val="single" w:sz="8" w:space="1" w:color="C9A84C"/>
        </w:pBdr>
      </w:pPr>
    </w:p>
    <w:p>
      <w:pPr>
        <w:spacing w:before="0" w:after="120"/>
      </w:pPr>
      <w:r>
        <w:rPr>
          <w:rFonts w:ascii="Calibri" w:hAnsi="Calibri"/>
          <w:b w:val="0"/>
          <w:i w:val="0"/>
          <w:sz w:val="22"/>
        </w:rPr>
        <w:t>Year-over-year growth rates vary significantly across regions. The company-wide average of 11.2% was exceeded by the West (+16.8%) and South (+14.2%) regions. The dashed gold line indicates the company average benchmark.</w:t>
      </w:r>
    </w:p>
    <w:p>
      <w:pPr>
        <w:spacing w:before="80" w:after="40"/>
        <w:jc w:val="center"/>
      </w:pPr>
      <w:r>
        <w:rPr>
          <w:rFonts w:ascii="Calibri" w:hAnsi="Calibri"/>
          <w:b/>
          <w:i w:val="0"/>
          <w:color w:val="1F3A5F"/>
          <w:sz w:val="18"/>
        </w:rPr>
        <w:t>Chart 3: Year-over-Year Growth Rate by Region (%)</w:t>
      </w:r>
    </w:p>
    <w:p>
      <w:pPr>
        <w:jc w:val="center"/>
      </w:pPr>
      <w:r>
        <w:drawing>
          <wp:inline xmlns:a="http://schemas.openxmlformats.org/drawingml/2006/main" xmlns:pic="http://schemas.openxmlformats.org/drawingml/2006/picture">
            <wp:extent cx="5303520" cy="3042782"/>
            <wp:docPr id="3" name="Picture 3"/>
            <wp:cNvGraphicFramePr>
              <a:graphicFrameLocks noChangeAspect="1"/>
            </wp:cNvGraphicFramePr>
            <a:graphic>
              <a:graphicData uri="http://schemas.openxmlformats.org/drawingml/2006/picture">
                <pic:pic>
                  <pic:nvPicPr>
                    <pic:cNvPr id="0" name="bar_growth.png"/>
                    <pic:cNvPicPr/>
                  </pic:nvPicPr>
                  <pic:blipFill>
                    <a:blip r:embed="rId11"/>
                    <a:stretch>
                      <a:fillRect/>
                    </a:stretch>
                  </pic:blipFill>
                  <pic:spPr>
                    <a:xfrm>
                      <a:off x="0" y="0"/>
                      <a:ext cx="5303520" cy="3042782"/>
                    </a:xfrm>
                    <a:prstGeom prst="rect"/>
                  </pic:spPr>
                </pic:pic>
              </a:graphicData>
            </a:graphic>
          </wp:inline>
        </w:drawing>
      </w:r>
    </w:p>
    <w:p>
      <w:pPr>
        <w:spacing w:before="160" w:after="120"/>
      </w:pPr>
      <w:r>
        <w:rPr>
          <w:rFonts w:ascii="Calibri" w:hAnsi="Calibri"/>
          <w:b w:val="0"/>
          <w:i/>
          <w:color w:val="666666"/>
          <w:sz w:val="22"/>
        </w:rPr>
        <w:t>Key observation: Three regions (West, South, East) outperformed or matched the company average, while North and Central regions fell below the benchmark. Targeted interventions for these regions could unlock an estimated $2-3M in additional annual revenue.</w:t>
      </w:r>
    </w:p>
    <w:p>
      <w:r>
        <w:br w:type="page"/>
      </w:r>
    </w:p>
    <w:p>
      <w:pPr>
        <w:pStyle w:val="Heading1"/>
      </w:pPr>
      <w:r>
        <w:t>6. North Region Analysis</w:t>
      </w:r>
    </w:p>
    <w:p>
      <w:pPr>
        <w:spacing w:before="80" w:after="80"/>
        <w:pBdr>
          <w:bottom w:val="single" w:sz="8" w:space="1" w:color="C9A84C"/>
        </w:pBdr>
      </w:pPr>
    </w:p>
    <w:tbl>
      <w:tblPr>
        <w:tblW w:type="auto" w:w="0"/>
        <w:jc w:val="center"/>
        <w:tblLook w:firstColumn="1" w:firstRow="1" w:lastColumn="0" w:lastRow="0" w:noHBand="0" w:noVBand="1" w:val="04A0"/>
      </w:tblPr>
      <w:tblGrid>
        <w:gridCol w:w="2196"/>
        <w:gridCol w:w="2196"/>
        <w:gridCol w:w="2196"/>
        <w:gridCol w:w="2196"/>
      </w:tblGrid>
      <w:tr>
        <w:tc>
          <w:tcPr>
            <w:tcW w:type="dxa" w:w="2196"/>
            <w:shd w:fill="FDF8EE" w:val="clear"/>
            <w:tcBorders>
              <w:bottom w:val="single" w:sz="12" w:space="0" w:color="C9A84C"/>
            </w:tcBorders>
          </w:tcPr>
          <w:p>
            <w:pPr>
              <w:spacing w:before="0" w:after="0"/>
              <w:jc w:val="center"/>
            </w:pPr>
            <w:r>
              <w:rPr>
                <w:rFonts w:ascii="Calibri" w:hAnsi="Calibri"/>
                <w:b/>
                <w:color w:val="1F3A5F"/>
                <w:sz w:val="52"/>
              </w:rPr>
              <w:t>$4.2M</w:t>
            </w:r>
          </w:p>
          <w:p>
            <w:pPr>
              <w:spacing w:before="0" w:after="0"/>
              <w:jc w:val="center"/>
            </w:pPr>
            <w:r>
              <w:rPr>
                <w:rFonts w:ascii="Calibri" w:hAnsi="Calibri"/>
                <w:color w:val="666666"/>
                <w:sz w:val="18"/>
              </w:rPr>
              <w:t>Q4 Revenue</w:t>
            </w:r>
          </w:p>
        </w:tc>
        <w:tc>
          <w:tcPr>
            <w:tcW w:type="dxa" w:w="2196"/>
            <w:shd w:fill="FDF8EE" w:val="clear"/>
            <w:tcBorders>
              <w:bottom w:val="single" w:sz="12" w:space="0" w:color="C9A84C"/>
            </w:tcBorders>
          </w:tcPr>
          <w:p>
            <w:pPr>
              <w:spacing w:before="0" w:after="0"/>
              <w:jc w:val="center"/>
            </w:pPr>
            <w:r>
              <w:rPr>
                <w:rFonts w:ascii="Calibri" w:hAnsi="Calibri"/>
                <w:b/>
                <w:color w:val="1F3A5F"/>
                <w:sz w:val="52"/>
              </w:rPr>
              <w:t>+8.5%</w:t>
            </w:r>
          </w:p>
          <w:p>
            <w:pPr>
              <w:spacing w:before="0" w:after="0"/>
              <w:jc w:val="center"/>
            </w:pPr>
            <w:r>
              <w:rPr>
                <w:rFonts w:ascii="Calibri" w:hAnsi="Calibri"/>
                <w:color w:val="666666"/>
                <w:sz w:val="18"/>
              </w:rPr>
              <w:t>YoY Growth</w:t>
            </w:r>
          </w:p>
        </w:tc>
        <w:tc>
          <w:tcPr>
            <w:tcW w:type="dxa" w:w="2196"/>
            <w:shd w:fill="FDF8EE" w:val="clear"/>
            <w:tcBorders>
              <w:bottom w:val="single" w:sz="12" w:space="0" w:color="C9A84C"/>
            </w:tcBorders>
          </w:tcPr>
          <w:p>
            <w:pPr>
              <w:spacing w:before="0" w:after="0"/>
              <w:jc w:val="center"/>
            </w:pPr>
            <w:r>
              <w:rPr>
                <w:rFonts w:ascii="Calibri" w:hAnsi="Calibri"/>
                <w:b/>
                <w:color w:val="1F3A5F"/>
                <w:sz w:val="52"/>
              </w:rPr>
              <w:t>18.2%</w:t>
            </w:r>
          </w:p>
          <w:p>
            <w:pPr>
              <w:spacing w:before="0" w:after="0"/>
              <w:jc w:val="center"/>
            </w:pPr>
            <w:r>
              <w:rPr>
                <w:rFonts w:ascii="Calibri" w:hAnsi="Calibri"/>
                <w:color w:val="666666"/>
                <w:sz w:val="18"/>
              </w:rPr>
              <w:t>Market Share</w:t>
            </w:r>
          </w:p>
        </w:tc>
        <w:tc>
          <w:tcPr>
            <w:tcW w:type="dxa" w:w="2196"/>
            <w:shd w:fill="FDF8EE" w:val="clear"/>
            <w:tcBorders>
              <w:bottom w:val="single" w:sz="12" w:space="0" w:color="C9A84C"/>
            </w:tcBorders>
          </w:tcPr>
          <w:p>
            <w:pPr>
              <w:spacing w:before="0" w:after="0"/>
              <w:jc w:val="center"/>
            </w:pPr>
            <w:r>
              <w:rPr>
                <w:rFonts w:ascii="Calibri" w:hAnsi="Calibri"/>
                <w:b/>
                <w:color w:val="1F3A5F"/>
                <w:sz w:val="52"/>
              </w:rPr>
              <w:t>71%</w:t>
            </w:r>
          </w:p>
          <w:p>
            <w:pPr>
              <w:spacing w:before="0" w:after="0"/>
              <w:jc w:val="center"/>
            </w:pPr>
            <w:r>
              <w:rPr>
                <w:rFonts w:ascii="Calibri" w:hAnsi="Calibri"/>
                <w:color w:val="666666"/>
                <w:sz w:val="18"/>
              </w:rPr>
              <w:t>Goal Achieved</w:t>
            </w:r>
          </w:p>
        </w:tc>
      </w:tr>
    </w:tbl>
    <w:p/>
    <w:p>
      <w:pPr>
        <w:spacing w:before="0" w:after="120"/>
      </w:pPr>
      <w:r>
        <w:rPr>
          <w:rFonts w:ascii="Calibri" w:hAnsi="Calibri"/>
          <w:b w:val="0"/>
          <w:i w:val="0"/>
          <w:sz w:val="22"/>
        </w:rPr>
        <w:t>The North region demonstrated stable growth throughout FY 2024, with quarterly revenue increasing steadily across all four quarters. Sales increased in several sub-regions while some areas experienced relatively slower growth. Management has identified targeted opportunities to accelerate momentum through expanded distribution channels and enhanced local marketing initiatives.</w:t>
      </w:r>
    </w:p>
    <w:p>
      <w:pPr>
        <w:pStyle w:val="Heading2"/>
      </w:pPr>
      <w:r>
        <w:t>Key Highlights</w:t>
      </w:r>
    </w:p>
    <w:p>
      <w:pPr>
        <w:pStyle w:val="ListBullet"/>
      </w:pPr>
      <w:r>
        <w:rPr>
          <w:rFonts w:ascii="Calibri" w:hAnsi="Calibri"/>
          <w:sz w:val="22"/>
        </w:rPr>
        <w:t>Q4 revenue of $4.2M representing 18.2% of total company revenue</w:t>
      </w:r>
    </w:p>
    <w:p>
      <w:pPr>
        <w:pStyle w:val="ListBullet"/>
      </w:pPr>
      <w:r>
        <w:rPr>
          <w:rFonts w:ascii="Calibri" w:hAnsi="Calibri"/>
          <w:sz w:val="22"/>
        </w:rPr>
        <w:t>Year-over-year growth of 8.5%, below company average of 11.2%</w:t>
      </w:r>
    </w:p>
    <w:p>
      <w:pPr>
        <w:pStyle w:val="ListBullet"/>
      </w:pPr>
      <w:r>
        <w:rPr>
          <w:rFonts w:ascii="Calibri" w:hAnsi="Calibri"/>
          <w:sz w:val="22"/>
        </w:rPr>
        <w:t>Customer acquisition cost reduced by 6% through digital channel optimization</w:t>
      </w:r>
    </w:p>
    <w:p>
      <w:pPr>
        <w:pStyle w:val="ListBullet"/>
      </w:pPr>
      <w:r>
        <w:rPr>
          <w:rFonts w:ascii="Calibri" w:hAnsi="Calibri"/>
          <w:sz w:val="22"/>
        </w:rPr>
        <w:t>Two new distribution partnerships established in Q3</w:t>
      </w:r>
    </w:p>
    <w:p>
      <w:pPr>
        <w:pStyle w:val="Heading3"/>
      </w:pPr>
      <w:r>
        <w:t>Goal Achievement</w:t>
      </w:r>
    </w:p>
    <w:tbl>
      <w:tblPr>
        <w:tblW w:type="auto" w:w="0"/>
        <w:jc w:val="center"/>
        <w:tblLook w:firstColumn="1" w:firstRow="1" w:lastColumn="0" w:lastRow="0" w:noHBand="0" w:noVBand="1" w:val="04A0"/>
      </w:tblPr>
      <w:tblGrid>
        <w:gridCol w:w="4392"/>
        <w:gridCol w:w="4392"/>
      </w:tblGrid>
      <w:tr>
        <w:tc>
          <w:tcPr>
            <w:tcW w:type="dxa" w:w="2160"/>
            <w:shd w:fill="FDF8EE" w:val="clear"/>
          </w:tcPr>
          <w:p>
            <w:pPr>
              <w:jc w:val="left"/>
            </w:pPr>
            <w:r/>
            <w:r>
              <w:rPr>
                <w:rFonts w:ascii="Calibri" w:hAnsi="Calibri"/>
                <w:b/>
                <w:color w:val="1F3A5F"/>
                <w:sz w:val="20"/>
              </w:rPr>
              <w:t>North Region</w:t>
            </w:r>
          </w:p>
        </w:tc>
        <w:tc>
          <w:tcPr>
            <w:tcW w:type="dxa" w:w="6480"/>
            <w:shd w:fill="FDF8EE" w:val="clear"/>
          </w:tcPr>
          <w:p>
            <w:pPr>
              <w:jc w:val="left"/>
            </w:pPr>
            <w:r/>
            <w:r>
              <w:rPr>
                <w:rFonts w:ascii="Calibri" w:hAnsi="Calibri"/>
                <w:b w:val="0"/>
                <w:color w:val="1F3A5F"/>
                <w:sz w:val="18"/>
              </w:rPr>
              <w:t>██████████████░░░░░░  71%</w:t>
            </w:r>
          </w:p>
        </w:tc>
      </w:tr>
    </w:tbl>
    <w:p>
      <w:r>
        <w:br w:type="page"/>
      </w:r>
    </w:p>
    <w:p>
      <w:pPr>
        <w:pStyle w:val="Heading1"/>
      </w:pPr>
      <w:r>
        <w:t>7. South Region Analysis</w:t>
      </w:r>
    </w:p>
    <w:p>
      <w:pPr>
        <w:spacing w:before="80" w:after="80"/>
        <w:pBdr>
          <w:bottom w:val="single" w:sz="8" w:space="1" w:color="C9A84C"/>
        </w:pBdr>
      </w:pPr>
    </w:p>
    <w:tbl>
      <w:tblPr>
        <w:tblW w:type="auto" w:w="0"/>
        <w:jc w:val="center"/>
        <w:tblLook w:firstColumn="1" w:firstRow="1" w:lastColumn="0" w:lastRow="0" w:noHBand="0" w:noVBand="1" w:val="04A0"/>
      </w:tblPr>
      <w:tblGrid>
        <w:gridCol w:w="2196"/>
        <w:gridCol w:w="2196"/>
        <w:gridCol w:w="2196"/>
        <w:gridCol w:w="2196"/>
      </w:tblGrid>
      <w:tr>
        <w:tc>
          <w:tcPr>
            <w:tcW w:type="dxa" w:w="2196"/>
            <w:shd w:fill="FDF8EE" w:val="clear"/>
            <w:tcBorders>
              <w:bottom w:val="single" w:sz="12" w:space="0" w:color="C9A84C"/>
            </w:tcBorders>
          </w:tcPr>
          <w:p>
            <w:pPr>
              <w:spacing w:before="0" w:after="0"/>
              <w:jc w:val="center"/>
            </w:pPr>
            <w:r>
              <w:rPr>
                <w:rFonts w:ascii="Calibri" w:hAnsi="Calibri"/>
                <w:b/>
                <w:color w:val="1F3A5F"/>
                <w:sz w:val="52"/>
              </w:rPr>
              <w:t>$6.8M</w:t>
            </w:r>
          </w:p>
          <w:p>
            <w:pPr>
              <w:spacing w:before="0" w:after="0"/>
              <w:jc w:val="center"/>
            </w:pPr>
            <w:r>
              <w:rPr>
                <w:rFonts w:ascii="Calibri" w:hAnsi="Calibri"/>
                <w:color w:val="666666"/>
                <w:sz w:val="18"/>
              </w:rPr>
              <w:t>Q4 Revenue</w:t>
            </w:r>
          </w:p>
        </w:tc>
        <w:tc>
          <w:tcPr>
            <w:tcW w:type="dxa" w:w="2196"/>
            <w:shd w:fill="FDF8EE" w:val="clear"/>
            <w:tcBorders>
              <w:bottom w:val="single" w:sz="12" w:space="0" w:color="C9A84C"/>
            </w:tcBorders>
          </w:tcPr>
          <w:p>
            <w:pPr>
              <w:spacing w:before="0" w:after="0"/>
              <w:jc w:val="center"/>
            </w:pPr>
            <w:r>
              <w:rPr>
                <w:rFonts w:ascii="Calibri" w:hAnsi="Calibri"/>
                <w:b/>
                <w:color w:val="C9A84C"/>
                <w:sz w:val="52"/>
              </w:rPr>
              <w:t>+14.2%</w:t>
            </w:r>
          </w:p>
          <w:p>
            <w:pPr>
              <w:spacing w:before="0" w:after="0"/>
              <w:jc w:val="center"/>
            </w:pPr>
            <w:r>
              <w:rPr>
                <w:rFonts w:ascii="Calibri" w:hAnsi="Calibri"/>
                <w:color w:val="666666"/>
                <w:sz w:val="18"/>
              </w:rPr>
              <w:t>YoY Growth</w:t>
            </w:r>
          </w:p>
        </w:tc>
        <w:tc>
          <w:tcPr>
            <w:tcW w:type="dxa" w:w="2196"/>
            <w:shd w:fill="FDF8EE" w:val="clear"/>
            <w:tcBorders>
              <w:bottom w:val="single" w:sz="12" w:space="0" w:color="C9A84C"/>
            </w:tcBorders>
          </w:tcPr>
          <w:p>
            <w:pPr>
              <w:spacing w:before="0" w:after="0"/>
              <w:jc w:val="center"/>
            </w:pPr>
            <w:r>
              <w:rPr>
                <w:rFonts w:ascii="Calibri" w:hAnsi="Calibri"/>
                <w:b/>
                <w:color w:val="1F3A5F"/>
                <w:sz w:val="52"/>
              </w:rPr>
              <w:t>24.6%</w:t>
            </w:r>
          </w:p>
          <w:p>
            <w:pPr>
              <w:spacing w:before="0" w:after="0"/>
              <w:jc w:val="center"/>
            </w:pPr>
            <w:r>
              <w:rPr>
                <w:rFonts w:ascii="Calibri" w:hAnsi="Calibri"/>
                <w:color w:val="666666"/>
                <w:sz w:val="18"/>
              </w:rPr>
              <w:t>Market Share</w:t>
            </w:r>
          </w:p>
        </w:tc>
        <w:tc>
          <w:tcPr>
            <w:tcW w:type="dxa" w:w="2196"/>
            <w:shd w:fill="FDF8EE" w:val="clear"/>
            <w:tcBorders>
              <w:bottom w:val="single" w:sz="12" w:space="0" w:color="C9A84C"/>
            </w:tcBorders>
          </w:tcPr>
          <w:p>
            <w:pPr>
              <w:spacing w:before="0" w:after="0"/>
              <w:jc w:val="center"/>
            </w:pPr>
            <w:r>
              <w:rPr>
                <w:rFonts w:ascii="Calibri" w:hAnsi="Calibri"/>
                <w:b/>
                <w:color w:val="1F3A5F"/>
                <w:sz w:val="52"/>
              </w:rPr>
              <w:t>88%</w:t>
            </w:r>
          </w:p>
          <w:p>
            <w:pPr>
              <w:spacing w:before="0" w:after="0"/>
              <w:jc w:val="center"/>
            </w:pPr>
            <w:r>
              <w:rPr>
                <w:rFonts w:ascii="Calibri" w:hAnsi="Calibri"/>
                <w:color w:val="666666"/>
                <w:sz w:val="18"/>
              </w:rPr>
              <w:t>Goal Achieved</w:t>
            </w:r>
          </w:p>
        </w:tc>
      </w:tr>
    </w:tbl>
    <w:p/>
    <w:p>
      <w:pPr>
        <w:spacing w:before="0" w:after="120"/>
      </w:pPr>
      <w:r>
        <w:rPr>
          <w:rFonts w:ascii="Calibri" w:hAnsi="Calibri"/>
          <w:b w:val="0"/>
          <w:i w:val="0"/>
          <w:sz w:val="22"/>
        </w:rPr>
        <w:t>The South region was among the strongest performers this year, posting double-digit growth and expanding market share. Sales increased significantly across most product lines, driven by successful promotional campaigns and strong customer retention. The region's performance exceeded internal targets and contributed meaningfully to overall corporate results.</w:t>
      </w:r>
    </w:p>
    <w:p>
      <w:pPr>
        <w:pStyle w:val="Heading2"/>
      </w:pPr>
      <w:r>
        <w:t>Key Highlights</w:t>
      </w:r>
    </w:p>
    <w:p>
      <w:pPr>
        <w:pStyle w:val="ListBullet"/>
      </w:pPr>
      <w:r>
        <w:rPr>
          <w:rFonts w:ascii="Calibri" w:hAnsi="Calibri"/>
          <w:sz w:val="22"/>
        </w:rPr>
        <w:t>Q4 revenue of $6.8M — 24.6% of total company revenue (highest share among all regions)</w:t>
      </w:r>
    </w:p>
    <w:p>
      <w:pPr>
        <w:pStyle w:val="ListBullet"/>
      </w:pPr>
      <w:r>
        <w:rPr>
          <w:rFonts w:ascii="Calibri" w:hAnsi="Calibri"/>
          <w:sz w:val="22"/>
        </w:rPr>
        <w:t>Year-over-year growth of 14.2%, well above company average</w:t>
      </w:r>
    </w:p>
    <w:p>
      <w:pPr>
        <w:pStyle w:val="ListBullet"/>
      </w:pPr>
      <w:r>
        <w:rPr>
          <w:rFonts w:ascii="Calibri" w:hAnsi="Calibri"/>
          <w:sz w:val="22"/>
        </w:rPr>
        <w:t>Customer satisfaction score improved to 4.6/5.0</w:t>
      </w:r>
    </w:p>
    <w:p>
      <w:pPr>
        <w:pStyle w:val="ListBullet"/>
      </w:pPr>
      <w:r>
        <w:rPr>
          <w:rFonts w:ascii="Calibri" w:hAnsi="Calibri"/>
          <w:sz w:val="22"/>
        </w:rPr>
        <w:t>Three major enterprise accounts closed in Q4</w:t>
      </w:r>
    </w:p>
    <w:p>
      <w:pPr>
        <w:pStyle w:val="Heading3"/>
      </w:pPr>
      <w:r>
        <w:t>Goal Achievement</w:t>
      </w:r>
    </w:p>
    <w:tbl>
      <w:tblPr>
        <w:tblW w:type="auto" w:w="0"/>
        <w:jc w:val="center"/>
        <w:tblLook w:firstColumn="1" w:firstRow="1" w:lastColumn="0" w:lastRow="0" w:noHBand="0" w:noVBand="1" w:val="04A0"/>
      </w:tblPr>
      <w:tblGrid>
        <w:gridCol w:w="4392"/>
        <w:gridCol w:w="4392"/>
      </w:tblGrid>
      <w:tr>
        <w:tc>
          <w:tcPr>
            <w:tcW w:type="dxa" w:w="2160"/>
            <w:shd w:fill="FDF8EE" w:val="clear"/>
          </w:tcPr>
          <w:p>
            <w:pPr>
              <w:jc w:val="left"/>
            </w:pPr>
            <w:r/>
            <w:r>
              <w:rPr>
                <w:rFonts w:ascii="Calibri" w:hAnsi="Calibri"/>
                <w:b/>
                <w:color w:val="1F3A5F"/>
                <w:sz w:val="20"/>
              </w:rPr>
              <w:t>South Region</w:t>
            </w:r>
          </w:p>
        </w:tc>
        <w:tc>
          <w:tcPr>
            <w:tcW w:type="dxa" w:w="6480"/>
            <w:shd w:fill="FDF8EE" w:val="clear"/>
          </w:tcPr>
          <w:p>
            <w:pPr>
              <w:jc w:val="left"/>
            </w:pPr>
            <w:r/>
            <w:r>
              <w:rPr>
                <w:rFonts w:ascii="Calibri" w:hAnsi="Calibri"/>
                <w:b w:val="0"/>
                <w:color w:val="1F3A5F"/>
                <w:sz w:val="18"/>
              </w:rPr>
              <w:t>█████████████████░░░  88%</w:t>
            </w:r>
          </w:p>
        </w:tc>
      </w:tr>
    </w:tbl>
    <w:p>
      <w:r>
        <w:br w:type="page"/>
      </w:r>
    </w:p>
    <w:p>
      <w:pPr>
        <w:pStyle w:val="Heading1"/>
      </w:pPr>
      <w:r>
        <w:t>8. East Region Analysis</w:t>
      </w:r>
    </w:p>
    <w:p>
      <w:pPr>
        <w:spacing w:before="80" w:after="80"/>
        <w:pBdr>
          <w:bottom w:val="single" w:sz="8" w:space="1" w:color="C9A84C"/>
        </w:pBdr>
      </w:pPr>
    </w:p>
    <w:tbl>
      <w:tblPr>
        <w:tblW w:type="auto" w:w="0"/>
        <w:jc w:val="center"/>
        <w:tblLook w:firstColumn="1" w:firstRow="1" w:lastColumn="0" w:lastRow="0" w:noHBand="0" w:noVBand="1" w:val="04A0"/>
      </w:tblPr>
      <w:tblGrid>
        <w:gridCol w:w="2196"/>
        <w:gridCol w:w="2196"/>
        <w:gridCol w:w="2196"/>
        <w:gridCol w:w="2196"/>
      </w:tblGrid>
      <w:tr>
        <w:tc>
          <w:tcPr>
            <w:tcW w:type="dxa" w:w="2196"/>
            <w:shd w:fill="FDF8EE" w:val="clear"/>
            <w:tcBorders>
              <w:bottom w:val="single" w:sz="12" w:space="0" w:color="C9A84C"/>
            </w:tcBorders>
          </w:tcPr>
          <w:p>
            <w:pPr>
              <w:spacing w:before="0" w:after="0"/>
              <w:jc w:val="center"/>
            </w:pPr>
            <w:r>
              <w:rPr>
                <w:rFonts w:ascii="Calibri" w:hAnsi="Calibri"/>
                <w:b/>
                <w:color w:val="1F3A5F"/>
                <w:sz w:val="52"/>
              </w:rPr>
              <w:t>$5.1M</w:t>
            </w:r>
          </w:p>
          <w:p>
            <w:pPr>
              <w:spacing w:before="0" w:after="0"/>
              <w:jc w:val="center"/>
            </w:pPr>
            <w:r>
              <w:rPr>
                <w:rFonts w:ascii="Calibri" w:hAnsi="Calibri"/>
                <w:color w:val="666666"/>
                <w:sz w:val="18"/>
              </w:rPr>
              <w:t>Q4 Revenue</w:t>
            </w:r>
          </w:p>
        </w:tc>
        <w:tc>
          <w:tcPr>
            <w:tcW w:type="dxa" w:w="2196"/>
            <w:shd w:fill="FDF8EE" w:val="clear"/>
            <w:tcBorders>
              <w:bottom w:val="single" w:sz="12" w:space="0" w:color="C9A84C"/>
            </w:tcBorders>
          </w:tcPr>
          <w:p>
            <w:pPr>
              <w:spacing w:before="0" w:after="0"/>
              <w:jc w:val="center"/>
            </w:pPr>
            <w:r>
              <w:rPr>
                <w:rFonts w:ascii="Calibri" w:hAnsi="Calibri"/>
                <w:b/>
                <w:color w:val="C9A84C"/>
                <w:sz w:val="52"/>
              </w:rPr>
              <w:t>+11.3%</w:t>
            </w:r>
          </w:p>
          <w:p>
            <w:pPr>
              <w:spacing w:before="0" w:after="0"/>
              <w:jc w:val="center"/>
            </w:pPr>
            <w:r>
              <w:rPr>
                <w:rFonts w:ascii="Calibri" w:hAnsi="Calibri"/>
                <w:color w:val="666666"/>
                <w:sz w:val="18"/>
              </w:rPr>
              <w:t>YoY Growth</w:t>
            </w:r>
          </w:p>
        </w:tc>
        <w:tc>
          <w:tcPr>
            <w:tcW w:type="dxa" w:w="2196"/>
            <w:shd w:fill="FDF8EE" w:val="clear"/>
            <w:tcBorders>
              <w:bottom w:val="single" w:sz="12" w:space="0" w:color="C9A84C"/>
            </w:tcBorders>
          </w:tcPr>
          <w:p>
            <w:pPr>
              <w:spacing w:before="0" w:after="0"/>
              <w:jc w:val="center"/>
            </w:pPr>
            <w:r>
              <w:rPr>
                <w:rFonts w:ascii="Calibri" w:hAnsi="Calibri"/>
                <w:b/>
                <w:color w:val="1F3A5F"/>
                <w:sz w:val="52"/>
              </w:rPr>
              <w:t>20.1%</w:t>
            </w:r>
          </w:p>
          <w:p>
            <w:pPr>
              <w:spacing w:before="0" w:after="0"/>
              <w:jc w:val="center"/>
            </w:pPr>
            <w:r>
              <w:rPr>
                <w:rFonts w:ascii="Calibri" w:hAnsi="Calibri"/>
                <w:color w:val="666666"/>
                <w:sz w:val="18"/>
              </w:rPr>
              <w:t>Market Share</w:t>
            </w:r>
          </w:p>
        </w:tc>
        <w:tc>
          <w:tcPr>
            <w:tcW w:type="dxa" w:w="2196"/>
            <w:shd w:fill="FDF8EE" w:val="clear"/>
            <w:tcBorders>
              <w:bottom w:val="single" w:sz="12" w:space="0" w:color="C9A84C"/>
            </w:tcBorders>
          </w:tcPr>
          <w:p>
            <w:pPr>
              <w:spacing w:before="0" w:after="0"/>
              <w:jc w:val="center"/>
            </w:pPr>
            <w:r>
              <w:rPr>
                <w:rFonts w:ascii="Calibri" w:hAnsi="Calibri"/>
                <w:b/>
                <w:color w:val="1F3A5F"/>
                <w:sz w:val="52"/>
              </w:rPr>
              <w:t>79%</w:t>
            </w:r>
          </w:p>
          <w:p>
            <w:pPr>
              <w:spacing w:before="0" w:after="0"/>
              <w:jc w:val="center"/>
            </w:pPr>
            <w:r>
              <w:rPr>
                <w:rFonts w:ascii="Calibri" w:hAnsi="Calibri"/>
                <w:color w:val="666666"/>
                <w:sz w:val="18"/>
              </w:rPr>
              <w:t>Goal Achieved</w:t>
            </w:r>
          </w:p>
        </w:tc>
      </w:tr>
    </w:tbl>
    <w:p/>
    <w:p>
      <w:pPr>
        <w:spacing w:before="0" w:after="120"/>
      </w:pPr>
      <w:r>
        <w:rPr>
          <w:rFonts w:ascii="Calibri" w:hAnsi="Calibri"/>
          <w:b w:val="0"/>
          <w:i w:val="0"/>
          <w:sz w:val="22"/>
        </w:rPr>
        <w:t>The East region maintained steady growth throughout the year, with consistent quarter-over-quarter improvements. Sales increased in urban markets while rural expansion initiatives began gaining traction in the second half of the year. The region benefited from targeted marketing investments and improved sales team productivity.</w:t>
      </w:r>
    </w:p>
    <w:p>
      <w:pPr>
        <w:pStyle w:val="Heading2"/>
      </w:pPr>
      <w:r>
        <w:t>Key Highlights</w:t>
      </w:r>
    </w:p>
    <w:p>
      <w:pPr>
        <w:pStyle w:val="ListBullet"/>
      </w:pPr>
      <w:r>
        <w:rPr>
          <w:rFonts w:ascii="Calibri" w:hAnsi="Calibri"/>
          <w:sz w:val="22"/>
        </w:rPr>
        <w:t>Q4 revenue of $5.1M representing 20.1% of total revenue</w:t>
      </w:r>
    </w:p>
    <w:p>
      <w:pPr>
        <w:pStyle w:val="ListBullet"/>
      </w:pPr>
      <w:r>
        <w:rPr>
          <w:rFonts w:ascii="Calibri" w:hAnsi="Calibri"/>
          <w:sz w:val="22"/>
        </w:rPr>
        <w:t>Year-over-year growth of 11.3%, closely aligned with company average</w:t>
      </w:r>
    </w:p>
    <w:p>
      <w:pPr>
        <w:pStyle w:val="ListBullet"/>
      </w:pPr>
      <w:r>
        <w:rPr>
          <w:rFonts w:ascii="Calibri" w:hAnsi="Calibri"/>
          <w:sz w:val="22"/>
        </w:rPr>
        <w:t>Rural market penetration increased by 22% year-over-year</w:t>
      </w:r>
    </w:p>
    <w:p>
      <w:pPr>
        <w:pStyle w:val="ListBullet"/>
      </w:pPr>
      <w:r>
        <w:rPr>
          <w:rFonts w:ascii="Calibri" w:hAnsi="Calibri"/>
          <w:sz w:val="22"/>
        </w:rPr>
        <w:t>Sales team productivity improved 15% after new training program</w:t>
      </w:r>
    </w:p>
    <w:p>
      <w:pPr>
        <w:pStyle w:val="Heading3"/>
      </w:pPr>
      <w:r>
        <w:t>Goal Achievement</w:t>
      </w:r>
    </w:p>
    <w:tbl>
      <w:tblPr>
        <w:tblW w:type="auto" w:w="0"/>
        <w:jc w:val="center"/>
        <w:tblLook w:firstColumn="1" w:firstRow="1" w:lastColumn="0" w:lastRow="0" w:noHBand="0" w:noVBand="1" w:val="04A0"/>
      </w:tblPr>
      <w:tblGrid>
        <w:gridCol w:w="4392"/>
        <w:gridCol w:w="4392"/>
      </w:tblGrid>
      <w:tr>
        <w:tc>
          <w:tcPr>
            <w:tcW w:type="dxa" w:w="2160"/>
            <w:shd w:fill="FDF8EE" w:val="clear"/>
          </w:tcPr>
          <w:p>
            <w:pPr>
              <w:jc w:val="left"/>
            </w:pPr>
            <w:r/>
            <w:r>
              <w:rPr>
                <w:rFonts w:ascii="Calibri" w:hAnsi="Calibri"/>
                <w:b/>
                <w:color w:val="1F3A5F"/>
                <w:sz w:val="20"/>
              </w:rPr>
              <w:t>East Region</w:t>
            </w:r>
          </w:p>
        </w:tc>
        <w:tc>
          <w:tcPr>
            <w:tcW w:type="dxa" w:w="6480"/>
            <w:shd w:fill="FDF8EE" w:val="clear"/>
          </w:tcPr>
          <w:p>
            <w:pPr>
              <w:jc w:val="left"/>
            </w:pPr>
            <w:r/>
            <w:r>
              <w:rPr>
                <w:rFonts w:ascii="Calibri" w:hAnsi="Calibri"/>
                <w:b w:val="0"/>
                <w:color w:val="1F3A5F"/>
                <w:sz w:val="18"/>
              </w:rPr>
              <w:t>███████████████░░░░░  79%</w:t>
            </w:r>
          </w:p>
        </w:tc>
      </w:tr>
    </w:tbl>
    <w:p>
      <w:r>
        <w:br w:type="page"/>
      </w:r>
    </w:p>
    <w:p>
      <w:pPr>
        <w:pStyle w:val="Heading1"/>
      </w:pPr>
      <w:r>
        <w:t>9. West Region Analysis</w:t>
      </w:r>
    </w:p>
    <w:p>
      <w:pPr>
        <w:spacing w:before="80" w:after="80"/>
        <w:pBdr>
          <w:bottom w:val="single" w:sz="8" w:space="1" w:color="C9A84C"/>
        </w:pBdr>
      </w:pPr>
    </w:p>
    <w:tbl>
      <w:tblPr>
        <w:tblW w:type="auto" w:w="0"/>
        <w:jc w:val="center"/>
        <w:tblLook w:firstColumn="1" w:firstRow="1" w:lastColumn="0" w:lastRow="0" w:noHBand="0" w:noVBand="1" w:val="04A0"/>
      </w:tblPr>
      <w:tblGrid>
        <w:gridCol w:w="2196"/>
        <w:gridCol w:w="2196"/>
        <w:gridCol w:w="2196"/>
        <w:gridCol w:w="2196"/>
      </w:tblGrid>
      <w:tr>
        <w:tc>
          <w:tcPr>
            <w:tcW w:type="dxa" w:w="2196"/>
            <w:shd w:fill="FDF8EE" w:val="clear"/>
            <w:tcBorders>
              <w:bottom w:val="single" w:sz="12" w:space="0" w:color="C9A84C"/>
            </w:tcBorders>
          </w:tcPr>
          <w:p>
            <w:pPr>
              <w:spacing w:before="0" w:after="0"/>
              <w:jc w:val="center"/>
            </w:pPr>
            <w:r>
              <w:rPr>
                <w:rFonts w:ascii="Calibri" w:hAnsi="Calibri"/>
                <w:b/>
                <w:color w:val="1F3A5F"/>
                <w:sz w:val="52"/>
              </w:rPr>
              <w:t>$7.3M</w:t>
            </w:r>
          </w:p>
          <w:p>
            <w:pPr>
              <w:spacing w:before="0" w:after="0"/>
              <w:jc w:val="center"/>
            </w:pPr>
            <w:r>
              <w:rPr>
                <w:rFonts w:ascii="Calibri" w:hAnsi="Calibri"/>
                <w:color w:val="666666"/>
                <w:sz w:val="18"/>
              </w:rPr>
              <w:t>Q4 Revenue</w:t>
            </w:r>
          </w:p>
        </w:tc>
        <w:tc>
          <w:tcPr>
            <w:tcW w:type="dxa" w:w="2196"/>
            <w:shd w:fill="FDF8EE" w:val="clear"/>
            <w:tcBorders>
              <w:bottom w:val="single" w:sz="12" w:space="0" w:color="C9A84C"/>
            </w:tcBorders>
          </w:tcPr>
          <w:p>
            <w:pPr>
              <w:spacing w:before="0" w:after="0"/>
              <w:jc w:val="center"/>
            </w:pPr>
            <w:r>
              <w:rPr>
                <w:rFonts w:ascii="Calibri" w:hAnsi="Calibri"/>
                <w:b/>
                <w:color w:val="C9A84C"/>
                <w:sz w:val="52"/>
              </w:rPr>
              <w:t>+16.8%</w:t>
            </w:r>
          </w:p>
          <w:p>
            <w:pPr>
              <w:spacing w:before="0" w:after="0"/>
              <w:jc w:val="center"/>
            </w:pPr>
            <w:r>
              <w:rPr>
                <w:rFonts w:ascii="Calibri" w:hAnsi="Calibri"/>
                <w:color w:val="666666"/>
                <w:sz w:val="18"/>
              </w:rPr>
              <w:t>YoY Growth</w:t>
            </w:r>
          </w:p>
        </w:tc>
        <w:tc>
          <w:tcPr>
            <w:tcW w:type="dxa" w:w="2196"/>
            <w:shd w:fill="FDF8EE" w:val="clear"/>
            <w:tcBorders>
              <w:bottom w:val="single" w:sz="12" w:space="0" w:color="C9A84C"/>
            </w:tcBorders>
          </w:tcPr>
          <w:p>
            <w:pPr>
              <w:spacing w:before="0" w:after="0"/>
              <w:jc w:val="center"/>
            </w:pPr>
            <w:r>
              <w:rPr>
                <w:rFonts w:ascii="Calibri" w:hAnsi="Calibri"/>
                <w:b/>
                <w:color w:val="1F3A5F"/>
                <w:sz w:val="52"/>
              </w:rPr>
              <w:t>26.4%</w:t>
            </w:r>
          </w:p>
          <w:p>
            <w:pPr>
              <w:spacing w:before="0" w:after="0"/>
              <w:jc w:val="center"/>
            </w:pPr>
            <w:r>
              <w:rPr>
                <w:rFonts w:ascii="Calibri" w:hAnsi="Calibri"/>
                <w:color w:val="666666"/>
                <w:sz w:val="18"/>
              </w:rPr>
              <w:t>Market Share</w:t>
            </w:r>
          </w:p>
        </w:tc>
        <w:tc>
          <w:tcPr>
            <w:tcW w:type="dxa" w:w="2196"/>
            <w:shd w:fill="FDF8EE" w:val="clear"/>
            <w:tcBorders>
              <w:bottom w:val="single" w:sz="12" w:space="0" w:color="C9A84C"/>
            </w:tcBorders>
          </w:tcPr>
          <w:p>
            <w:pPr>
              <w:spacing w:before="0" w:after="0"/>
              <w:jc w:val="center"/>
            </w:pPr>
            <w:r>
              <w:rPr>
                <w:rFonts w:ascii="Calibri" w:hAnsi="Calibri"/>
                <w:b/>
                <w:color w:val="1F3A5F"/>
                <w:sz w:val="52"/>
              </w:rPr>
              <w:t>92%</w:t>
            </w:r>
          </w:p>
          <w:p>
            <w:pPr>
              <w:spacing w:before="0" w:after="0"/>
              <w:jc w:val="center"/>
            </w:pPr>
            <w:r>
              <w:rPr>
                <w:rFonts w:ascii="Calibri" w:hAnsi="Calibri"/>
                <w:color w:val="666666"/>
                <w:sz w:val="18"/>
              </w:rPr>
              <w:t>Goal Achieved</w:t>
            </w:r>
          </w:p>
        </w:tc>
      </w:tr>
    </w:tbl>
    <w:p/>
    <w:p>
      <w:pPr>
        <w:spacing w:before="0" w:after="120"/>
      </w:pPr>
      <w:r>
        <w:rPr>
          <w:rFonts w:ascii="Calibri" w:hAnsi="Calibri"/>
          <w:b w:val="0"/>
          <w:i w:val="0"/>
          <w:sz w:val="22"/>
        </w:rPr>
        <w:t>The West region delivered exceptional performance in FY 2024, achieving the highest growth rate across all regions. Sales increased substantially across both existing and new product categories. The region's success was driven by strong economic conditions, effective sales leadership, and successful market expansion strategies.</w:t>
      </w:r>
    </w:p>
    <w:p>
      <w:pPr>
        <w:pStyle w:val="Heading2"/>
      </w:pPr>
      <w:r>
        <w:t>Key Highlights</w:t>
      </w:r>
    </w:p>
    <w:p>
      <w:pPr>
        <w:pStyle w:val="ListBullet"/>
      </w:pPr>
      <w:r>
        <w:rPr>
          <w:rFonts w:ascii="Calibri" w:hAnsi="Calibri"/>
          <w:sz w:val="22"/>
        </w:rPr>
        <w:t>Q4 revenue of $7.3M leading all regions with 26.4% revenue share</w:t>
      </w:r>
    </w:p>
    <w:p>
      <w:pPr>
        <w:pStyle w:val="ListBullet"/>
      </w:pPr>
      <w:r>
        <w:rPr>
          <w:rFonts w:ascii="Calibri" w:hAnsi="Calibri"/>
          <w:sz w:val="22"/>
        </w:rPr>
        <w:t>Year-over-year growth of 16.8% — fastest growing region</w:t>
      </w:r>
    </w:p>
    <w:p>
      <w:pPr>
        <w:pStyle w:val="ListBullet"/>
      </w:pPr>
      <w:r>
        <w:rPr>
          <w:rFonts w:ascii="Calibri" w:hAnsi="Calibri"/>
          <w:sz w:val="22"/>
        </w:rPr>
        <w:t>New product lines contributed 28% of regional revenue</w:t>
      </w:r>
    </w:p>
    <w:p>
      <w:pPr>
        <w:pStyle w:val="ListBullet"/>
      </w:pPr>
      <w:r>
        <w:rPr>
          <w:rFonts w:ascii="Calibri" w:hAnsi="Calibri"/>
          <w:sz w:val="22"/>
        </w:rPr>
        <w:t>E-commerce channel grew 45%, now representing 32% of regional sales</w:t>
      </w:r>
    </w:p>
    <w:p>
      <w:pPr>
        <w:pStyle w:val="Heading3"/>
      </w:pPr>
      <w:r>
        <w:t>Goal Achievement</w:t>
      </w:r>
    </w:p>
    <w:tbl>
      <w:tblPr>
        <w:tblW w:type="auto" w:w="0"/>
        <w:jc w:val="center"/>
        <w:tblLook w:firstColumn="1" w:firstRow="1" w:lastColumn="0" w:lastRow="0" w:noHBand="0" w:noVBand="1" w:val="04A0"/>
      </w:tblPr>
      <w:tblGrid>
        <w:gridCol w:w="4392"/>
        <w:gridCol w:w="4392"/>
      </w:tblGrid>
      <w:tr>
        <w:tc>
          <w:tcPr>
            <w:tcW w:type="dxa" w:w="2160"/>
            <w:shd w:fill="FDF8EE" w:val="clear"/>
          </w:tcPr>
          <w:p>
            <w:pPr>
              <w:jc w:val="left"/>
            </w:pPr>
            <w:r/>
            <w:r>
              <w:rPr>
                <w:rFonts w:ascii="Calibri" w:hAnsi="Calibri"/>
                <w:b/>
                <w:color w:val="1F3A5F"/>
                <w:sz w:val="20"/>
              </w:rPr>
              <w:t>West Region</w:t>
            </w:r>
          </w:p>
        </w:tc>
        <w:tc>
          <w:tcPr>
            <w:tcW w:type="dxa" w:w="6480"/>
            <w:shd w:fill="FDF8EE" w:val="clear"/>
          </w:tcPr>
          <w:p>
            <w:pPr>
              <w:jc w:val="left"/>
            </w:pPr>
            <w:r/>
            <w:r>
              <w:rPr>
                <w:rFonts w:ascii="Calibri" w:hAnsi="Calibri"/>
                <w:b w:val="0"/>
                <w:color w:val="1F3A5F"/>
                <w:sz w:val="18"/>
              </w:rPr>
              <w:t>██████████████████░░  92%</w:t>
            </w:r>
          </w:p>
        </w:tc>
      </w:tr>
    </w:tbl>
    <w:p>
      <w:r>
        <w:br w:type="page"/>
      </w:r>
    </w:p>
    <w:p>
      <w:pPr>
        <w:pStyle w:val="Heading1"/>
      </w:pPr>
      <w:r>
        <w:t>10. Central Region Analysis</w:t>
      </w:r>
    </w:p>
    <w:p>
      <w:pPr>
        <w:spacing w:before="80" w:after="80"/>
        <w:pBdr>
          <w:bottom w:val="single" w:sz="8" w:space="1" w:color="C9A84C"/>
        </w:pBdr>
      </w:pPr>
    </w:p>
    <w:tbl>
      <w:tblPr>
        <w:tblW w:type="auto" w:w="0"/>
        <w:jc w:val="center"/>
        <w:tblLook w:firstColumn="1" w:firstRow="1" w:lastColumn="0" w:lastRow="0" w:noHBand="0" w:noVBand="1" w:val="04A0"/>
      </w:tblPr>
      <w:tblGrid>
        <w:gridCol w:w="2196"/>
        <w:gridCol w:w="2196"/>
        <w:gridCol w:w="2196"/>
        <w:gridCol w:w="2196"/>
      </w:tblGrid>
      <w:tr>
        <w:tc>
          <w:tcPr>
            <w:tcW w:type="dxa" w:w="2196"/>
            <w:shd w:fill="FDF8EE" w:val="clear"/>
            <w:tcBorders>
              <w:bottom w:val="single" w:sz="12" w:space="0" w:color="C9A84C"/>
            </w:tcBorders>
          </w:tcPr>
          <w:p>
            <w:pPr>
              <w:spacing w:before="0" w:after="0"/>
              <w:jc w:val="center"/>
            </w:pPr>
            <w:r>
              <w:rPr>
                <w:rFonts w:ascii="Calibri" w:hAnsi="Calibri"/>
                <w:b/>
                <w:color w:val="1F3A5F"/>
                <w:sz w:val="52"/>
              </w:rPr>
              <w:t>$3.6M</w:t>
            </w:r>
          </w:p>
          <w:p>
            <w:pPr>
              <w:spacing w:before="0" w:after="0"/>
              <w:jc w:val="center"/>
            </w:pPr>
            <w:r>
              <w:rPr>
                <w:rFonts w:ascii="Calibri" w:hAnsi="Calibri"/>
                <w:color w:val="666666"/>
                <w:sz w:val="18"/>
              </w:rPr>
              <w:t>Q4 Revenue</w:t>
            </w:r>
          </w:p>
        </w:tc>
        <w:tc>
          <w:tcPr>
            <w:tcW w:type="dxa" w:w="2196"/>
            <w:shd w:fill="FDF8EE" w:val="clear"/>
            <w:tcBorders>
              <w:bottom w:val="single" w:sz="12" w:space="0" w:color="C9A84C"/>
            </w:tcBorders>
          </w:tcPr>
          <w:p>
            <w:pPr>
              <w:spacing w:before="0" w:after="0"/>
              <w:jc w:val="center"/>
            </w:pPr>
            <w:r>
              <w:rPr>
                <w:rFonts w:ascii="Calibri" w:hAnsi="Calibri"/>
                <w:b/>
                <w:color w:val="1F3A5F"/>
                <w:sz w:val="52"/>
              </w:rPr>
              <w:t>+5.2%</w:t>
            </w:r>
          </w:p>
          <w:p>
            <w:pPr>
              <w:spacing w:before="0" w:after="0"/>
              <w:jc w:val="center"/>
            </w:pPr>
            <w:r>
              <w:rPr>
                <w:rFonts w:ascii="Calibri" w:hAnsi="Calibri"/>
                <w:color w:val="666666"/>
                <w:sz w:val="18"/>
              </w:rPr>
              <w:t>YoY Growth</w:t>
            </w:r>
          </w:p>
        </w:tc>
        <w:tc>
          <w:tcPr>
            <w:tcW w:type="dxa" w:w="2196"/>
            <w:shd w:fill="FDF8EE" w:val="clear"/>
            <w:tcBorders>
              <w:bottom w:val="single" w:sz="12" w:space="0" w:color="C9A84C"/>
            </w:tcBorders>
          </w:tcPr>
          <w:p>
            <w:pPr>
              <w:spacing w:before="0" w:after="0"/>
              <w:jc w:val="center"/>
            </w:pPr>
            <w:r>
              <w:rPr>
                <w:rFonts w:ascii="Calibri" w:hAnsi="Calibri"/>
                <w:b/>
                <w:color w:val="1F3A5F"/>
                <w:sz w:val="52"/>
              </w:rPr>
              <w:t>10.7%</w:t>
            </w:r>
          </w:p>
          <w:p>
            <w:pPr>
              <w:spacing w:before="0" w:after="0"/>
              <w:jc w:val="center"/>
            </w:pPr>
            <w:r>
              <w:rPr>
                <w:rFonts w:ascii="Calibri" w:hAnsi="Calibri"/>
                <w:color w:val="666666"/>
                <w:sz w:val="18"/>
              </w:rPr>
              <w:t>Market Share</w:t>
            </w:r>
          </w:p>
        </w:tc>
        <w:tc>
          <w:tcPr>
            <w:tcW w:type="dxa" w:w="2196"/>
            <w:shd w:fill="FDF8EE" w:val="clear"/>
            <w:tcBorders>
              <w:bottom w:val="single" w:sz="12" w:space="0" w:color="C9A84C"/>
            </w:tcBorders>
          </w:tcPr>
          <w:p>
            <w:pPr>
              <w:spacing w:before="0" w:after="0"/>
              <w:jc w:val="center"/>
            </w:pPr>
            <w:r>
              <w:rPr>
                <w:rFonts w:ascii="Calibri" w:hAnsi="Calibri"/>
                <w:b/>
                <w:color w:val="1F3A5F"/>
                <w:sz w:val="52"/>
              </w:rPr>
              <w:t>58%</w:t>
            </w:r>
          </w:p>
          <w:p>
            <w:pPr>
              <w:spacing w:before="0" w:after="0"/>
              <w:jc w:val="center"/>
            </w:pPr>
            <w:r>
              <w:rPr>
                <w:rFonts w:ascii="Calibri" w:hAnsi="Calibri"/>
                <w:color w:val="666666"/>
                <w:sz w:val="18"/>
              </w:rPr>
              <w:t>Goal Achieved</w:t>
            </w:r>
          </w:p>
        </w:tc>
      </w:tr>
    </w:tbl>
    <w:p/>
    <w:p>
      <w:pPr>
        <w:spacing w:before="0" w:after="120"/>
      </w:pPr>
      <w:r>
        <w:rPr>
          <w:rFonts w:ascii="Calibri" w:hAnsi="Calibri"/>
          <w:b w:val="0"/>
          <w:i w:val="0"/>
          <w:sz w:val="22"/>
        </w:rPr>
        <w:t>The Central region showed moderate growth with room for improvement. Sales increased at a slower pace compared to other regions, reflecting both market challenges and internal execution gaps. Management is developing a targeted improvement plan to address the region's performance gap and unlock its full potential.</w:t>
      </w:r>
    </w:p>
    <w:p>
      <w:pPr>
        <w:pStyle w:val="Heading2"/>
      </w:pPr>
      <w:r>
        <w:t>Key Highlights</w:t>
      </w:r>
    </w:p>
    <w:p>
      <w:pPr>
        <w:pStyle w:val="ListBullet"/>
      </w:pPr>
      <w:r>
        <w:rPr>
          <w:rFonts w:ascii="Calibri" w:hAnsi="Calibri"/>
          <w:sz w:val="22"/>
        </w:rPr>
        <w:t>Q4 revenue of $3.6M representing 10.7% of total revenue</w:t>
      </w:r>
    </w:p>
    <w:p>
      <w:pPr>
        <w:pStyle w:val="ListBullet"/>
      </w:pPr>
      <w:r>
        <w:rPr>
          <w:rFonts w:ascii="Calibri" w:hAnsi="Calibri"/>
          <w:sz w:val="22"/>
        </w:rPr>
        <w:t>Year-over-year growth of 5.2% — below company average</w:t>
      </w:r>
    </w:p>
    <w:p>
      <w:pPr>
        <w:pStyle w:val="ListBullet"/>
      </w:pPr>
      <w:r>
        <w:rPr>
          <w:rFonts w:ascii="Calibri" w:hAnsi="Calibri"/>
          <w:sz w:val="22"/>
        </w:rPr>
        <w:t>Cost optimization initiative identified $420K in annual savings</w:t>
      </w:r>
    </w:p>
    <w:p>
      <w:pPr>
        <w:pStyle w:val="ListBullet"/>
      </w:pPr>
      <w:r>
        <w:rPr>
          <w:rFonts w:ascii="Calibri" w:hAnsi="Calibri"/>
          <w:sz w:val="22"/>
        </w:rPr>
        <w:t>New regional director appointed in Q4 to drive turnaround strategy</w:t>
      </w:r>
    </w:p>
    <w:p>
      <w:pPr>
        <w:pStyle w:val="Heading3"/>
      </w:pPr>
      <w:r>
        <w:t>Goal Achievement</w:t>
      </w:r>
    </w:p>
    <w:tbl>
      <w:tblPr>
        <w:tblW w:type="auto" w:w="0"/>
        <w:jc w:val="center"/>
        <w:tblLook w:firstColumn="1" w:firstRow="1" w:lastColumn="0" w:lastRow="0" w:noHBand="0" w:noVBand="1" w:val="04A0"/>
      </w:tblPr>
      <w:tblGrid>
        <w:gridCol w:w="4392"/>
        <w:gridCol w:w="4392"/>
      </w:tblGrid>
      <w:tr>
        <w:tc>
          <w:tcPr>
            <w:tcW w:type="dxa" w:w="2160"/>
            <w:shd w:fill="FDF8EE" w:val="clear"/>
          </w:tcPr>
          <w:p>
            <w:pPr>
              <w:jc w:val="left"/>
            </w:pPr>
            <w:r/>
            <w:r>
              <w:rPr>
                <w:rFonts w:ascii="Calibri" w:hAnsi="Calibri"/>
                <w:b/>
                <w:color w:val="1F3A5F"/>
                <w:sz w:val="20"/>
              </w:rPr>
              <w:t>Central Region</w:t>
            </w:r>
          </w:p>
        </w:tc>
        <w:tc>
          <w:tcPr>
            <w:tcW w:type="dxa" w:w="6480"/>
            <w:shd w:fill="FDF8EE" w:val="clear"/>
          </w:tcPr>
          <w:p>
            <w:pPr>
              <w:jc w:val="left"/>
            </w:pPr>
            <w:r/>
            <w:r>
              <w:rPr>
                <w:rFonts w:ascii="Calibri" w:hAnsi="Calibri"/>
                <w:b w:val="0"/>
                <w:color w:val="1F3A5F"/>
                <w:sz w:val="18"/>
              </w:rPr>
              <w:t>███████████░░░░░░░░░  58%</w:t>
            </w:r>
          </w:p>
        </w:tc>
      </w:tr>
    </w:tbl>
    <w:p>
      <w:r>
        <w:br w:type="page"/>
      </w:r>
    </w:p>
    <w:p>
      <w:pPr>
        <w:pStyle w:val="Heading1"/>
      </w:pPr>
      <w:r>
        <w:t>11. Key Findings</w:t>
      </w:r>
    </w:p>
    <w:p>
      <w:pPr>
        <w:spacing w:before="80" w:after="80"/>
        <w:pBdr>
          <w:bottom w:val="single" w:sz="8" w:space="1" w:color="C9A84C"/>
        </w:pBdr>
      </w:pPr>
    </w:p>
    <w:p>
      <w:pPr>
        <w:pStyle w:val="Heading2"/>
      </w:pPr>
      <w:r>
        <w:t>Strong Overall Growth</w:t>
      </w:r>
    </w:p>
    <w:p>
      <w:pPr>
        <w:spacing w:before="0" w:after="120"/>
      </w:pPr>
      <w:r>
        <w:rPr>
          <w:rFonts w:ascii="Calibri" w:hAnsi="Calibri"/>
          <w:b w:val="0"/>
          <w:i w:val="0"/>
          <w:sz w:val="22"/>
        </w:rPr>
        <w:t>The company achieved 11.2% year-over-year revenue growth in FY 2024, driven primarily by strong performance in the West (+16.8%) and South (+14.2%) regions. Total consolidated revenue reached $27.0M for Q4 alone.</w:t>
      </w:r>
    </w:p>
    <w:p>
      <w:pPr>
        <w:pStyle w:val="Heading2"/>
      </w:pPr>
      <w:r>
        <w:t>Regional Performance Gap</w:t>
      </w:r>
    </w:p>
    <w:p>
      <w:pPr>
        <w:spacing w:before="0" w:after="120"/>
      </w:pPr>
      <w:r>
        <w:rPr>
          <w:rFonts w:ascii="Calibri" w:hAnsi="Calibri"/>
          <w:b w:val="0"/>
          <w:i w:val="0"/>
          <w:sz w:val="22"/>
        </w:rPr>
        <w:t>A notable performance gap exists between high-growth regions (West, South) and lower-growth regions (Central at +5.2%). Addressing this disparity represents a significant opportunity for corporate value creation, with an estimated $2-3M in potential upside.</w:t>
      </w:r>
    </w:p>
    <w:p>
      <w:pPr>
        <w:pStyle w:val="Heading2"/>
      </w:pPr>
      <w:r>
        <w:t>Digital Channel Acceleration</w:t>
      </w:r>
    </w:p>
    <w:p>
      <w:pPr>
        <w:spacing w:before="0" w:after="120"/>
      </w:pPr>
      <w:r>
        <w:rPr>
          <w:rFonts w:ascii="Calibri" w:hAnsi="Calibri"/>
          <w:b w:val="0"/>
          <w:i w:val="0"/>
          <w:sz w:val="22"/>
        </w:rPr>
        <w:t>E-commerce and digital channels are becoming increasingly important, with the West region's online channel growing 45% year-over-year. Digital transformation initiatives should be accelerated across all regions to capture this trend.</w:t>
      </w:r>
    </w:p>
    <w:p>
      <w:pPr>
        <w:pStyle w:val="Heading2"/>
      </w:pPr>
      <w:r>
        <w:t>Market Position Strength</w:t>
      </w:r>
    </w:p>
    <w:p>
      <w:pPr>
        <w:spacing w:before="0" w:after="120"/>
      </w:pPr>
      <w:r>
        <w:rPr>
          <w:rFonts w:ascii="Calibri" w:hAnsi="Calibri"/>
          <w:b w:val="0"/>
          <w:i w:val="0"/>
          <w:sz w:val="22"/>
        </w:rPr>
        <w:t>The company maintains strong market positions across all regions, with market share ranging from 10.7% (Central) to 26.4% (West). There is room for share expansion, particularly in the North and Central regions where targeted investments could yield meaningful gains.</w:t>
      </w:r>
    </w:p>
    <w:p>
      <w:pPr>
        <w:pStyle w:val="Heading2"/>
      </w:pPr>
      <w:r>
        <w:t>Customer Satisfaction Leadership</w:t>
      </w:r>
    </w:p>
    <w:p>
      <w:pPr>
        <w:spacing w:before="0" w:after="120"/>
      </w:pPr>
      <w:r>
        <w:rPr>
          <w:rFonts w:ascii="Calibri" w:hAnsi="Calibri"/>
          <w:b w:val="0"/>
          <w:i w:val="0"/>
          <w:sz w:val="22"/>
        </w:rPr>
        <w:t>The South region's customer satisfaction score of 4.6/5.0 demonstrates best-in-class service delivery. Replicating these practices across other regions could improve retention and drive referral-based growth.</w:t>
      </w:r>
    </w:p>
    <w:p>
      <w:r>
        <w:br w:type="page"/>
      </w:r>
    </w:p>
    <w:p>
      <w:pPr>
        <w:pStyle w:val="Heading1"/>
      </w:pPr>
      <w:r>
        <w:t>12. Strategic Recommendations</w:t>
      </w:r>
    </w:p>
    <w:p>
      <w:pPr>
        <w:spacing w:before="80" w:after="80"/>
        <w:pBdr>
          <w:bottom w:val="single" w:sz="8" w:space="1" w:color="C9A84C"/>
        </w:pBdr>
      </w:pPr>
    </w:p>
    <w:p>
      <w:pPr>
        <w:spacing w:before="0" w:after="120"/>
      </w:pPr>
      <w:r>
        <w:rPr>
          <w:rFonts w:ascii="Calibri" w:hAnsi="Calibri"/>
          <w:b w:val="0"/>
          <w:i/>
          <w:sz w:val="22"/>
        </w:rPr>
        <w:t>Based on the analysis of regional performance data and emerging market trends, management recommends the following strategic actions for FY 2025:</w:t>
      </w:r>
    </w:p>
    <w:p>
      <w:pPr>
        <w:pStyle w:val="Heading2"/>
      </w:pPr>
      <w:r>
        <w:t>1. Accelerate Digital Transformation</w:t>
      </w:r>
    </w:p>
    <w:p>
      <w:pPr>
        <w:spacing w:before="0" w:after="120"/>
      </w:pPr>
      <w:r>
        <w:rPr>
          <w:rFonts w:ascii="Calibri" w:hAnsi="Calibri"/>
          <w:b w:val="0"/>
          <w:i w:val="0"/>
          <w:sz w:val="22"/>
        </w:rPr>
        <w:t>Invest in e-commerce capabilities and digital marketing across all regions, with particular focus on North and Central regions where digital penetration lags behind peers. Target: 30% digital channel contribution by Q4 FY 2025.</w:t>
      </w:r>
    </w:p>
    <w:p>
      <w:pPr>
        <w:pStyle w:val="Heading2"/>
      </w:pPr>
      <w:r>
        <w:t>2. Regional Turnaround — Central Region</w:t>
      </w:r>
    </w:p>
    <w:p>
      <w:pPr>
        <w:spacing w:before="0" w:after="120"/>
      </w:pPr>
      <w:r>
        <w:rPr>
          <w:rFonts w:ascii="Calibri" w:hAnsi="Calibri"/>
          <w:b w:val="0"/>
          <w:i w:val="0"/>
          <w:sz w:val="22"/>
        </w:rPr>
        <w:t>Implement a dedicated growth initiative for the Central region, including leadership changes, targeted marketing investments, and distribution network expansion. Target: achieve 10%+ growth rate by Q2 FY 2025.</w:t>
      </w:r>
    </w:p>
    <w:p>
      <w:pPr>
        <w:pStyle w:val="Heading2"/>
      </w:pPr>
      <w:r>
        <w:t>3. Scale High-Performance Practices</w:t>
      </w:r>
    </w:p>
    <w:p>
      <w:pPr>
        <w:spacing w:before="0" w:after="120"/>
      </w:pPr>
      <w:r>
        <w:rPr>
          <w:rFonts w:ascii="Calibri" w:hAnsi="Calibri"/>
          <w:b w:val="0"/>
          <w:i w:val="0"/>
          <w:sz w:val="22"/>
        </w:rPr>
        <w:t>Document and replicate the successful strategies from West and South regions across the broader organization. Key areas include sales training programs, customer retention frameworks, and promotional campaign templates.</w:t>
      </w:r>
    </w:p>
    <w:p>
      <w:pPr>
        <w:pStyle w:val="Heading2"/>
      </w:pPr>
      <w:r>
        <w:t>4. Cross-Regional Collaboration</w:t>
      </w:r>
    </w:p>
    <w:p>
      <w:pPr>
        <w:spacing w:before="0" w:after="120"/>
      </w:pPr>
      <w:r>
        <w:rPr>
          <w:rFonts w:ascii="Calibri" w:hAnsi="Calibri"/>
          <w:b w:val="0"/>
          <w:i w:val="0"/>
          <w:sz w:val="22"/>
        </w:rPr>
        <w:t>Establish a Regional Excellence Council to facilitate knowledge sharing and best practice transfer between regions. Monthly cross-regional reviews to track progress against targets.</w:t>
      </w:r>
    </w:p>
    <w:p>
      <w:pPr>
        <w:pStyle w:val="Heading2"/>
      </w:pPr>
      <w:r>
        <w:t>5. Enhance Analytics Capabilities</w:t>
      </w:r>
    </w:p>
    <w:p>
      <w:pPr>
        <w:spacing w:before="0" w:after="120"/>
      </w:pPr>
      <w:r>
        <w:rPr>
          <w:rFonts w:ascii="Calibri" w:hAnsi="Calibri"/>
          <w:b w:val="0"/>
          <w:i w:val="0"/>
          <w:sz w:val="22"/>
        </w:rPr>
        <w:t>Deploy advanced analytics tools to provide real-time sales performance dashboards for all regions. Enable predictive forecasting and early warning systems for underperforming segments.</w:t>
      </w:r>
    </w:p>
    <w:sectPr w:rsidR="00FC693F" w:rsidRPr="0006063C" w:rsidSect="00034616">
      <w:footerReference w:type="default" r:id="rId12"/>
      <w:pgSz w:w="12240" w:h="15840"/>
      <w:pgMar w:top="1440" w:right="1728" w:bottom="1152" w:left="1728" w:header="720" w:footer="720" w:gutter="0"/>
      <w:cols w:space="720"/>
      <w:docGrid w:linePitch="360"/>
      <w:background w:color="FDFBF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C9A84C"/>
      </w:pBdr>
    </w:pPr>
    <w:r>
      <w:rPr>
        <w:rFonts w:ascii="Calibri" w:hAnsi="Calibri"/>
        <w:color w:val="999999"/>
        <w:sz w:val="16"/>
      </w:rPr>
      <w:fldChar w:fldCharType="begin"/>
    </w:r>
    <w:r>
      <w:rPr>
        <w:rFonts w:ascii="Calibri" w:hAnsi="Calibri"/>
        <w:color w:val="999999"/>
        <w:sz w:val="16"/>
      </w:rPr>
      <w:instrText xml:space="preserve"> PAGE </w:instrText>
    </w:r>
    <w:r>
      <w:rPr>
        <w:rFonts w:ascii="Calibri" w:hAnsi="Calibri"/>
        <w:color w:val="999999"/>
        <w:sz w:val="16"/>
      </w:rPr>
      <w:fldChar w:fldCharType="end"/>
    </w:r>
    <w:r>
      <w:rPr>
        <w:rFonts w:ascii="Calibri" w:hAnsi="Calibri"/>
        <w:color w:val="999999"/>
        <w:sz w:val="16"/>
      </w:rPr>
      <w:t xml:space="preserve">  of  </w:t>
    </w:r>
    <w:r>
      <w:rPr>
        <w:rFonts w:ascii="Calibri" w:hAnsi="Calibri"/>
        <w:color w:val="999999"/>
        <w:sz w:val="16"/>
      </w:rPr>
      <w:fldChar w:fldCharType="begin"/>
    </w:r>
    <w:r>
      <w:rPr>
        <w:rFonts w:ascii="Calibri" w:hAnsi="Calibri"/>
        <w:color w:val="999999"/>
        <w:sz w:val="16"/>
      </w:rPr>
      <w:instrText xml:space="preserve"> NUMPAGES </w:instrText>
    </w:r>
    <w:r>
      <w:rPr>
        <w:rFonts w:ascii="Calibri" w:hAnsi="Calibri"/>
        <w:color w:val="999999"/>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C9A84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