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455" w:rsidRPr="000157DF" w:rsidRDefault="00137455">
      <w:pPr>
        <w:rPr>
          <w:rFonts w:ascii="Times New Roman" w:hAnsi="Times New Roman"/>
          <w:sz w:val="30"/>
          <w:szCs w:val="30"/>
        </w:rPr>
      </w:pPr>
      <w:r w:rsidRPr="000157DF">
        <w:rPr>
          <w:rFonts w:ascii="Times New Roman" w:hAnsi="Times New Roman"/>
          <w:sz w:val="30"/>
          <w:szCs w:val="30"/>
        </w:rPr>
        <w:t xml:space="preserve">Media Analysis Report </w:t>
      </w:r>
    </w:p>
    <w:p w:rsidR="00137455" w:rsidRPr="000157DF" w:rsidRDefault="00137455">
      <w:pPr>
        <w:rPr>
          <w:rFonts w:ascii="Times New Roman" w:hAnsi="Times New Roman"/>
          <w:sz w:val="26"/>
          <w:szCs w:val="26"/>
        </w:rPr>
      </w:pPr>
      <w:r w:rsidRPr="000157DF">
        <w:rPr>
          <w:rFonts w:ascii="Times New Roman" w:hAnsi="Times New Roman"/>
          <w:sz w:val="26"/>
          <w:szCs w:val="26"/>
        </w:rPr>
        <w:t xml:space="preserve">Press Analysis – Representations of Engineering and Engineers in the </w:t>
      </w:r>
      <w:r>
        <w:rPr>
          <w:rFonts w:ascii="Times New Roman" w:hAnsi="Times New Roman"/>
          <w:sz w:val="26"/>
          <w:szCs w:val="26"/>
        </w:rPr>
        <w:t xml:space="preserve">Irish </w:t>
      </w:r>
      <w:r w:rsidRPr="000157DF">
        <w:rPr>
          <w:rFonts w:ascii="Times New Roman" w:hAnsi="Times New Roman"/>
          <w:sz w:val="26"/>
          <w:szCs w:val="26"/>
        </w:rPr>
        <w:t>Media</w:t>
      </w:r>
    </w:p>
    <w:p w:rsidR="00137455" w:rsidRPr="000157DF" w:rsidRDefault="00137455">
      <w:pPr>
        <w:rPr>
          <w:rFonts w:ascii="Times New Roman" w:hAnsi="Times New Roman"/>
          <w:sz w:val="26"/>
          <w:szCs w:val="26"/>
        </w:rPr>
      </w:pPr>
      <w:r w:rsidRPr="000157DF">
        <w:rPr>
          <w:rFonts w:ascii="Times New Roman" w:hAnsi="Times New Roman"/>
          <w:sz w:val="26"/>
          <w:szCs w:val="26"/>
        </w:rPr>
        <w:t>Period: January 2011</w:t>
      </w:r>
    </w:p>
    <w:p w:rsidR="00137455" w:rsidRPr="000157DF" w:rsidRDefault="00137455">
      <w:pPr>
        <w:rPr>
          <w:rFonts w:ascii="Times New Roman" w:hAnsi="Times New Roman"/>
          <w:sz w:val="26"/>
          <w:szCs w:val="26"/>
        </w:rPr>
      </w:pPr>
      <w:r w:rsidRPr="000157DF">
        <w:rPr>
          <w:rFonts w:ascii="Times New Roman" w:hAnsi="Times New Roman"/>
          <w:sz w:val="26"/>
          <w:szCs w:val="26"/>
        </w:rPr>
        <w:t>Aoife Nic Chraith</w:t>
      </w:r>
      <w:r>
        <w:rPr>
          <w:rFonts w:ascii="Times New Roman" w:hAnsi="Times New Roman"/>
          <w:sz w:val="26"/>
          <w:szCs w:val="26"/>
        </w:rPr>
        <w:t xml:space="preserve">, Department of Mechanical and Manufacturing Engineering, </w:t>
      </w:r>
      <w:smartTag w:uri="urn:schemas-microsoft-com:office:smarttags" w:element="PlaceName">
        <w:r>
          <w:rPr>
            <w:rFonts w:ascii="Times New Roman" w:hAnsi="Times New Roman"/>
            <w:sz w:val="26"/>
            <w:szCs w:val="26"/>
          </w:rPr>
          <w:t>Trinity</w:t>
        </w:r>
      </w:smartTag>
      <w:r>
        <w:rPr>
          <w:rFonts w:ascii="Times New Roman" w:hAnsi="Times New Roman"/>
          <w:sz w:val="26"/>
          <w:szCs w:val="26"/>
        </w:rPr>
        <w:t xml:space="preserve"> </w:t>
      </w:r>
      <w:smartTag w:uri="urn:schemas-microsoft-com:office:smarttags" w:element="PlaceType">
        <w:r>
          <w:rPr>
            <w:rFonts w:ascii="Times New Roman" w:hAnsi="Times New Roman"/>
            <w:sz w:val="26"/>
            <w:szCs w:val="26"/>
          </w:rPr>
          <w:t>College</w:t>
        </w:r>
      </w:smartTag>
      <w:r>
        <w:rPr>
          <w:rFonts w:ascii="Times New Roman" w:hAnsi="Times New Roman"/>
          <w:sz w:val="26"/>
          <w:szCs w:val="26"/>
        </w:rPr>
        <w:t xml:space="preserve"> </w:t>
      </w:r>
      <w:smartTag w:uri="urn:schemas-microsoft-com:office:smarttags" w:element="place">
        <w:smartTag w:uri="urn:schemas-microsoft-com:office:smarttags" w:element="City">
          <w:r>
            <w:rPr>
              <w:rFonts w:ascii="Times New Roman" w:hAnsi="Times New Roman"/>
              <w:sz w:val="26"/>
              <w:szCs w:val="26"/>
            </w:rPr>
            <w:t>Dublin</w:t>
          </w:r>
        </w:smartTag>
      </w:smartTag>
    </w:p>
    <w:p w:rsidR="00137455" w:rsidRPr="000157DF" w:rsidRDefault="00137455">
      <w:pPr>
        <w:rPr>
          <w:rFonts w:ascii="Times New Roman" w:hAnsi="Times New Roman"/>
          <w:sz w:val="24"/>
          <w:szCs w:val="24"/>
        </w:rPr>
      </w:pPr>
    </w:p>
    <w:p w:rsidR="00137455" w:rsidRDefault="00137455" w:rsidP="00603788">
      <w:pPr>
        <w:pStyle w:val="ListParagraph"/>
        <w:ind w:left="360"/>
        <w:rPr>
          <w:rFonts w:ascii="Times New Roman" w:hAnsi="Times New Roman"/>
          <w:sz w:val="24"/>
          <w:szCs w:val="24"/>
        </w:rPr>
      </w:pPr>
      <w:r w:rsidRPr="000157DF">
        <w:rPr>
          <w:rFonts w:ascii="Times New Roman" w:hAnsi="Times New Roman"/>
          <w:sz w:val="24"/>
          <w:szCs w:val="24"/>
        </w:rPr>
        <w:t>Objectives</w:t>
      </w:r>
    </w:p>
    <w:p w:rsidR="00137455" w:rsidRPr="000157DF" w:rsidRDefault="00137455" w:rsidP="000157DF">
      <w:pPr>
        <w:pStyle w:val="ListParagraph"/>
        <w:rPr>
          <w:rFonts w:ascii="Times New Roman" w:hAnsi="Times New Roman"/>
          <w:sz w:val="24"/>
          <w:szCs w:val="24"/>
        </w:rPr>
      </w:pPr>
    </w:p>
    <w:p w:rsidR="00137455" w:rsidRPr="00F10573" w:rsidRDefault="00137455" w:rsidP="00C725D9">
      <w:pPr>
        <w:ind w:left="360"/>
        <w:jc w:val="both"/>
        <w:rPr>
          <w:rFonts w:ascii="Times New Roman" w:hAnsi="Times New Roman"/>
          <w:lang w:val="en-GB"/>
        </w:rPr>
      </w:pPr>
      <w:r w:rsidRPr="00F10573">
        <w:rPr>
          <w:rFonts w:ascii="Times New Roman" w:hAnsi="Times New Roman"/>
          <w:lang w:val="en-GB"/>
        </w:rPr>
        <w:t>It is by now widely recognised that prospective and current students absorb a perception of the field of engineering through sources other than their lessons and career advisors. A large proportion of that influence can be contributed to the general media to which students and their families are exposed. It is important, therefore, to investigate how the ‘Engineer’ is defined through the press, and if (and how) this portrayal should be amended. This definition was extended to include all aspects of the ‘Engineer’, including their professional, social and political life, as well as their attitude or response to any global or regional issues – both as an individual and as an organisation.</w:t>
      </w:r>
    </w:p>
    <w:p w:rsidR="00137455" w:rsidRPr="00F10573" w:rsidRDefault="00137455" w:rsidP="008B6D4F">
      <w:pPr>
        <w:ind w:left="360" w:firstLine="360"/>
        <w:jc w:val="both"/>
        <w:rPr>
          <w:rFonts w:ascii="Times New Roman" w:hAnsi="Times New Roman"/>
          <w:lang w:val="en-GB"/>
        </w:rPr>
      </w:pPr>
      <w:r w:rsidRPr="00F10573">
        <w:rPr>
          <w:rFonts w:ascii="Times New Roman" w:hAnsi="Times New Roman"/>
          <w:lang w:val="en-GB"/>
        </w:rPr>
        <w:t xml:space="preserve">In response to the press coverage analysis initiated by the IST, a similar task was undertaken with regards to the media coverage of engineers and the engineering field in </w:t>
      </w:r>
      <w:r>
        <w:rPr>
          <w:rFonts w:ascii="Times New Roman" w:hAnsi="Times New Roman"/>
          <w:lang w:val="en-GB"/>
        </w:rPr>
        <w:t>three</w:t>
      </w:r>
      <w:r w:rsidRPr="00F10573">
        <w:rPr>
          <w:rFonts w:ascii="Times New Roman" w:hAnsi="Times New Roman"/>
          <w:lang w:val="en-GB"/>
        </w:rPr>
        <w:t xml:space="preserve"> main </w:t>
      </w:r>
      <w:r>
        <w:rPr>
          <w:rFonts w:ascii="Times New Roman" w:hAnsi="Times New Roman"/>
          <w:lang w:val="en-GB"/>
        </w:rPr>
        <w:t xml:space="preserve">sources </w:t>
      </w:r>
      <w:r w:rsidRPr="00F10573">
        <w:rPr>
          <w:rFonts w:ascii="Times New Roman" w:hAnsi="Times New Roman"/>
          <w:lang w:val="en-GB"/>
        </w:rPr>
        <w:t xml:space="preserve">in </w:t>
      </w:r>
      <w:smartTag w:uri="urn:schemas-microsoft-com:office:smarttags" w:element="country-region">
        <w:r w:rsidRPr="00F10573">
          <w:rPr>
            <w:rFonts w:ascii="Times New Roman" w:hAnsi="Times New Roman"/>
            <w:lang w:val="en-GB"/>
          </w:rPr>
          <w:t>Ireland</w:t>
        </w:r>
      </w:smartTag>
      <w:r w:rsidRPr="00F10573">
        <w:rPr>
          <w:rFonts w:ascii="Times New Roman" w:hAnsi="Times New Roman"/>
          <w:lang w:val="en-GB"/>
        </w:rPr>
        <w:t xml:space="preserve">. The objectives defined for this analysis were not only to determine the level of visibility of engineering within the media, but also the perception which this visibility was conveying to the consumer. The period of time selected for the analysis was the calendar month of January, 2011. </w:t>
      </w:r>
    </w:p>
    <w:p w:rsidR="00137455" w:rsidRPr="00603788" w:rsidRDefault="00137455" w:rsidP="00436C30">
      <w:pPr>
        <w:rPr>
          <w:rFonts w:ascii="Times New Roman" w:hAnsi="Times New Roman"/>
          <w:lang w:val="en-GB"/>
        </w:rPr>
      </w:pPr>
    </w:p>
    <w:p w:rsidR="00137455" w:rsidRPr="00603788" w:rsidRDefault="00137455" w:rsidP="00603788">
      <w:pPr>
        <w:ind w:left="360"/>
        <w:jc w:val="both"/>
        <w:rPr>
          <w:rFonts w:ascii="Times New Roman" w:hAnsi="Times New Roman"/>
          <w:lang w:val="en-GB"/>
        </w:rPr>
      </w:pPr>
      <w:r w:rsidRPr="00603788">
        <w:rPr>
          <w:rFonts w:ascii="Times New Roman" w:hAnsi="Times New Roman"/>
          <w:lang w:val="en-GB"/>
        </w:rPr>
        <w:t>Methodology</w:t>
      </w:r>
    </w:p>
    <w:p w:rsidR="00137455" w:rsidRPr="00603788" w:rsidRDefault="00137455" w:rsidP="00603788">
      <w:pPr>
        <w:ind w:left="360"/>
        <w:jc w:val="both"/>
        <w:rPr>
          <w:rFonts w:ascii="Times New Roman" w:hAnsi="Times New Roman"/>
          <w:lang w:val="en-GB"/>
        </w:rPr>
      </w:pPr>
    </w:p>
    <w:p w:rsidR="00137455" w:rsidRPr="00603788" w:rsidRDefault="00137455" w:rsidP="00603788">
      <w:pPr>
        <w:ind w:left="360"/>
        <w:jc w:val="both"/>
        <w:rPr>
          <w:rFonts w:ascii="Times New Roman" w:hAnsi="Times New Roman"/>
          <w:lang w:val="en-GB"/>
        </w:rPr>
      </w:pPr>
      <w:r w:rsidRPr="00603788">
        <w:rPr>
          <w:rFonts w:ascii="Times New Roman" w:hAnsi="Times New Roman"/>
          <w:lang w:val="en-GB"/>
        </w:rPr>
        <w:t>The publications targeted for the purposes of this analysis were the primary national newspapers; The Irish Times and The Irish Independent, as well as the main radio station; RTÉ (</w:t>
      </w:r>
      <w:hyperlink r:id="rId5" w:history="1">
        <w:r w:rsidRPr="00603788">
          <w:rPr>
            <w:rFonts w:ascii="Times New Roman" w:hAnsi="Times New Roman"/>
            <w:lang w:val="en-GB"/>
          </w:rPr>
          <w:t>Raidió Teilifís Éireann</w:t>
        </w:r>
      </w:hyperlink>
      <w:r w:rsidRPr="00603788">
        <w:rPr>
          <w:rFonts w:ascii="Times New Roman" w:hAnsi="Times New Roman"/>
          <w:lang w:val="en-GB"/>
        </w:rPr>
        <w:t xml:space="preserve">).Collection of data was conducted through a review of both the online content and text archives of the sources. The ‘ENG’ radical was initially used during source reviews, but due to the inordinate amount of resulting articles concerning motoring, this was amended to the root term ‘engineer’. </w:t>
      </w:r>
    </w:p>
    <w:p w:rsidR="00137455" w:rsidRPr="00603788" w:rsidRDefault="00137455" w:rsidP="00603788">
      <w:pPr>
        <w:ind w:left="360"/>
        <w:jc w:val="both"/>
        <w:rPr>
          <w:rFonts w:ascii="Times New Roman" w:hAnsi="Times New Roman"/>
          <w:lang w:val="en-GB"/>
        </w:rPr>
      </w:pPr>
    </w:p>
    <w:p w:rsidR="00137455" w:rsidRPr="00603788" w:rsidRDefault="00137455" w:rsidP="00603788">
      <w:pPr>
        <w:ind w:left="360"/>
        <w:jc w:val="both"/>
        <w:rPr>
          <w:rFonts w:ascii="Times New Roman" w:hAnsi="Times New Roman"/>
          <w:lang w:val="en-GB"/>
        </w:rPr>
      </w:pPr>
      <w:r w:rsidRPr="00603788">
        <w:rPr>
          <w:rFonts w:ascii="Times New Roman" w:hAnsi="Times New Roman"/>
          <w:lang w:val="en-GB"/>
        </w:rPr>
        <w:t>Codification</w:t>
      </w:r>
    </w:p>
    <w:p w:rsidR="00137455" w:rsidRPr="00F10573" w:rsidRDefault="00137455" w:rsidP="009343DF">
      <w:pPr>
        <w:pStyle w:val="ListParagraph"/>
        <w:ind w:left="1080"/>
        <w:jc w:val="both"/>
        <w:rPr>
          <w:rFonts w:ascii="Times New Roman" w:hAnsi="Times New Roman"/>
          <w:lang w:val="en-GB"/>
        </w:rPr>
      </w:pPr>
    </w:p>
    <w:p w:rsidR="00137455" w:rsidRPr="000157DF" w:rsidRDefault="00137455" w:rsidP="000157DF">
      <w:pPr>
        <w:ind w:left="360"/>
        <w:jc w:val="both"/>
        <w:rPr>
          <w:rFonts w:ascii="Times New Roman" w:hAnsi="Times New Roman"/>
          <w:lang w:val="en-GB"/>
        </w:rPr>
      </w:pPr>
      <w:r w:rsidRPr="000157DF">
        <w:rPr>
          <w:rFonts w:ascii="Times New Roman" w:hAnsi="Times New Roman"/>
          <w:lang w:val="en-GB"/>
        </w:rPr>
        <w:t>The IST report on press analysis was utilised as a template as regards the codification for the data review. The data collected from the source review was initially scanned and either retained or discarded with respect to the articles’ relevance to the engineering field. One inherent problem with the data review was that quite often persons mentioned within an article were identified through their profession (i</w:t>
      </w:r>
      <w:r>
        <w:rPr>
          <w:rFonts w:ascii="Times New Roman" w:hAnsi="Times New Roman"/>
          <w:lang w:val="en-GB"/>
        </w:rPr>
        <w:t>.</w:t>
      </w:r>
      <w:r w:rsidRPr="000157DF">
        <w:rPr>
          <w:rFonts w:ascii="Times New Roman" w:hAnsi="Times New Roman"/>
          <w:lang w:val="en-GB"/>
        </w:rPr>
        <w:t xml:space="preserve">e. </w:t>
      </w:r>
      <w:r>
        <w:rPr>
          <w:rFonts w:ascii="Times New Roman" w:hAnsi="Times New Roman"/>
          <w:lang w:val="en-GB"/>
        </w:rPr>
        <w:t>a</w:t>
      </w:r>
      <w:r w:rsidRPr="000157DF">
        <w:rPr>
          <w:rFonts w:ascii="Times New Roman" w:hAnsi="Times New Roman"/>
          <w:lang w:val="en-GB"/>
        </w:rPr>
        <w:t xml:space="preserve">n engineer), although the article concerned would have no other mention or relevance to the field. These articles were therefore disregarded for the analysis. </w:t>
      </w:r>
    </w:p>
    <w:p w:rsidR="00137455" w:rsidRDefault="00137455" w:rsidP="000157DF">
      <w:pPr>
        <w:ind w:firstLine="360"/>
        <w:jc w:val="both"/>
        <w:rPr>
          <w:rFonts w:ascii="Times New Roman" w:hAnsi="Times New Roman"/>
          <w:lang w:val="en-GB"/>
        </w:rPr>
      </w:pP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The standardised media analysis structure was therefore employed, as follows;</w:t>
      </w:r>
    </w:p>
    <w:p w:rsidR="00137455" w:rsidRPr="00F10573" w:rsidRDefault="00137455" w:rsidP="009343DF">
      <w:pPr>
        <w:pStyle w:val="ListParagraph"/>
        <w:ind w:left="1080"/>
        <w:jc w:val="both"/>
        <w:rPr>
          <w:rFonts w:ascii="Times New Roman" w:hAnsi="Times New Roman"/>
          <w:lang w:val="en-GB"/>
        </w:rPr>
      </w:pP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Date – date of article publication</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Media – the name of the overall media source concerned</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Title – the title of the source article being reviewed</w:t>
      </w:r>
    </w:p>
    <w:p w:rsidR="00137455" w:rsidRPr="00F10573" w:rsidRDefault="00137455" w:rsidP="000157DF">
      <w:pPr>
        <w:pStyle w:val="ListParagraph"/>
        <w:ind w:left="360"/>
        <w:jc w:val="both"/>
        <w:rPr>
          <w:rFonts w:ascii="Times New Roman" w:hAnsi="Times New Roman"/>
          <w:lang w:val="en-GB"/>
        </w:rPr>
      </w:pPr>
      <w:r w:rsidRPr="00F10573">
        <w:rPr>
          <w:rFonts w:ascii="Times New Roman" w:hAnsi="Times New Roman"/>
          <w:lang w:val="en-GB"/>
        </w:rPr>
        <w:t>Field – how the media source internally classified the source article, where applicable</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Tags – any tags or indexing applied to the article source, through the main media</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 xml:space="preserve">IA – the ‘institutional actor’, or overall organisation/institute concerned in the article </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CA – the ‘collective agent’, the keywords/root terms used for sourcing the resulting media</w:t>
      </w:r>
    </w:p>
    <w:p w:rsidR="00137455" w:rsidRPr="000157DF" w:rsidRDefault="00137455" w:rsidP="000157DF">
      <w:pPr>
        <w:ind w:left="360"/>
        <w:jc w:val="both"/>
        <w:rPr>
          <w:rFonts w:ascii="Times New Roman" w:hAnsi="Times New Roman"/>
          <w:lang w:val="en-GB"/>
        </w:rPr>
      </w:pPr>
      <w:r w:rsidRPr="000157DF">
        <w:rPr>
          <w:rFonts w:ascii="Times New Roman" w:hAnsi="Times New Roman"/>
          <w:lang w:val="en-GB"/>
        </w:rPr>
        <w:t>Type – upon evaluation of the article, a judgement was made on how the engineering field is portrayed through the article in question. This evaluation resulted in a ‘grading’ of this portrayal in three discrete sections; 1 – positive, 2 – neutral, and 3 – negative.</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AInd – where applicable, any individuals/positions named in the article</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Theme – main theme of the article concerned</w:t>
      </w:r>
    </w:p>
    <w:p w:rsidR="00137455" w:rsidRPr="000157DF" w:rsidRDefault="00137455" w:rsidP="000157DF">
      <w:pPr>
        <w:ind w:firstLine="360"/>
        <w:jc w:val="both"/>
        <w:rPr>
          <w:rFonts w:ascii="Times New Roman" w:hAnsi="Times New Roman"/>
          <w:lang w:val="en-GB"/>
        </w:rPr>
      </w:pPr>
      <w:r w:rsidRPr="000157DF">
        <w:rPr>
          <w:rFonts w:ascii="Times New Roman" w:hAnsi="Times New Roman"/>
          <w:lang w:val="en-GB"/>
        </w:rPr>
        <w:t>Type – the classification of article being referred to (Ie. Press release, interview etc)</w:t>
      </w:r>
    </w:p>
    <w:p w:rsidR="00137455" w:rsidRPr="00F10573" w:rsidRDefault="00137455" w:rsidP="009343DF">
      <w:pPr>
        <w:pStyle w:val="ListParagraph"/>
        <w:ind w:left="1080"/>
        <w:jc w:val="both"/>
        <w:rPr>
          <w:rFonts w:ascii="Times New Roman" w:hAnsi="Times New Roman"/>
          <w:lang w:val="en-GB"/>
        </w:rPr>
      </w:pPr>
    </w:p>
    <w:p w:rsidR="00137455" w:rsidRPr="00F10573" w:rsidRDefault="00137455" w:rsidP="000157DF">
      <w:pPr>
        <w:pStyle w:val="ListParagraph"/>
        <w:numPr>
          <w:ilvl w:val="0"/>
          <w:numId w:val="1"/>
        </w:numPr>
        <w:rPr>
          <w:rFonts w:ascii="Times New Roman" w:hAnsi="Times New Roman"/>
        </w:rPr>
      </w:pPr>
      <w:r w:rsidRPr="00F10573">
        <w:rPr>
          <w:rFonts w:ascii="Times New Roman" w:hAnsi="Times New Roman"/>
        </w:rPr>
        <w:t>Outcomes</w:t>
      </w:r>
    </w:p>
    <w:p w:rsidR="00137455" w:rsidRPr="00F10573" w:rsidRDefault="00137455" w:rsidP="00B16D92">
      <w:pPr>
        <w:autoSpaceDE w:val="0"/>
        <w:autoSpaceDN w:val="0"/>
        <w:adjustRightInd w:val="0"/>
        <w:spacing w:after="0" w:line="240" w:lineRule="auto"/>
        <w:rPr>
          <w:rFonts w:ascii="Times New Roman" w:hAnsi="Times New Roman"/>
          <w:lang w:val="en-GB" w:eastAsia="pt-PT"/>
        </w:rPr>
      </w:pPr>
    </w:p>
    <w:tbl>
      <w:tblPr>
        <w:tblW w:w="4142" w:type="dxa"/>
        <w:jc w:val="center"/>
        <w:tblInd w:w="-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93"/>
        <w:gridCol w:w="1409"/>
        <w:gridCol w:w="1155"/>
        <w:gridCol w:w="1185"/>
      </w:tblGrid>
      <w:tr w:rsidR="00137455" w:rsidRPr="0047204B" w:rsidTr="00F85D47">
        <w:trPr>
          <w:cantSplit/>
          <w:tblHeader/>
          <w:jc w:val="center"/>
        </w:trPr>
        <w:tc>
          <w:tcPr>
            <w:tcW w:w="4142" w:type="dxa"/>
            <w:gridSpan w:val="4"/>
            <w:tcBorders>
              <w:top w:val="nil"/>
              <w:left w:val="nil"/>
              <w:bottom w:val="nil"/>
              <w:right w:val="nil"/>
            </w:tcBorders>
            <w:shd w:val="clear" w:color="auto" w:fill="FFFFFF"/>
            <w:vAlign w:val="center"/>
          </w:tcPr>
          <w:p w:rsidR="00137455" w:rsidRPr="000157DF" w:rsidRDefault="00137455" w:rsidP="00971273">
            <w:pPr>
              <w:autoSpaceDE w:val="0"/>
              <w:autoSpaceDN w:val="0"/>
              <w:adjustRightInd w:val="0"/>
              <w:spacing w:after="0" w:line="320" w:lineRule="atLeast"/>
              <w:ind w:left="60" w:right="60"/>
              <w:jc w:val="center"/>
              <w:rPr>
                <w:rFonts w:ascii="Times New Roman" w:hAnsi="Times New Roman"/>
                <w:b/>
                <w:lang w:eastAsia="pt-PT"/>
              </w:rPr>
            </w:pPr>
            <w:r w:rsidRPr="000157DF">
              <w:rPr>
                <w:rFonts w:ascii="Times New Roman" w:hAnsi="Times New Roman"/>
                <w:b/>
                <w:bCs/>
                <w:lang w:eastAsia="pt-PT"/>
              </w:rPr>
              <w:t>Media analysed</w:t>
            </w:r>
          </w:p>
        </w:tc>
      </w:tr>
      <w:tr w:rsidR="00137455" w:rsidRPr="0047204B" w:rsidTr="00F85D47">
        <w:trPr>
          <w:cantSplit/>
          <w:tblHeader/>
          <w:jc w:val="center"/>
        </w:trPr>
        <w:tc>
          <w:tcPr>
            <w:tcW w:w="4142" w:type="dxa"/>
            <w:gridSpan w:val="4"/>
            <w:tcBorders>
              <w:top w:val="nil"/>
              <w:left w:val="nil"/>
              <w:bottom w:val="nil"/>
              <w:right w:val="nil"/>
            </w:tcBorders>
            <w:shd w:val="clear" w:color="auto" w:fill="FFFFFF"/>
            <w:vAlign w:val="center"/>
          </w:tcPr>
          <w:p w:rsidR="00137455" w:rsidRPr="000157DF" w:rsidRDefault="00137455" w:rsidP="00971273">
            <w:pPr>
              <w:autoSpaceDE w:val="0"/>
              <w:autoSpaceDN w:val="0"/>
              <w:adjustRightInd w:val="0"/>
              <w:spacing w:after="0" w:line="320" w:lineRule="atLeast"/>
              <w:ind w:left="60" w:right="60"/>
              <w:jc w:val="center"/>
              <w:rPr>
                <w:rFonts w:ascii="Times New Roman" w:hAnsi="Times New Roman"/>
                <w:b/>
                <w:bCs/>
                <w:lang w:eastAsia="pt-PT"/>
              </w:rPr>
            </w:pPr>
          </w:p>
        </w:tc>
      </w:tr>
      <w:tr w:rsidR="00137455" w:rsidRPr="0047204B" w:rsidTr="00F85D47">
        <w:trPr>
          <w:cantSplit/>
          <w:tblHeader/>
          <w:jc w:val="center"/>
        </w:trPr>
        <w:tc>
          <w:tcPr>
            <w:tcW w:w="180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137455" w:rsidRPr="00F10573" w:rsidRDefault="00137455" w:rsidP="00971273">
            <w:pPr>
              <w:autoSpaceDE w:val="0"/>
              <w:autoSpaceDN w:val="0"/>
              <w:adjustRightInd w:val="0"/>
              <w:spacing w:after="0" w:line="240" w:lineRule="auto"/>
              <w:jc w:val="center"/>
              <w:rPr>
                <w:rFonts w:ascii="Times New Roman" w:hAnsi="Times New Roman"/>
                <w:lang w:eastAsia="pt-PT"/>
              </w:rPr>
            </w:pPr>
            <w:r w:rsidRPr="00F10573">
              <w:rPr>
                <w:rFonts w:ascii="Times New Roman" w:hAnsi="Times New Roman"/>
                <w:lang w:eastAsia="pt-PT"/>
              </w:rPr>
              <w:t>Media</w:t>
            </w:r>
          </w:p>
        </w:tc>
        <w:tc>
          <w:tcPr>
            <w:tcW w:w="1155" w:type="dxa"/>
            <w:tcBorders>
              <w:top w:val="single" w:sz="16" w:space="0" w:color="000000"/>
              <w:left w:val="single" w:sz="16" w:space="0" w:color="000000"/>
              <w:bottom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Frequency</w:t>
            </w:r>
          </w:p>
        </w:tc>
        <w:tc>
          <w:tcPr>
            <w:tcW w:w="1185" w:type="dxa"/>
            <w:tcBorders>
              <w:top w:val="single" w:sz="16" w:space="0" w:color="000000"/>
              <w:bottom w:val="single" w:sz="16" w:space="0" w:color="000000"/>
              <w:right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Percentage</w:t>
            </w:r>
          </w:p>
        </w:tc>
      </w:tr>
      <w:tr w:rsidR="00137455" w:rsidRPr="0047204B" w:rsidTr="00F85D47">
        <w:trPr>
          <w:cantSplit/>
          <w:tblHeader/>
          <w:jc w:val="center"/>
        </w:trPr>
        <w:tc>
          <w:tcPr>
            <w:tcW w:w="393" w:type="dxa"/>
            <w:vMerge w:val="restart"/>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p>
        </w:tc>
        <w:tc>
          <w:tcPr>
            <w:tcW w:w="1409" w:type="dxa"/>
            <w:tcBorders>
              <w:top w:val="single" w:sz="16" w:space="0" w:color="000000"/>
              <w:left w:val="nil"/>
              <w:bottom w:val="nil"/>
              <w:right w:val="single" w:sz="16" w:space="0" w:color="000000"/>
            </w:tcBorders>
            <w:shd w:val="clear" w:color="auto" w:fill="FFFFFF"/>
          </w:tcPr>
          <w:p w:rsidR="00137455" w:rsidRPr="00F10573" w:rsidRDefault="00137455" w:rsidP="00F85D47">
            <w:pPr>
              <w:autoSpaceDE w:val="0"/>
              <w:autoSpaceDN w:val="0"/>
              <w:adjustRightInd w:val="0"/>
              <w:spacing w:after="0" w:line="320" w:lineRule="atLeast"/>
              <w:ind w:right="60"/>
              <w:rPr>
                <w:rFonts w:ascii="Times New Roman" w:hAnsi="Times New Roman"/>
                <w:lang w:eastAsia="pt-PT"/>
              </w:rPr>
            </w:pPr>
            <w:r w:rsidRPr="00F10573">
              <w:rPr>
                <w:rFonts w:ascii="Times New Roman" w:hAnsi="Times New Roman"/>
                <w:lang w:eastAsia="pt-PT"/>
              </w:rPr>
              <w:t>Irish Times</w:t>
            </w:r>
          </w:p>
        </w:tc>
        <w:tc>
          <w:tcPr>
            <w:tcW w:w="1155" w:type="dxa"/>
            <w:tcBorders>
              <w:top w:val="single" w:sz="16" w:space="0" w:color="000000"/>
              <w:left w:val="single" w:sz="16" w:space="0" w:color="000000"/>
              <w:bottom w:val="nil"/>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54</w:t>
            </w:r>
          </w:p>
        </w:tc>
        <w:tc>
          <w:tcPr>
            <w:tcW w:w="1185" w:type="dxa"/>
            <w:tcBorders>
              <w:top w:val="single" w:sz="16" w:space="0" w:color="000000"/>
              <w:bottom w:val="nil"/>
              <w:right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61.4</w:t>
            </w:r>
          </w:p>
        </w:tc>
      </w:tr>
      <w:tr w:rsidR="00137455" w:rsidRPr="0047204B" w:rsidTr="00F85D47">
        <w:trPr>
          <w:cantSplit/>
          <w:tblHeader/>
          <w:jc w:val="center"/>
        </w:trPr>
        <w:tc>
          <w:tcPr>
            <w:tcW w:w="393"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409" w:type="dxa"/>
            <w:tcBorders>
              <w:top w:val="nil"/>
              <w:left w:val="nil"/>
              <w:bottom w:val="nil"/>
              <w:right w:val="single" w:sz="16" w:space="0" w:color="000000"/>
            </w:tcBorders>
            <w:shd w:val="clear" w:color="auto" w:fill="FFFFFF"/>
          </w:tcPr>
          <w:p w:rsidR="00137455" w:rsidRPr="00F10573" w:rsidRDefault="00137455" w:rsidP="00F85D47">
            <w:pPr>
              <w:autoSpaceDE w:val="0"/>
              <w:autoSpaceDN w:val="0"/>
              <w:adjustRightInd w:val="0"/>
              <w:spacing w:after="0" w:line="320" w:lineRule="atLeast"/>
              <w:ind w:right="60"/>
              <w:rPr>
                <w:rFonts w:ascii="Times New Roman" w:hAnsi="Times New Roman"/>
                <w:lang w:eastAsia="pt-PT"/>
              </w:rPr>
            </w:pPr>
            <w:r w:rsidRPr="00F10573">
              <w:rPr>
                <w:rFonts w:ascii="Times New Roman" w:hAnsi="Times New Roman"/>
                <w:lang w:eastAsia="pt-PT"/>
              </w:rPr>
              <w:t>Independent</w:t>
            </w:r>
          </w:p>
        </w:tc>
        <w:tc>
          <w:tcPr>
            <w:tcW w:w="1155" w:type="dxa"/>
            <w:tcBorders>
              <w:top w:val="nil"/>
              <w:left w:val="single" w:sz="16" w:space="0" w:color="000000"/>
              <w:bottom w:val="nil"/>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23</w:t>
            </w:r>
          </w:p>
        </w:tc>
        <w:tc>
          <w:tcPr>
            <w:tcW w:w="1185" w:type="dxa"/>
            <w:tcBorders>
              <w:top w:val="nil"/>
              <w:bottom w:val="nil"/>
              <w:right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26.1</w:t>
            </w:r>
          </w:p>
        </w:tc>
      </w:tr>
      <w:tr w:rsidR="00137455" w:rsidRPr="0047204B" w:rsidTr="00F85D47">
        <w:trPr>
          <w:cantSplit/>
          <w:tblHeader/>
          <w:jc w:val="center"/>
        </w:trPr>
        <w:tc>
          <w:tcPr>
            <w:tcW w:w="393"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409" w:type="dxa"/>
            <w:tcBorders>
              <w:top w:val="nil"/>
              <w:left w:val="nil"/>
              <w:bottom w:val="nil"/>
              <w:right w:val="single" w:sz="16" w:space="0" w:color="000000"/>
            </w:tcBorders>
            <w:shd w:val="clear" w:color="auto" w:fill="FFFFFF"/>
          </w:tcPr>
          <w:p w:rsidR="00137455" w:rsidRPr="00F10573" w:rsidRDefault="00137455" w:rsidP="00F85D47">
            <w:pPr>
              <w:autoSpaceDE w:val="0"/>
              <w:autoSpaceDN w:val="0"/>
              <w:adjustRightInd w:val="0"/>
              <w:spacing w:after="0" w:line="320" w:lineRule="atLeast"/>
              <w:ind w:right="60"/>
              <w:rPr>
                <w:rFonts w:ascii="Times New Roman" w:hAnsi="Times New Roman"/>
                <w:lang w:eastAsia="pt-PT"/>
              </w:rPr>
            </w:pPr>
            <w:r w:rsidRPr="00F10573">
              <w:rPr>
                <w:rFonts w:ascii="Times New Roman" w:hAnsi="Times New Roman"/>
                <w:lang w:eastAsia="pt-PT"/>
              </w:rPr>
              <w:t>RTÉ</w:t>
            </w:r>
          </w:p>
        </w:tc>
        <w:tc>
          <w:tcPr>
            <w:tcW w:w="1155" w:type="dxa"/>
            <w:tcBorders>
              <w:top w:val="nil"/>
              <w:left w:val="single" w:sz="16" w:space="0" w:color="000000"/>
              <w:bottom w:val="nil"/>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11</w:t>
            </w:r>
          </w:p>
        </w:tc>
        <w:tc>
          <w:tcPr>
            <w:tcW w:w="1185" w:type="dxa"/>
            <w:tcBorders>
              <w:top w:val="nil"/>
              <w:bottom w:val="nil"/>
              <w:right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12.5</w:t>
            </w:r>
          </w:p>
        </w:tc>
      </w:tr>
      <w:tr w:rsidR="00137455" w:rsidRPr="0047204B" w:rsidTr="00F85D47">
        <w:trPr>
          <w:cantSplit/>
          <w:jc w:val="center"/>
        </w:trPr>
        <w:tc>
          <w:tcPr>
            <w:tcW w:w="393"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409" w:type="dxa"/>
            <w:tcBorders>
              <w:top w:val="nil"/>
              <w:left w:val="nil"/>
              <w:bottom w:val="single" w:sz="16" w:space="0" w:color="000000"/>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Total</w:t>
            </w:r>
          </w:p>
        </w:tc>
        <w:tc>
          <w:tcPr>
            <w:tcW w:w="1155" w:type="dxa"/>
            <w:tcBorders>
              <w:top w:val="nil"/>
              <w:left w:val="single" w:sz="16" w:space="0" w:color="000000"/>
              <w:bottom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88</w:t>
            </w:r>
          </w:p>
        </w:tc>
        <w:tc>
          <w:tcPr>
            <w:tcW w:w="1185" w:type="dxa"/>
            <w:tcBorders>
              <w:top w:val="nil"/>
              <w:bottom w:val="single" w:sz="16" w:space="0" w:color="000000"/>
              <w:right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100</w:t>
            </w:r>
          </w:p>
        </w:tc>
      </w:tr>
    </w:tbl>
    <w:p w:rsidR="00137455" w:rsidRDefault="00137455" w:rsidP="00FE3AD8">
      <w:pPr>
        <w:pStyle w:val="ListParagraph"/>
        <w:spacing w:line="240" w:lineRule="auto"/>
        <w:ind w:left="0"/>
        <w:jc w:val="center"/>
        <w:rPr>
          <w:rFonts w:ascii="Times New Roman" w:hAnsi="Times New Roman"/>
          <w:lang w:val="en-GB"/>
        </w:rPr>
      </w:pPr>
    </w:p>
    <w:p w:rsidR="00137455" w:rsidRPr="00F10573" w:rsidRDefault="00137455" w:rsidP="00FE3AD8">
      <w:pPr>
        <w:pStyle w:val="ListParagraph"/>
        <w:spacing w:line="240" w:lineRule="auto"/>
        <w:ind w:left="0"/>
        <w:jc w:val="center"/>
        <w:rPr>
          <w:rFonts w:ascii="Times New Roman" w:hAnsi="Times New Roman"/>
          <w:lang w:val="en-GB"/>
        </w:rPr>
      </w:pPr>
      <w:r w:rsidRPr="00F10573">
        <w:rPr>
          <w:rFonts w:ascii="Times New Roman" w:hAnsi="Times New Roman"/>
          <w:lang w:val="en-GB"/>
        </w:rPr>
        <w:t>Table 1 – Breakdown of news items per media type</w:t>
      </w:r>
    </w:p>
    <w:p w:rsidR="00137455" w:rsidRPr="000157DF" w:rsidRDefault="00137455" w:rsidP="000157DF">
      <w:pPr>
        <w:jc w:val="both"/>
        <w:rPr>
          <w:rFonts w:ascii="Times New Roman" w:hAnsi="Times New Roman"/>
          <w:lang w:val="en-GB"/>
        </w:rPr>
      </w:pPr>
      <w:r w:rsidRPr="00F10573">
        <w:rPr>
          <w:rFonts w:ascii="Times New Roman" w:hAnsi="Times New Roman"/>
          <w:lang w:val="en-GB"/>
        </w:rPr>
        <w:t>88 news articles were reviewed, whic</w:t>
      </w:r>
      <w:r>
        <w:rPr>
          <w:rFonts w:ascii="Times New Roman" w:hAnsi="Times New Roman"/>
          <w:lang w:val="en-GB"/>
        </w:rPr>
        <w:t>h were produced between 1 and 31</w:t>
      </w:r>
      <w:r w:rsidRPr="00F10573">
        <w:rPr>
          <w:rFonts w:ascii="Times New Roman" w:hAnsi="Times New Roman"/>
          <w:lang w:val="en-GB"/>
        </w:rPr>
        <w:t xml:space="preserve"> </w:t>
      </w:r>
      <w:r>
        <w:rPr>
          <w:rFonts w:ascii="Times New Roman" w:hAnsi="Times New Roman"/>
          <w:lang w:val="en-GB"/>
        </w:rPr>
        <w:t>January 2011</w:t>
      </w:r>
      <w:r w:rsidRPr="00F10573">
        <w:rPr>
          <w:rFonts w:ascii="Times New Roman" w:hAnsi="Times New Roman"/>
          <w:lang w:val="en-GB"/>
        </w:rPr>
        <w:t xml:space="preserve">. </w:t>
      </w:r>
    </w:p>
    <w:p w:rsidR="00137455" w:rsidRDefault="00137455">
      <w:pPr>
        <w:rPr>
          <w:rFonts w:ascii="Times New Roman" w:hAnsi="Times New Roman"/>
          <w:lang w:val="en-GB" w:eastAsia="pt-PT"/>
        </w:rPr>
      </w:pPr>
      <w:r>
        <w:rPr>
          <w:rFonts w:ascii="Times New Roman" w:hAnsi="Times New Roman"/>
          <w:lang w:val="en-GB" w:eastAsia="pt-PT"/>
        </w:rPr>
        <w:br w:type="page"/>
      </w:r>
    </w:p>
    <w:p w:rsidR="00137455" w:rsidRPr="00F10573" w:rsidRDefault="00137455" w:rsidP="003101AD">
      <w:pPr>
        <w:autoSpaceDE w:val="0"/>
        <w:autoSpaceDN w:val="0"/>
        <w:adjustRightInd w:val="0"/>
        <w:spacing w:after="0" w:line="240" w:lineRule="auto"/>
        <w:rPr>
          <w:rFonts w:ascii="Times New Roman" w:hAnsi="Times New Roman"/>
          <w:lang w:val="en-GB" w:eastAsia="pt-PT"/>
        </w:rPr>
      </w:pPr>
    </w:p>
    <w:tbl>
      <w:tblPr>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6"/>
        <w:gridCol w:w="1015"/>
        <w:gridCol w:w="1155"/>
        <w:gridCol w:w="1184"/>
      </w:tblGrid>
      <w:tr w:rsidR="00137455" w:rsidRPr="0047204B" w:rsidTr="00971273">
        <w:trPr>
          <w:cantSplit/>
          <w:tblHeader/>
          <w:jc w:val="center"/>
        </w:trPr>
        <w:tc>
          <w:tcPr>
            <w:tcW w:w="4080" w:type="dxa"/>
            <w:gridSpan w:val="4"/>
            <w:tcBorders>
              <w:top w:val="nil"/>
              <w:left w:val="nil"/>
              <w:bottom w:val="nil"/>
              <w:right w:val="nil"/>
            </w:tcBorders>
            <w:shd w:val="clear" w:color="auto" w:fill="FFFFFF"/>
            <w:vAlign w:val="center"/>
          </w:tcPr>
          <w:p w:rsidR="00137455" w:rsidRDefault="00137455" w:rsidP="00971273">
            <w:pPr>
              <w:autoSpaceDE w:val="0"/>
              <w:autoSpaceDN w:val="0"/>
              <w:adjustRightInd w:val="0"/>
              <w:spacing w:after="0" w:line="320" w:lineRule="atLeast"/>
              <w:ind w:left="60" w:right="60"/>
              <w:jc w:val="center"/>
              <w:rPr>
                <w:rFonts w:ascii="Times New Roman" w:hAnsi="Times New Roman"/>
                <w:b/>
                <w:bCs/>
                <w:lang w:eastAsia="pt-PT"/>
              </w:rPr>
            </w:pPr>
            <w:r w:rsidRPr="000157DF">
              <w:rPr>
                <w:rFonts w:ascii="Times New Roman" w:hAnsi="Times New Roman"/>
                <w:b/>
                <w:bCs/>
                <w:lang w:eastAsia="pt-PT"/>
              </w:rPr>
              <w:t>Valuation of News Items</w:t>
            </w:r>
          </w:p>
          <w:p w:rsidR="00137455" w:rsidRPr="000157DF" w:rsidRDefault="00137455" w:rsidP="00971273">
            <w:pPr>
              <w:autoSpaceDE w:val="0"/>
              <w:autoSpaceDN w:val="0"/>
              <w:adjustRightInd w:val="0"/>
              <w:spacing w:after="0" w:line="320" w:lineRule="atLeast"/>
              <w:ind w:left="60" w:right="60"/>
              <w:jc w:val="center"/>
              <w:rPr>
                <w:rFonts w:ascii="Times New Roman" w:hAnsi="Times New Roman"/>
                <w:b/>
                <w:lang w:eastAsia="pt-PT"/>
              </w:rPr>
            </w:pPr>
          </w:p>
        </w:tc>
      </w:tr>
      <w:tr w:rsidR="00137455" w:rsidRPr="0047204B" w:rsidTr="00971273">
        <w:trPr>
          <w:cantSplit/>
          <w:tblHeader/>
          <w:jc w:val="center"/>
        </w:trPr>
        <w:tc>
          <w:tcPr>
            <w:tcW w:w="174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137455" w:rsidRPr="00F10573" w:rsidRDefault="00137455" w:rsidP="00971273">
            <w:pPr>
              <w:autoSpaceDE w:val="0"/>
              <w:autoSpaceDN w:val="0"/>
              <w:adjustRightInd w:val="0"/>
              <w:spacing w:after="0" w:line="240" w:lineRule="auto"/>
              <w:jc w:val="center"/>
              <w:rPr>
                <w:rFonts w:ascii="Times New Roman" w:hAnsi="Times New Roman"/>
                <w:lang w:eastAsia="pt-PT"/>
              </w:rPr>
            </w:pPr>
          </w:p>
        </w:tc>
        <w:tc>
          <w:tcPr>
            <w:tcW w:w="1155" w:type="dxa"/>
            <w:tcBorders>
              <w:top w:val="single" w:sz="16" w:space="0" w:color="000000"/>
              <w:left w:val="single" w:sz="16" w:space="0" w:color="000000"/>
              <w:bottom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Frequency</w:t>
            </w:r>
          </w:p>
        </w:tc>
        <w:tc>
          <w:tcPr>
            <w:tcW w:w="1184" w:type="dxa"/>
            <w:tcBorders>
              <w:top w:val="single" w:sz="16" w:space="0" w:color="000000"/>
              <w:bottom w:val="single" w:sz="16" w:space="0" w:color="000000"/>
              <w:right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Percentage</w:t>
            </w:r>
          </w:p>
        </w:tc>
      </w:tr>
      <w:tr w:rsidR="00137455" w:rsidRPr="0047204B" w:rsidTr="00971273">
        <w:trPr>
          <w:cantSplit/>
          <w:tblHeader/>
          <w:jc w:val="center"/>
        </w:trPr>
        <w:tc>
          <w:tcPr>
            <w:tcW w:w="726" w:type="dxa"/>
            <w:vMerge w:val="restart"/>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p>
        </w:tc>
        <w:tc>
          <w:tcPr>
            <w:tcW w:w="1015" w:type="dxa"/>
            <w:tcBorders>
              <w:top w:val="single" w:sz="16" w:space="0" w:color="000000"/>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Positive</w:t>
            </w:r>
          </w:p>
        </w:tc>
        <w:tc>
          <w:tcPr>
            <w:tcW w:w="1155" w:type="dxa"/>
            <w:tcBorders>
              <w:top w:val="single" w:sz="16" w:space="0" w:color="000000"/>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51</w:t>
            </w:r>
          </w:p>
        </w:tc>
        <w:tc>
          <w:tcPr>
            <w:tcW w:w="1184" w:type="dxa"/>
            <w:tcBorders>
              <w:top w:val="single" w:sz="16" w:space="0" w:color="000000"/>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58</w:t>
            </w:r>
          </w:p>
        </w:tc>
      </w:tr>
      <w:tr w:rsidR="00137455" w:rsidRPr="0047204B" w:rsidTr="00971273">
        <w:trPr>
          <w:cantSplit/>
          <w:tblHeader/>
          <w:jc w:val="center"/>
        </w:trPr>
        <w:tc>
          <w:tcPr>
            <w:tcW w:w="726"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jc w:val="center"/>
              <w:rPr>
                <w:rFonts w:ascii="Times New Roman" w:hAnsi="Times New Roman"/>
                <w:lang w:eastAsia="pt-PT"/>
              </w:rPr>
            </w:pPr>
          </w:p>
        </w:tc>
        <w:tc>
          <w:tcPr>
            <w:tcW w:w="1015" w:type="dxa"/>
            <w:tcBorders>
              <w:top w:val="nil"/>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Neutral</w:t>
            </w:r>
          </w:p>
        </w:tc>
        <w:tc>
          <w:tcPr>
            <w:tcW w:w="1155" w:type="dxa"/>
            <w:tcBorders>
              <w:top w:val="nil"/>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11</w:t>
            </w:r>
          </w:p>
        </w:tc>
        <w:tc>
          <w:tcPr>
            <w:tcW w:w="1184" w:type="dxa"/>
            <w:tcBorders>
              <w:top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12.5</w:t>
            </w:r>
          </w:p>
        </w:tc>
      </w:tr>
      <w:tr w:rsidR="00137455" w:rsidRPr="0047204B" w:rsidTr="00971273">
        <w:trPr>
          <w:cantSplit/>
          <w:tblHeader/>
          <w:jc w:val="center"/>
        </w:trPr>
        <w:tc>
          <w:tcPr>
            <w:tcW w:w="726"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jc w:val="center"/>
              <w:rPr>
                <w:rFonts w:ascii="Times New Roman" w:hAnsi="Times New Roman"/>
                <w:lang w:eastAsia="pt-PT"/>
              </w:rPr>
            </w:pPr>
          </w:p>
        </w:tc>
        <w:tc>
          <w:tcPr>
            <w:tcW w:w="1015" w:type="dxa"/>
            <w:tcBorders>
              <w:top w:val="nil"/>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Negative</w:t>
            </w:r>
          </w:p>
        </w:tc>
        <w:tc>
          <w:tcPr>
            <w:tcW w:w="1155" w:type="dxa"/>
            <w:tcBorders>
              <w:top w:val="nil"/>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26</w:t>
            </w:r>
          </w:p>
        </w:tc>
        <w:tc>
          <w:tcPr>
            <w:tcW w:w="1184" w:type="dxa"/>
            <w:tcBorders>
              <w:top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29.5</w:t>
            </w:r>
          </w:p>
        </w:tc>
      </w:tr>
      <w:tr w:rsidR="00137455" w:rsidRPr="0047204B" w:rsidTr="00971273">
        <w:trPr>
          <w:cantSplit/>
          <w:jc w:val="center"/>
        </w:trPr>
        <w:tc>
          <w:tcPr>
            <w:tcW w:w="726"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jc w:val="center"/>
              <w:rPr>
                <w:rFonts w:ascii="Times New Roman" w:hAnsi="Times New Roman"/>
                <w:lang w:eastAsia="pt-PT"/>
              </w:rPr>
            </w:pPr>
          </w:p>
        </w:tc>
        <w:tc>
          <w:tcPr>
            <w:tcW w:w="1015" w:type="dxa"/>
            <w:tcBorders>
              <w:top w:val="nil"/>
              <w:left w:val="nil"/>
              <w:bottom w:val="single" w:sz="16" w:space="0" w:color="000000"/>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Total</w:t>
            </w:r>
          </w:p>
        </w:tc>
        <w:tc>
          <w:tcPr>
            <w:tcW w:w="1155" w:type="dxa"/>
            <w:tcBorders>
              <w:top w:val="nil"/>
              <w:left w:val="single" w:sz="16" w:space="0" w:color="000000"/>
              <w:bottom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88</w:t>
            </w:r>
          </w:p>
        </w:tc>
        <w:tc>
          <w:tcPr>
            <w:tcW w:w="1184" w:type="dxa"/>
            <w:tcBorders>
              <w:top w:val="nil"/>
              <w:bottom w:val="single" w:sz="16" w:space="0" w:color="000000"/>
              <w:right w:val="single" w:sz="16" w:space="0" w:color="000000"/>
            </w:tcBorders>
            <w:shd w:val="clear" w:color="auto" w:fill="FFFFFF"/>
          </w:tcPr>
          <w:p w:rsidR="00137455" w:rsidRPr="00F10573" w:rsidRDefault="00137455" w:rsidP="003713B7">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100</w:t>
            </w:r>
          </w:p>
        </w:tc>
      </w:tr>
    </w:tbl>
    <w:p w:rsidR="00137455" w:rsidRDefault="00137455" w:rsidP="003101AD">
      <w:pPr>
        <w:autoSpaceDE w:val="0"/>
        <w:autoSpaceDN w:val="0"/>
        <w:adjustRightInd w:val="0"/>
        <w:spacing w:after="0" w:line="360" w:lineRule="auto"/>
        <w:ind w:left="709"/>
        <w:jc w:val="center"/>
        <w:rPr>
          <w:rFonts w:ascii="Times New Roman" w:hAnsi="Times New Roman"/>
          <w:lang w:val="en-GB" w:eastAsia="pt-PT"/>
        </w:rPr>
      </w:pPr>
    </w:p>
    <w:p w:rsidR="00137455" w:rsidRPr="00F10573" w:rsidRDefault="00137455" w:rsidP="003101AD">
      <w:pPr>
        <w:autoSpaceDE w:val="0"/>
        <w:autoSpaceDN w:val="0"/>
        <w:adjustRightInd w:val="0"/>
        <w:spacing w:after="0" w:line="360" w:lineRule="auto"/>
        <w:ind w:left="709"/>
        <w:jc w:val="center"/>
        <w:rPr>
          <w:rFonts w:ascii="Times New Roman" w:hAnsi="Times New Roman"/>
          <w:lang w:val="en-GB" w:eastAsia="pt-PT"/>
        </w:rPr>
      </w:pPr>
      <w:r w:rsidRPr="00F10573">
        <w:rPr>
          <w:rFonts w:ascii="Times New Roman" w:hAnsi="Times New Roman"/>
          <w:lang w:val="en-GB" w:eastAsia="pt-PT"/>
        </w:rPr>
        <w:t>Table 2 – Valuation of representations of engineers and engineering</w:t>
      </w:r>
    </w:p>
    <w:p w:rsidR="00137455" w:rsidRPr="00F10573" w:rsidRDefault="00137455" w:rsidP="00603788">
      <w:pPr>
        <w:ind w:left="360"/>
        <w:jc w:val="both"/>
        <w:rPr>
          <w:rFonts w:ascii="Times New Roman" w:hAnsi="Times New Roman"/>
          <w:lang w:val="en-GB"/>
        </w:rPr>
      </w:pPr>
    </w:p>
    <w:p w:rsidR="00137455" w:rsidRPr="000157DF" w:rsidRDefault="00137455" w:rsidP="00603788">
      <w:pPr>
        <w:ind w:left="360"/>
        <w:jc w:val="both"/>
        <w:rPr>
          <w:rFonts w:ascii="Times New Roman" w:hAnsi="Times New Roman"/>
          <w:lang w:val="en-GB"/>
        </w:rPr>
      </w:pPr>
      <w:r w:rsidRPr="00F10573">
        <w:rPr>
          <w:rFonts w:ascii="Times New Roman" w:hAnsi="Times New Roman"/>
          <w:lang w:val="en-GB"/>
        </w:rPr>
        <w:t>It is clear from the resulting data that the predominant amount of mentions of engineers and the engineering field are in fact positive, at 58%. Most articles were biased in some direction when discussing the aspect of engineering, with only 12.5% remaining neutral in their discussion. Drawbacks due to the short term nature of this media review can be countered with the fact that the results show such a strong inclina</w:t>
      </w:r>
      <w:r>
        <w:rPr>
          <w:rFonts w:ascii="Times New Roman" w:hAnsi="Times New Roman"/>
          <w:lang w:val="en-GB"/>
        </w:rPr>
        <w:t>tion towards positive mentions – therefore validating the overall result.</w:t>
      </w:r>
    </w:p>
    <w:tbl>
      <w:tblPr>
        <w:tblW w:w="549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8"/>
        <w:gridCol w:w="2426"/>
        <w:gridCol w:w="1154"/>
        <w:gridCol w:w="1186"/>
      </w:tblGrid>
      <w:tr w:rsidR="00137455" w:rsidRPr="0047204B" w:rsidTr="00971273">
        <w:trPr>
          <w:cantSplit/>
          <w:tblHeader/>
          <w:jc w:val="center"/>
        </w:trPr>
        <w:tc>
          <w:tcPr>
            <w:tcW w:w="5494" w:type="dxa"/>
            <w:gridSpan w:val="4"/>
            <w:tcBorders>
              <w:top w:val="nil"/>
              <w:left w:val="nil"/>
              <w:bottom w:val="nil"/>
              <w:right w:val="nil"/>
            </w:tcBorders>
            <w:shd w:val="clear" w:color="auto" w:fill="FFFFFF"/>
            <w:vAlign w:val="center"/>
          </w:tcPr>
          <w:p w:rsidR="00137455" w:rsidRDefault="00137455" w:rsidP="00971273">
            <w:pPr>
              <w:autoSpaceDE w:val="0"/>
              <w:autoSpaceDN w:val="0"/>
              <w:adjustRightInd w:val="0"/>
              <w:spacing w:after="0" w:line="320" w:lineRule="atLeast"/>
              <w:ind w:left="60" w:right="60"/>
              <w:jc w:val="center"/>
              <w:rPr>
                <w:rFonts w:ascii="Times New Roman" w:hAnsi="Times New Roman"/>
                <w:b/>
                <w:bCs/>
                <w:lang w:eastAsia="pt-PT"/>
              </w:rPr>
            </w:pPr>
            <w:r w:rsidRPr="000157DF">
              <w:rPr>
                <w:rFonts w:ascii="Times New Roman" w:hAnsi="Times New Roman"/>
                <w:b/>
                <w:bCs/>
                <w:lang w:eastAsia="pt-PT"/>
              </w:rPr>
              <w:t>Themes Aggregated</w:t>
            </w:r>
          </w:p>
          <w:p w:rsidR="00137455" w:rsidRPr="000157DF" w:rsidRDefault="00137455" w:rsidP="00971273">
            <w:pPr>
              <w:autoSpaceDE w:val="0"/>
              <w:autoSpaceDN w:val="0"/>
              <w:adjustRightInd w:val="0"/>
              <w:spacing w:after="0" w:line="320" w:lineRule="atLeast"/>
              <w:ind w:left="60" w:right="60"/>
              <w:jc w:val="center"/>
              <w:rPr>
                <w:rFonts w:ascii="Times New Roman" w:hAnsi="Times New Roman"/>
                <w:b/>
                <w:lang w:eastAsia="pt-PT"/>
              </w:rPr>
            </w:pPr>
          </w:p>
        </w:tc>
      </w:tr>
      <w:tr w:rsidR="00137455" w:rsidRPr="0047204B" w:rsidTr="00971273">
        <w:trPr>
          <w:cantSplit/>
          <w:tblHeader/>
          <w:jc w:val="center"/>
        </w:trPr>
        <w:tc>
          <w:tcPr>
            <w:tcW w:w="315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137455" w:rsidRPr="00F10573" w:rsidRDefault="00137455" w:rsidP="00DE73B5">
            <w:pPr>
              <w:autoSpaceDE w:val="0"/>
              <w:autoSpaceDN w:val="0"/>
              <w:adjustRightInd w:val="0"/>
              <w:spacing w:after="0" w:line="240" w:lineRule="auto"/>
              <w:jc w:val="center"/>
              <w:rPr>
                <w:rFonts w:ascii="Times New Roman" w:hAnsi="Times New Roman"/>
                <w:lang w:eastAsia="pt-PT"/>
              </w:rPr>
            </w:pPr>
          </w:p>
        </w:tc>
        <w:tc>
          <w:tcPr>
            <w:tcW w:w="1154" w:type="dxa"/>
            <w:tcBorders>
              <w:top w:val="single" w:sz="16" w:space="0" w:color="000000"/>
              <w:left w:val="single" w:sz="16" w:space="0" w:color="000000"/>
              <w:bottom w:val="single" w:sz="16" w:space="0" w:color="000000"/>
            </w:tcBorders>
            <w:shd w:val="clear" w:color="auto" w:fill="FFFFFF"/>
            <w:vAlign w:val="bottom"/>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Frequency</w:t>
            </w:r>
          </w:p>
        </w:tc>
        <w:tc>
          <w:tcPr>
            <w:tcW w:w="1186" w:type="dxa"/>
            <w:tcBorders>
              <w:top w:val="single" w:sz="16" w:space="0" w:color="000000"/>
              <w:bottom w:val="single" w:sz="16" w:space="0" w:color="000000"/>
              <w:right w:val="single" w:sz="16" w:space="0" w:color="000000"/>
            </w:tcBorders>
            <w:shd w:val="clear" w:color="auto" w:fill="FFFFFF"/>
            <w:vAlign w:val="bottom"/>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Percentage</w:t>
            </w:r>
          </w:p>
        </w:tc>
      </w:tr>
      <w:tr w:rsidR="00137455" w:rsidRPr="0047204B" w:rsidTr="00971273">
        <w:trPr>
          <w:cantSplit/>
          <w:tblHeader/>
          <w:jc w:val="center"/>
        </w:trPr>
        <w:tc>
          <w:tcPr>
            <w:tcW w:w="728" w:type="dxa"/>
            <w:vMerge w:val="restart"/>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p>
        </w:tc>
        <w:tc>
          <w:tcPr>
            <w:tcW w:w="2426" w:type="dxa"/>
            <w:tcBorders>
              <w:top w:val="single" w:sz="16" w:space="0" w:color="000000"/>
              <w:left w:val="nil"/>
              <w:bottom w:val="nil"/>
              <w:right w:val="single" w:sz="16" w:space="0" w:color="000000"/>
            </w:tcBorders>
            <w:shd w:val="clear" w:color="auto" w:fill="FFFFFF"/>
          </w:tcPr>
          <w:p w:rsidR="00137455" w:rsidRPr="00F10573" w:rsidRDefault="00137455" w:rsidP="00DE73B5">
            <w:pPr>
              <w:autoSpaceDE w:val="0"/>
              <w:autoSpaceDN w:val="0"/>
              <w:adjustRightInd w:val="0"/>
              <w:spacing w:after="0" w:line="320" w:lineRule="atLeast"/>
              <w:ind w:left="60" w:right="60"/>
              <w:rPr>
                <w:rFonts w:ascii="Times New Roman" w:hAnsi="Times New Roman"/>
                <w:u w:val="single"/>
                <w:lang w:eastAsia="pt-PT"/>
              </w:rPr>
            </w:pPr>
            <w:r w:rsidRPr="00F10573">
              <w:rPr>
                <w:rFonts w:ascii="Times New Roman" w:hAnsi="Times New Roman"/>
                <w:u w:val="single"/>
                <w:lang w:eastAsia="pt-PT"/>
              </w:rPr>
              <w:t>Home News:</w:t>
            </w:r>
          </w:p>
        </w:tc>
        <w:tc>
          <w:tcPr>
            <w:tcW w:w="1154" w:type="dxa"/>
            <w:tcBorders>
              <w:top w:val="single" w:sz="16" w:space="0" w:color="000000"/>
              <w:left w:val="single" w:sz="16" w:space="0" w:color="000000"/>
              <w:bottom w:val="nil"/>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u w:val="single"/>
                <w:lang w:eastAsia="pt-PT"/>
              </w:rPr>
            </w:pPr>
            <w:r w:rsidRPr="00F10573">
              <w:rPr>
                <w:rFonts w:ascii="Times New Roman" w:hAnsi="Times New Roman"/>
                <w:u w:val="single"/>
                <w:lang w:eastAsia="pt-PT"/>
              </w:rPr>
              <w:t>34</w:t>
            </w:r>
          </w:p>
        </w:tc>
        <w:tc>
          <w:tcPr>
            <w:tcW w:w="1186" w:type="dxa"/>
            <w:tcBorders>
              <w:top w:val="single" w:sz="16" w:space="0" w:color="000000"/>
              <w:bottom w:val="nil"/>
              <w:right w:val="single" w:sz="16" w:space="0" w:color="000000"/>
            </w:tcBorders>
            <w:shd w:val="clear" w:color="auto" w:fill="FFFFFF"/>
          </w:tcPr>
          <w:p w:rsidR="00137455" w:rsidRPr="00F10573" w:rsidRDefault="00137455" w:rsidP="00BA51F6">
            <w:pPr>
              <w:autoSpaceDE w:val="0"/>
              <w:autoSpaceDN w:val="0"/>
              <w:adjustRightInd w:val="0"/>
              <w:spacing w:after="0" w:line="320" w:lineRule="atLeast"/>
              <w:ind w:left="60" w:right="60"/>
              <w:jc w:val="center"/>
              <w:rPr>
                <w:rFonts w:ascii="Times New Roman" w:hAnsi="Times New Roman"/>
                <w:u w:val="single"/>
                <w:lang w:eastAsia="pt-PT"/>
              </w:rPr>
            </w:pPr>
            <w:r w:rsidRPr="00F10573">
              <w:rPr>
                <w:rFonts w:ascii="Times New Roman" w:hAnsi="Times New Roman"/>
                <w:u w:val="single"/>
                <w:lang w:eastAsia="pt-PT"/>
              </w:rPr>
              <w:t>38.6</w:t>
            </w:r>
          </w:p>
        </w:tc>
      </w:tr>
      <w:tr w:rsidR="00137455" w:rsidRPr="0047204B" w:rsidTr="00971273">
        <w:trPr>
          <w:cantSplit/>
          <w:tblHeader/>
          <w:jc w:val="center"/>
        </w:trPr>
        <w:tc>
          <w:tcPr>
            <w:tcW w:w="728"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240" w:lineRule="auto"/>
              <w:jc w:val="center"/>
              <w:rPr>
                <w:rFonts w:ascii="Times New Roman" w:hAnsi="Times New Roman"/>
                <w:lang w:eastAsia="pt-PT"/>
              </w:rPr>
            </w:pPr>
          </w:p>
        </w:tc>
        <w:tc>
          <w:tcPr>
            <w:tcW w:w="2426" w:type="dxa"/>
            <w:tcBorders>
              <w:top w:val="nil"/>
              <w:left w:val="nil"/>
              <w:bottom w:val="nil"/>
              <w:right w:val="single" w:sz="16" w:space="0" w:color="000000"/>
            </w:tcBorders>
            <w:shd w:val="clear" w:color="auto" w:fill="FFFFFF"/>
          </w:tcPr>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Employment</w:t>
            </w:r>
          </w:p>
        </w:tc>
        <w:tc>
          <w:tcPr>
            <w:tcW w:w="1154" w:type="dxa"/>
            <w:tcBorders>
              <w:top w:val="nil"/>
              <w:left w:val="single" w:sz="16" w:space="0" w:color="000000"/>
              <w:bottom w:val="nil"/>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16</w:t>
            </w:r>
          </w:p>
        </w:tc>
        <w:tc>
          <w:tcPr>
            <w:tcW w:w="1186" w:type="dxa"/>
            <w:tcBorders>
              <w:top w:val="nil"/>
              <w:bottom w:val="nil"/>
              <w:right w:val="single" w:sz="16" w:space="0" w:color="000000"/>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18.2</w:t>
            </w:r>
          </w:p>
        </w:tc>
      </w:tr>
      <w:tr w:rsidR="00137455" w:rsidRPr="0047204B" w:rsidTr="00971273">
        <w:trPr>
          <w:cantSplit/>
          <w:tblHeader/>
          <w:jc w:val="center"/>
        </w:trPr>
        <w:tc>
          <w:tcPr>
            <w:tcW w:w="728"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240" w:lineRule="auto"/>
              <w:jc w:val="center"/>
              <w:rPr>
                <w:rFonts w:ascii="Times New Roman" w:hAnsi="Times New Roman"/>
                <w:lang w:eastAsia="pt-PT"/>
              </w:rPr>
            </w:pPr>
          </w:p>
        </w:tc>
        <w:tc>
          <w:tcPr>
            <w:tcW w:w="2426" w:type="dxa"/>
            <w:tcBorders>
              <w:top w:val="nil"/>
              <w:left w:val="nil"/>
              <w:bottom w:val="nil"/>
              <w:right w:val="single" w:sz="16" w:space="0" w:color="000000"/>
            </w:tcBorders>
            <w:shd w:val="clear" w:color="auto" w:fill="FFFFFF"/>
          </w:tcPr>
          <w:p w:rsidR="00137455" w:rsidRPr="00F10573" w:rsidRDefault="00137455" w:rsidP="00DE73B5">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Manufacturing/Industry</w:t>
            </w:r>
          </w:p>
          <w:p w:rsidR="00137455" w:rsidRPr="00F10573" w:rsidRDefault="00137455" w:rsidP="00DE73B5">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Social/Political</w:t>
            </w:r>
          </w:p>
          <w:p w:rsidR="00137455" w:rsidRPr="00F10573" w:rsidRDefault="00137455" w:rsidP="00DE73B5">
            <w:pPr>
              <w:autoSpaceDE w:val="0"/>
              <w:autoSpaceDN w:val="0"/>
              <w:adjustRightInd w:val="0"/>
              <w:spacing w:after="0" w:line="320" w:lineRule="atLeast"/>
              <w:ind w:left="60" w:right="60"/>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Business/Markets</w:t>
            </w:r>
          </w:p>
          <w:p w:rsidR="00137455" w:rsidRPr="00F10573" w:rsidRDefault="00137455" w:rsidP="00782B28">
            <w:pPr>
              <w:autoSpaceDE w:val="0"/>
              <w:autoSpaceDN w:val="0"/>
              <w:adjustRightInd w:val="0"/>
              <w:spacing w:after="0" w:line="320" w:lineRule="atLeast"/>
              <w:ind w:right="60"/>
              <w:rPr>
                <w:rFonts w:ascii="Times New Roman" w:hAnsi="Times New Roman"/>
                <w:lang w:eastAsia="pt-PT"/>
              </w:rPr>
            </w:pPr>
          </w:p>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Technology/Innovation/</w:t>
            </w:r>
          </w:p>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Renewable Energy/ Science Today</w:t>
            </w:r>
          </w:p>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p>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Education/Bang.com</w:t>
            </w:r>
          </w:p>
          <w:p w:rsidR="00137455" w:rsidRPr="00F10573" w:rsidRDefault="00137455" w:rsidP="00BA51F6">
            <w:pPr>
              <w:autoSpaceDE w:val="0"/>
              <w:autoSpaceDN w:val="0"/>
              <w:adjustRightInd w:val="0"/>
              <w:spacing w:after="0" w:line="320" w:lineRule="atLeast"/>
              <w:ind w:left="60" w:right="60"/>
              <w:rPr>
                <w:rFonts w:ascii="Times New Roman" w:hAnsi="Times New Roman"/>
                <w:lang w:eastAsia="pt-PT"/>
              </w:rPr>
            </w:pPr>
          </w:p>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World News</w:t>
            </w:r>
          </w:p>
        </w:tc>
        <w:tc>
          <w:tcPr>
            <w:tcW w:w="1154" w:type="dxa"/>
            <w:tcBorders>
              <w:top w:val="nil"/>
              <w:left w:val="single" w:sz="16" w:space="0" w:color="000000"/>
              <w:bottom w:val="nil"/>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12</w:t>
            </w:r>
          </w:p>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6</w:t>
            </w:r>
          </w:p>
          <w:p w:rsidR="00137455" w:rsidRPr="00F10573" w:rsidRDefault="00137455" w:rsidP="00D6333D">
            <w:pPr>
              <w:autoSpaceDE w:val="0"/>
              <w:autoSpaceDN w:val="0"/>
              <w:adjustRightInd w:val="0"/>
              <w:spacing w:after="0" w:line="320" w:lineRule="atLeast"/>
              <w:ind w:right="60"/>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r w:rsidRPr="00F10573">
              <w:rPr>
                <w:rFonts w:ascii="Times New Roman" w:hAnsi="Times New Roman"/>
                <w:lang w:val="en-GB" w:eastAsia="pt-PT"/>
              </w:rPr>
              <w:t>22</w:t>
            </w: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r w:rsidRPr="00F10573">
              <w:rPr>
                <w:rFonts w:ascii="Times New Roman" w:hAnsi="Times New Roman"/>
                <w:lang w:val="en-GB" w:eastAsia="pt-PT"/>
              </w:rPr>
              <w:t>11</w:t>
            </w: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p>
          <w:p w:rsidR="00137455" w:rsidRPr="00F10573" w:rsidRDefault="00137455" w:rsidP="00BA51F6">
            <w:pPr>
              <w:autoSpaceDE w:val="0"/>
              <w:autoSpaceDN w:val="0"/>
              <w:adjustRightInd w:val="0"/>
              <w:spacing w:after="0" w:line="320" w:lineRule="atLeast"/>
              <w:ind w:right="60"/>
              <w:jc w:val="center"/>
              <w:rPr>
                <w:rFonts w:ascii="Times New Roman" w:hAnsi="Times New Roman"/>
                <w:lang w:val="en-GB" w:eastAsia="pt-PT"/>
              </w:rPr>
            </w:pPr>
            <w:r w:rsidRPr="00F10573">
              <w:rPr>
                <w:rFonts w:ascii="Times New Roman" w:hAnsi="Times New Roman"/>
                <w:lang w:val="en-GB" w:eastAsia="pt-PT"/>
              </w:rPr>
              <w:t>9</w:t>
            </w:r>
          </w:p>
          <w:p w:rsidR="00137455" w:rsidRPr="00F10573" w:rsidRDefault="00137455" w:rsidP="00DE73B5">
            <w:pPr>
              <w:autoSpaceDE w:val="0"/>
              <w:autoSpaceDN w:val="0"/>
              <w:adjustRightInd w:val="0"/>
              <w:spacing w:after="0" w:line="320" w:lineRule="atLeast"/>
              <w:ind w:right="60"/>
              <w:jc w:val="center"/>
              <w:rPr>
                <w:rFonts w:ascii="Times New Roman" w:hAnsi="Times New Roman"/>
                <w:lang w:val="en-GB" w:eastAsia="pt-PT"/>
              </w:rPr>
            </w:pPr>
          </w:p>
          <w:p w:rsidR="00137455" w:rsidRPr="00F10573" w:rsidRDefault="00137455" w:rsidP="002805FF">
            <w:pPr>
              <w:autoSpaceDE w:val="0"/>
              <w:autoSpaceDN w:val="0"/>
              <w:adjustRightInd w:val="0"/>
              <w:spacing w:after="0" w:line="320" w:lineRule="atLeast"/>
              <w:ind w:right="60"/>
              <w:jc w:val="center"/>
              <w:rPr>
                <w:rFonts w:ascii="Times New Roman" w:hAnsi="Times New Roman"/>
                <w:lang w:val="en-GB" w:eastAsia="pt-PT"/>
              </w:rPr>
            </w:pPr>
            <w:r w:rsidRPr="00F10573">
              <w:rPr>
                <w:rFonts w:ascii="Times New Roman" w:hAnsi="Times New Roman"/>
                <w:lang w:val="en-GB" w:eastAsia="pt-PT"/>
              </w:rPr>
              <w:t>8</w:t>
            </w:r>
          </w:p>
        </w:tc>
        <w:tc>
          <w:tcPr>
            <w:tcW w:w="1186" w:type="dxa"/>
            <w:tcBorders>
              <w:top w:val="nil"/>
              <w:bottom w:val="nil"/>
              <w:right w:val="single" w:sz="16" w:space="0" w:color="000000"/>
            </w:tcBorders>
            <w:shd w:val="clear" w:color="auto" w:fill="FFFFFF"/>
          </w:tcPr>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13.6</w:t>
            </w: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6.8</w:t>
            </w: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25</w:t>
            </w: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12.5</w:t>
            </w:r>
          </w:p>
          <w:p w:rsidR="00137455" w:rsidRPr="00F10573" w:rsidRDefault="00137455" w:rsidP="00615F58">
            <w:pPr>
              <w:autoSpaceDE w:val="0"/>
              <w:autoSpaceDN w:val="0"/>
              <w:adjustRightInd w:val="0"/>
              <w:spacing w:after="0" w:line="320" w:lineRule="atLeast"/>
              <w:ind w:left="60" w:right="60"/>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10.2</w:t>
            </w: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p>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9.1</w:t>
            </w:r>
          </w:p>
        </w:tc>
      </w:tr>
      <w:tr w:rsidR="00137455" w:rsidRPr="0047204B" w:rsidTr="00971273">
        <w:trPr>
          <w:cantSplit/>
          <w:tblHeader/>
          <w:jc w:val="center"/>
        </w:trPr>
        <w:tc>
          <w:tcPr>
            <w:tcW w:w="728"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240" w:lineRule="auto"/>
              <w:jc w:val="center"/>
              <w:rPr>
                <w:rFonts w:ascii="Times New Roman" w:hAnsi="Times New Roman"/>
                <w:lang w:val="en-GB" w:eastAsia="pt-PT"/>
              </w:rPr>
            </w:pPr>
          </w:p>
        </w:tc>
        <w:tc>
          <w:tcPr>
            <w:tcW w:w="2426" w:type="dxa"/>
            <w:tcBorders>
              <w:top w:val="nil"/>
              <w:left w:val="nil"/>
              <w:bottom w:val="nil"/>
              <w:right w:val="single" w:sz="16" w:space="0" w:color="000000"/>
            </w:tcBorders>
            <w:shd w:val="clear" w:color="auto" w:fill="FFFFFF"/>
          </w:tcPr>
          <w:p w:rsidR="00137455" w:rsidRPr="00F10573" w:rsidRDefault="00137455" w:rsidP="002805FF">
            <w:pPr>
              <w:autoSpaceDE w:val="0"/>
              <w:autoSpaceDN w:val="0"/>
              <w:adjustRightInd w:val="0"/>
              <w:spacing w:after="0" w:line="320" w:lineRule="atLeast"/>
              <w:ind w:right="60"/>
              <w:rPr>
                <w:rFonts w:ascii="Times New Roman" w:hAnsi="Times New Roman"/>
                <w:lang w:val="en-GB" w:eastAsia="pt-PT"/>
              </w:rPr>
            </w:pPr>
            <w:r w:rsidRPr="00F10573">
              <w:rPr>
                <w:rFonts w:ascii="Times New Roman" w:hAnsi="Times New Roman"/>
                <w:lang w:val="en-GB" w:eastAsia="pt-PT"/>
              </w:rPr>
              <w:t xml:space="preserve"> Arts / Health</w:t>
            </w:r>
          </w:p>
        </w:tc>
        <w:tc>
          <w:tcPr>
            <w:tcW w:w="1154" w:type="dxa"/>
            <w:tcBorders>
              <w:top w:val="nil"/>
              <w:left w:val="single" w:sz="16" w:space="0" w:color="000000"/>
              <w:bottom w:val="nil"/>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4</w:t>
            </w:r>
          </w:p>
        </w:tc>
        <w:tc>
          <w:tcPr>
            <w:tcW w:w="1186" w:type="dxa"/>
            <w:tcBorders>
              <w:top w:val="nil"/>
              <w:bottom w:val="nil"/>
              <w:right w:val="single" w:sz="16" w:space="0" w:color="000000"/>
            </w:tcBorders>
            <w:shd w:val="clear" w:color="auto" w:fill="FFFFFF"/>
          </w:tcPr>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val="en-GB" w:eastAsia="pt-PT"/>
              </w:rPr>
            </w:pPr>
            <w:r w:rsidRPr="00F10573">
              <w:rPr>
                <w:rFonts w:ascii="Times New Roman" w:hAnsi="Times New Roman"/>
                <w:lang w:val="en-GB" w:eastAsia="pt-PT"/>
              </w:rPr>
              <w:t>4.5</w:t>
            </w:r>
          </w:p>
        </w:tc>
      </w:tr>
      <w:tr w:rsidR="00137455" w:rsidRPr="0047204B" w:rsidTr="00971273">
        <w:trPr>
          <w:cantSplit/>
          <w:tblHeader/>
          <w:jc w:val="center"/>
        </w:trPr>
        <w:tc>
          <w:tcPr>
            <w:tcW w:w="728"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240" w:lineRule="auto"/>
              <w:jc w:val="center"/>
              <w:rPr>
                <w:rFonts w:ascii="Times New Roman" w:hAnsi="Times New Roman"/>
                <w:lang w:val="en-GB" w:eastAsia="pt-PT"/>
              </w:rPr>
            </w:pPr>
          </w:p>
        </w:tc>
        <w:tc>
          <w:tcPr>
            <w:tcW w:w="2426" w:type="dxa"/>
            <w:tcBorders>
              <w:top w:val="nil"/>
              <w:left w:val="nil"/>
              <w:bottom w:val="nil"/>
              <w:right w:val="single" w:sz="16" w:space="0" w:color="000000"/>
            </w:tcBorders>
            <w:shd w:val="clear" w:color="auto" w:fill="FFFFFF"/>
          </w:tcPr>
          <w:p w:rsidR="00137455" w:rsidRPr="00F10573" w:rsidRDefault="00137455" w:rsidP="002805FF">
            <w:pPr>
              <w:autoSpaceDE w:val="0"/>
              <w:autoSpaceDN w:val="0"/>
              <w:adjustRightInd w:val="0"/>
              <w:spacing w:after="0" w:line="320" w:lineRule="atLeast"/>
              <w:ind w:right="60"/>
              <w:rPr>
                <w:rFonts w:ascii="Times New Roman" w:hAnsi="Times New Roman"/>
                <w:lang w:val="en-GB" w:eastAsia="pt-PT"/>
              </w:rPr>
            </w:pPr>
          </w:p>
        </w:tc>
        <w:tc>
          <w:tcPr>
            <w:tcW w:w="1154" w:type="dxa"/>
            <w:tcBorders>
              <w:top w:val="nil"/>
              <w:left w:val="single" w:sz="16" w:space="0" w:color="000000"/>
              <w:bottom w:val="nil"/>
            </w:tcBorders>
            <w:shd w:val="clear" w:color="auto" w:fill="FFFFFF"/>
          </w:tcPr>
          <w:p w:rsidR="00137455" w:rsidRPr="00F10573" w:rsidRDefault="00137455" w:rsidP="002805FF">
            <w:pPr>
              <w:autoSpaceDE w:val="0"/>
              <w:autoSpaceDN w:val="0"/>
              <w:adjustRightInd w:val="0"/>
              <w:spacing w:after="0" w:line="320" w:lineRule="atLeast"/>
              <w:ind w:right="60"/>
              <w:rPr>
                <w:rFonts w:ascii="Times New Roman" w:hAnsi="Times New Roman"/>
                <w:lang w:eastAsia="pt-PT"/>
              </w:rPr>
            </w:pPr>
          </w:p>
        </w:tc>
        <w:tc>
          <w:tcPr>
            <w:tcW w:w="1186" w:type="dxa"/>
            <w:tcBorders>
              <w:top w:val="nil"/>
              <w:bottom w:val="nil"/>
              <w:right w:val="single" w:sz="16" w:space="0" w:color="000000"/>
            </w:tcBorders>
            <w:shd w:val="clear" w:color="auto" w:fill="FFFFFF"/>
          </w:tcPr>
          <w:p w:rsidR="00137455" w:rsidRPr="00F10573" w:rsidRDefault="00137455" w:rsidP="00615F58">
            <w:pPr>
              <w:autoSpaceDE w:val="0"/>
              <w:autoSpaceDN w:val="0"/>
              <w:adjustRightInd w:val="0"/>
              <w:spacing w:after="0" w:line="320" w:lineRule="atLeast"/>
              <w:ind w:left="60" w:right="60"/>
              <w:jc w:val="center"/>
              <w:rPr>
                <w:rFonts w:ascii="Times New Roman" w:hAnsi="Times New Roman"/>
                <w:lang w:eastAsia="pt-PT"/>
              </w:rPr>
            </w:pPr>
          </w:p>
        </w:tc>
      </w:tr>
      <w:tr w:rsidR="00137455" w:rsidRPr="0047204B" w:rsidTr="00971273">
        <w:trPr>
          <w:cantSplit/>
          <w:jc w:val="center"/>
        </w:trPr>
        <w:tc>
          <w:tcPr>
            <w:tcW w:w="728" w:type="dxa"/>
            <w:vMerge/>
            <w:tcBorders>
              <w:top w:val="single" w:sz="16" w:space="0" w:color="000000"/>
              <w:left w:val="single" w:sz="16" w:space="0" w:color="000000"/>
              <w:bottom w:val="single" w:sz="16" w:space="0" w:color="000000"/>
              <w:right w:val="nil"/>
            </w:tcBorders>
            <w:shd w:val="clear" w:color="auto" w:fill="FFFFFF"/>
          </w:tcPr>
          <w:p w:rsidR="00137455" w:rsidRPr="00F10573" w:rsidRDefault="00137455" w:rsidP="00DE73B5">
            <w:pPr>
              <w:autoSpaceDE w:val="0"/>
              <w:autoSpaceDN w:val="0"/>
              <w:adjustRightInd w:val="0"/>
              <w:spacing w:after="0" w:line="240" w:lineRule="auto"/>
              <w:jc w:val="center"/>
              <w:rPr>
                <w:rFonts w:ascii="Times New Roman" w:hAnsi="Times New Roman"/>
                <w:lang w:eastAsia="pt-PT"/>
              </w:rPr>
            </w:pPr>
          </w:p>
        </w:tc>
        <w:tc>
          <w:tcPr>
            <w:tcW w:w="2426" w:type="dxa"/>
            <w:tcBorders>
              <w:top w:val="nil"/>
              <w:left w:val="nil"/>
              <w:bottom w:val="single" w:sz="16" w:space="0" w:color="000000"/>
              <w:right w:val="single" w:sz="16" w:space="0" w:color="000000"/>
            </w:tcBorders>
            <w:shd w:val="clear" w:color="auto" w:fill="FFFFFF"/>
          </w:tcPr>
          <w:p w:rsidR="00137455" w:rsidRPr="00F10573" w:rsidRDefault="00137455" w:rsidP="002805FF">
            <w:pPr>
              <w:autoSpaceDE w:val="0"/>
              <w:autoSpaceDN w:val="0"/>
              <w:adjustRightInd w:val="0"/>
              <w:spacing w:after="0" w:line="320" w:lineRule="atLeast"/>
              <w:ind w:right="60"/>
              <w:rPr>
                <w:rFonts w:ascii="Times New Roman" w:hAnsi="Times New Roman"/>
                <w:lang w:eastAsia="pt-PT"/>
              </w:rPr>
            </w:pPr>
            <w:r w:rsidRPr="00F10573">
              <w:rPr>
                <w:rFonts w:ascii="Times New Roman" w:hAnsi="Times New Roman"/>
                <w:lang w:eastAsia="pt-PT"/>
              </w:rPr>
              <w:t xml:space="preserve">  Total</w:t>
            </w:r>
          </w:p>
        </w:tc>
        <w:tc>
          <w:tcPr>
            <w:tcW w:w="1154" w:type="dxa"/>
            <w:tcBorders>
              <w:top w:val="nil"/>
              <w:left w:val="single" w:sz="16" w:space="0" w:color="000000"/>
              <w:bottom w:val="single" w:sz="16" w:space="0" w:color="000000"/>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88</w:t>
            </w:r>
          </w:p>
        </w:tc>
        <w:tc>
          <w:tcPr>
            <w:tcW w:w="1186" w:type="dxa"/>
            <w:tcBorders>
              <w:top w:val="nil"/>
              <w:bottom w:val="single" w:sz="16" w:space="0" w:color="000000"/>
              <w:right w:val="single" w:sz="16" w:space="0" w:color="000000"/>
            </w:tcBorders>
            <w:shd w:val="clear" w:color="auto" w:fill="FFFFFF"/>
          </w:tcPr>
          <w:p w:rsidR="00137455" w:rsidRPr="00F10573" w:rsidRDefault="00137455" w:rsidP="00DE73B5">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100</w:t>
            </w:r>
          </w:p>
        </w:tc>
      </w:tr>
    </w:tbl>
    <w:p w:rsidR="00137455" w:rsidRDefault="00137455" w:rsidP="003101AD">
      <w:pPr>
        <w:autoSpaceDE w:val="0"/>
        <w:autoSpaceDN w:val="0"/>
        <w:adjustRightInd w:val="0"/>
        <w:spacing w:after="0" w:line="360" w:lineRule="auto"/>
        <w:ind w:left="709"/>
        <w:jc w:val="center"/>
        <w:rPr>
          <w:rFonts w:ascii="Times New Roman" w:hAnsi="Times New Roman"/>
          <w:lang w:val="en-GB" w:eastAsia="pt-PT"/>
        </w:rPr>
      </w:pPr>
    </w:p>
    <w:p w:rsidR="00137455" w:rsidRPr="00F10573" w:rsidRDefault="00137455" w:rsidP="003101AD">
      <w:pPr>
        <w:autoSpaceDE w:val="0"/>
        <w:autoSpaceDN w:val="0"/>
        <w:adjustRightInd w:val="0"/>
        <w:spacing w:after="0" w:line="360" w:lineRule="auto"/>
        <w:ind w:left="709"/>
        <w:jc w:val="center"/>
        <w:rPr>
          <w:rFonts w:ascii="Times New Roman" w:hAnsi="Times New Roman"/>
          <w:lang w:val="en-GB" w:eastAsia="pt-PT"/>
        </w:rPr>
      </w:pPr>
      <w:r w:rsidRPr="00F10573">
        <w:rPr>
          <w:rFonts w:ascii="Times New Roman" w:hAnsi="Times New Roman"/>
          <w:lang w:val="en-GB" w:eastAsia="pt-PT"/>
        </w:rPr>
        <w:t>Table 3 – Aggregation of the 50 initial categories in 11 subject groups</w:t>
      </w:r>
    </w:p>
    <w:p w:rsidR="00137455" w:rsidRPr="00F10573" w:rsidRDefault="00137455" w:rsidP="00603788">
      <w:pPr>
        <w:jc w:val="both"/>
        <w:rPr>
          <w:rFonts w:ascii="Times New Roman" w:hAnsi="Times New Roman"/>
          <w:lang w:val="en-GB"/>
        </w:rPr>
      </w:pPr>
      <w:r w:rsidRPr="00F10573">
        <w:rPr>
          <w:rFonts w:ascii="Times New Roman" w:hAnsi="Times New Roman"/>
          <w:lang w:val="en-GB"/>
        </w:rPr>
        <w:t xml:space="preserve">The majority of articles regarding engineering were discovered under the ‘Home News’ sections of each publication. As a result, this title was sub-divided under the headings ‘Employment’, ‘Manufacturing and Industry’, and ‘Social and Political’. Considering the recent interest in emigration and the state of the Irish economy, it is not surprising that employment-related articles are ranked as most frequent, after business and marketing. It is noteworthy, however, that recent developments in technology and renewable energy – as well as health and bio-medical diagnostic devices – account for a very small amount of the articles discovered when engineering was reviewed. </w:t>
      </w:r>
    </w:p>
    <w:p w:rsidR="00137455" w:rsidRPr="00603788" w:rsidRDefault="00137455" w:rsidP="00603788">
      <w:pPr>
        <w:jc w:val="both"/>
        <w:rPr>
          <w:rFonts w:ascii="Times New Roman" w:hAnsi="Times New Roman"/>
          <w:lang w:val="en-GB"/>
        </w:rPr>
      </w:pPr>
      <w:r>
        <w:rPr>
          <w:rFonts w:ascii="Times New Roman" w:hAnsi="Times New Roman"/>
          <w:lang w:val="en-GB"/>
        </w:rPr>
        <w:t>T</w:t>
      </w:r>
      <w:r w:rsidRPr="00F10573">
        <w:rPr>
          <w:rFonts w:ascii="Times New Roman" w:hAnsi="Times New Roman"/>
          <w:lang w:val="en-GB"/>
        </w:rPr>
        <w:t xml:space="preserve">he primary subject </w:t>
      </w:r>
      <w:r>
        <w:rPr>
          <w:rFonts w:ascii="Times New Roman" w:hAnsi="Times New Roman"/>
          <w:lang w:val="en-GB"/>
        </w:rPr>
        <w:t xml:space="preserve">matter in the articles reviewed, therefore, </w:t>
      </w:r>
      <w:r w:rsidRPr="00F10573">
        <w:rPr>
          <w:rFonts w:ascii="Times New Roman" w:hAnsi="Times New Roman"/>
          <w:lang w:val="en-GB"/>
        </w:rPr>
        <w:t xml:space="preserve">were business, market-rates and employment – </w:t>
      </w:r>
      <w:r w:rsidRPr="00603788">
        <w:rPr>
          <w:rFonts w:ascii="Times New Roman" w:hAnsi="Times New Roman"/>
          <w:lang w:val="en-GB"/>
        </w:rPr>
        <w:t xml:space="preserve">topics which tend to amass more attention when a negative view of the general fields is discussed, rather than a positive. Subjects that have not appeared as frequently throughout the month in question, (health-related engineering, bio-engineering etc) and scientific innovation tend to gain attention when the articles concern a more positive issue. </w:t>
      </w:r>
    </w:p>
    <w:p w:rsidR="00137455" w:rsidRPr="00603788" w:rsidRDefault="00137455" w:rsidP="00603788">
      <w:pPr>
        <w:jc w:val="both"/>
        <w:rPr>
          <w:rFonts w:ascii="Times New Roman" w:hAnsi="Times New Roman"/>
          <w:lang w:val="en-GB"/>
        </w:rPr>
      </w:pPr>
      <w:r w:rsidRPr="00F10573">
        <w:rPr>
          <w:rFonts w:ascii="Times New Roman" w:hAnsi="Times New Roman"/>
          <w:lang w:val="en-GB"/>
        </w:rPr>
        <w:t>While mentions of engineering in sectors regarding employment, manufacturing and business are primarily positive (as shown in Table 4), it is this tendency which can account for the inordinate amount of negative mentions of engineering through these sectors. As regards areas such as innovation, science and education – engineers are clearly portrayed in a primarily positive light by these media, but the articles do not occur with as much frequency.</w:t>
      </w: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318"/>
        <w:gridCol w:w="2426"/>
        <w:gridCol w:w="1105"/>
        <w:gridCol w:w="1010"/>
        <w:gridCol w:w="1009"/>
        <w:gridCol w:w="1018"/>
        <w:gridCol w:w="1010"/>
      </w:tblGrid>
      <w:tr w:rsidR="00137455" w:rsidRPr="0047204B" w:rsidTr="00603788">
        <w:trPr>
          <w:cantSplit/>
          <w:tblHeader/>
        </w:trPr>
        <w:tc>
          <w:tcPr>
            <w:tcW w:w="8896" w:type="dxa"/>
            <w:gridSpan w:val="7"/>
            <w:tcBorders>
              <w:top w:val="nil"/>
              <w:left w:val="nil"/>
              <w:bottom w:val="nil"/>
              <w:right w:val="nil"/>
            </w:tcBorders>
            <w:shd w:val="clear" w:color="auto" w:fill="FFFFFF"/>
            <w:vAlign w:val="center"/>
          </w:tcPr>
          <w:p w:rsidR="00137455" w:rsidRDefault="00137455" w:rsidP="00971273">
            <w:pPr>
              <w:autoSpaceDE w:val="0"/>
              <w:autoSpaceDN w:val="0"/>
              <w:adjustRightInd w:val="0"/>
              <w:spacing w:after="0" w:line="320" w:lineRule="atLeast"/>
              <w:ind w:left="60" w:right="60"/>
              <w:jc w:val="center"/>
              <w:rPr>
                <w:rFonts w:ascii="Times New Roman" w:hAnsi="Times New Roman"/>
                <w:b/>
                <w:bCs/>
                <w:lang w:val="en-GB" w:eastAsia="pt-PT"/>
              </w:rPr>
            </w:pPr>
            <w:r w:rsidRPr="000157DF">
              <w:rPr>
                <w:rFonts w:ascii="Times New Roman" w:hAnsi="Times New Roman"/>
                <w:b/>
                <w:bCs/>
                <w:lang w:val="en-GB" w:eastAsia="pt-PT"/>
              </w:rPr>
              <w:t>Cross-checking of news items valuation by the theme categories</w:t>
            </w:r>
          </w:p>
          <w:p w:rsidR="00137455" w:rsidRPr="000157DF" w:rsidRDefault="00137455" w:rsidP="00971273">
            <w:pPr>
              <w:autoSpaceDE w:val="0"/>
              <w:autoSpaceDN w:val="0"/>
              <w:adjustRightInd w:val="0"/>
              <w:spacing w:after="0" w:line="320" w:lineRule="atLeast"/>
              <w:ind w:left="60" w:right="60"/>
              <w:jc w:val="center"/>
              <w:rPr>
                <w:rFonts w:ascii="Times New Roman" w:hAnsi="Times New Roman"/>
                <w:b/>
                <w:lang w:val="en-GB" w:eastAsia="pt-PT"/>
              </w:rPr>
            </w:pPr>
          </w:p>
        </w:tc>
      </w:tr>
      <w:tr w:rsidR="00137455" w:rsidRPr="0047204B" w:rsidTr="00603788">
        <w:trPr>
          <w:cantSplit/>
          <w:tblHeader/>
        </w:trPr>
        <w:tc>
          <w:tcPr>
            <w:tcW w:w="4849" w:type="dxa"/>
            <w:gridSpan w:val="3"/>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137455" w:rsidRPr="00F10573" w:rsidRDefault="00137455" w:rsidP="00971273">
            <w:pPr>
              <w:autoSpaceDE w:val="0"/>
              <w:autoSpaceDN w:val="0"/>
              <w:adjustRightInd w:val="0"/>
              <w:spacing w:after="0" w:line="240" w:lineRule="auto"/>
              <w:jc w:val="center"/>
              <w:rPr>
                <w:rFonts w:ascii="Times New Roman" w:hAnsi="Times New Roman"/>
                <w:lang w:val="en-GB" w:eastAsia="pt-PT"/>
              </w:rPr>
            </w:pPr>
            <w:r w:rsidRPr="00F10573">
              <w:rPr>
                <w:rFonts w:ascii="Times New Roman" w:hAnsi="Times New Roman"/>
                <w:lang w:eastAsia="pt-PT"/>
              </w:rPr>
              <w:t>Theme Code</w:t>
            </w:r>
          </w:p>
        </w:tc>
        <w:tc>
          <w:tcPr>
            <w:tcW w:w="3037" w:type="dxa"/>
            <w:gridSpan w:val="3"/>
            <w:tcBorders>
              <w:top w:val="single" w:sz="16" w:space="0" w:color="000000"/>
              <w:left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VALUATION</w:t>
            </w:r>
          </w:p>
        </w:tc>
        <w:tc>
          <w:tcPr>
            <w:tcW w:w="1010" w:type="dxa"/>
            <w:vMerge w:val="restart"/>
            <w:tcBorders>
              <w:top w:val="single" w:sz="16" w:space="0" w:color="000000"/>
              <w:bottom w:val="single" w:sz="16" w:space="0" w:color="000000"/>
              <w:right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Total</w:t>
            </w:r>
          </w:p>
        </w:tc>
      </w:tr>
      <w:tr w:rsidR="00137455" w:rsidRPr="0047204B" w:rsidTr="00603788">
        <w:trPr>
          <w:cantSplit/>
          <w:tblHeader/>
        </w:trPr>
        <w:tc>
          <w:tcPr>
            <w:tcW w:w="4849" w:type="dxa"/>
            <w:gridSpan w:val="3"/>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010" w:type="dxa"/>
            <w:tcBorders>
              <w:left w:val="single" w:sz="16" w:space="0" w:color="000000"/>
              <w:bottom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Positive</w:t>
            </w:r>
          </w:p>
        </w:tc>
        <w:tc>
          <w:tcPr>
            <w:tcW w:w="1009" w:type="dxa"/>
            <w:tcBorders>
              <w:bottom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Neutral</w:t>
            </w:r>
          </w:p>
        </w:tc>
        <w:tc>
          <w:tcPr>
            <w:tcW w:w="1018" w:type="dxa"/>
            <w:tcBorders>
              <w:bottom w:val="single" w:sz="16" w:space="0" w:color="000000"/>
            </w:tcBorders>
            <w:shd w:val="clear" w:color="auto" w:fill="FFFFFF"/>
            <w:vAlign w:val="bottom"/>
          </w:tcPr>
          <w:p w:rsidR="00137455" w:rsidRPr="00F10573" w:rsidRDefault="00137455" w:rsidP="00971273">
            <w:pPr>
              <w:autoSpaceDE w:val="0"/>
              <w:autoSpaceDN w:val="0"/>
              <w:adjustRightInd w:val="0"/>
              <w:spacing w:after="0" w:line="320" w:lineRule="atLeast"/>
              <w:ind w:left="60" w:right="60"/>
              <w:jc w:val="center"/>
              <w:rPr>
                <w:rFonts w:ascii="Times New Roman" w:hAnsi="Times New Roman"/>
                <w:lang w:eastAsia="pt-PT"/>
              </w:rPr>
            </w:pPr>
            <w:r w:rsidRPr="00F10573">
              <w:rPr>
                <w:rFonts w:ascii="Times New Roman" w:hAnsi="Times New Roman"/>
                <w:lang w:eastAsia="pt-PT"/>
              </w:rPr>
              <w:t>Negative</w:t>
            </w:r>
          </w:p>
        </w:tc>
        <w:tc>
          <w:tcPr>
            <w:tcW w:w="1010" w:type="dxa"/>
            <w:vMerge/>
            <w:tcBorders>
              <w:top w:val="single" w:sz="16" w:space="0" w:color="000000"/>
              <w:bottom w:val="single" w:sz="16" w:space="0" w:color="000000"/>
              <w:right w:val="single" w:sz="16" w:space="0" w:color="000000"/>
            </w:tcBorders>
            <w:shd w:val="clear" w:color="auto" w:fill="FFFFFF"/>
            <w:vAlign w:val="bottom"/>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r>
      <w:tr w:rsidR="00137455" w:rsidRPr="0047204B" w:rsidTr="00603788">
        <w:trPr>
          <w:cantSplit/>
          <w:tblHeader/>
        </w:trPr>
        <w:tc>
          <w:tcPr>
            <w:tcW w:w="1318" w:type="dxa"/>
            <w:vMerge w:val="restart"/>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p>
        </w:tc>
        <w:tc>
          <w:tcPr>
            <w:tcW w:w="2426" w:type="dxa"/>
            <w:vMerge w:val="restart"/>
            <w:tcBorders>
              <w:top w:val="single" w:sz="16" w:space="0" w:color="000000"/>
              <w:left w:val="nil"/>
              <w:right w:val="nil"/>
            </w:tcBorders>
            <w:shd w:val="clear" w:color="auto" w:fill="FFFFFF"/>
          </w:tcPr>
          <w:p w:rsidR="00137455" w:rsidRPr="00F10573" w:rsidRDefault="00137455" w:rsidP="005A2672">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Employment</w:t>
            </w:r>
          </w:p>
        </w:tc>
        <w:tc>
          <w:tcPr>
            <w:tcW w:w="1105" w:type="dxa"/>
            <w:tcBorders>
              <w:top w:val="single" w:sz="16" w:space="0" w:color="000000"/>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top w:val="single" w:sz="16" w:space="0" w:color="000000"/>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9</w:t>
            </w:r>
          </w:p>
        </w:tc>
        <w:tc>
          <w:tcPr>
            <w:tcW w:w="1009" w:type="dxa"/>
            <w:tcBorders>
              <w:top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2</w:t>
            </w:r>
          </w:p>
        </w:tc>
        <w:tc>
          <w:tcPr>
            <w:tcW w:w="1018" w:type="dxa"/>
            <w:tcBorders>
              <w:top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5</w:t>
            </w:r>
          </w:p>
        </w:tc>
        <w:tc>
          <w:tcPr>
            <w:tcW w:w="1010" w:type="dxa"/>
            <w:tcBorders>
              <w:top w:val="single" w:sz="16" w:space="0" w:color="000000"/>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16</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top w:val="single" w:sz="16" w:space="0" w:color="000000"/>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18.2%</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Manufacturing/Industry</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5</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6</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12</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13.6%</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5A2672">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Social/Political</w:t>
            </w:r>
          </w:p>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5</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0</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1</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6</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val="en-GB"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val="en-GB"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6.8%</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val="en-GB" w:eastAsia="pt-PT"/>
              </w:rPr>
            </w:pPr>
          </w:p>
        </w:tc>
        <w:tc>
          <w:tcPr>
            <w:tcW w:w="2426" w:type="dxa"/>
            <w:vMerge w:val="restart"/>
            <w:tcBorders>
              <w:left w:val="nil"/>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Business/Markets</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13</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2</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7</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r w:rsidRPr="00F10573">
              <w:rPr>
                <w:rFonts w:ascii="Times New Roman" w:hAnsi="Times New Roman"/>
                <w:lang w:val="en-GB" w:eastAsia="pt-PT"/>
              </w:rPr>
              <w:t>22</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val="en-GB"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val="en-GB"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val="en-GB" w:eastAsia="pt-PT"/>
              </w:rPr>
            </w:pPr>
            <w:r w:rsidRPr="00F10573">
              <w:rPr>
                <w:rFonts w:ascii="Times New Roman" w:hAnsi="Times New Roman"/>
                <w:lang w:val="en-GB"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val="en-GB"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25%</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615F58">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World News</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4</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3</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4</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11</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12.5%</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Education/Bang.com</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5</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3</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9</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10.2%</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Tech/Innovation/Sci</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7</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0</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8</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9.1%</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val="restart"/>
            <w:tcBorders>
              <w:left w:val="nil"/>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Arts/Health</w:t>
            </w:r>
          </w:p>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3</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0</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4</w:t>
            </w:r>
          </w:p>
        </w:tc>
      </w:tr>
      <w:tr w:rsidR="00137455" w:rsidRPr="0047204B" w:rsidTr="00603788">
        <w:trPr>
          <w:cantSplit/>
          <w:tblHeader/>
        </w:trPr>
        <w:tc>
          <w:tcPr>
            <w:tcW w:w="1318" w:type="dxa"/>
            <w:vMerge/>
            <w:tcBorders>
              <w:top w:val="single" w:sz="16" w:space="0" w:color="000000"/>
              <w:left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2426" w:type="dxa"/>
            <w:vMerge/>
            <w:tcBorders>
              <w:left w:val="nil"/>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09"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8" w:type="dxa"/>
            <w:tcBorders>
              <w:top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p>
        </w:tc>
        <w:tc>
          <w:tcPr>
            <w:tcW w:w="1010" w:type="dxa"/>
            <w:tcBorders>
              <w:top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4.5%</w:t>
            </w:r>
          </w:p>
        </w:tc>
      </w:tr>
      <w:tr w:rsidR="00137455" w:rsidRPr="0047204B" w:rsidTr="00603788">
        <w:trPr>
          <w:cantSplit/>
          <w:tblHeader/>
        </w:trPr>
        <w:tc>
          <w:tcPr>
            <w:tcW w:w="3744" w:type="dxa"/>
            <w:gridSpan w:val="2"/>
            <w:vMerge w:val="restart"/>
            <w:tcBorders>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Total</w:t>
            </w:r>
          </w:p>
        </w:tc>
        <w:tc>
          <w:tcPr>
            <w:tcW w:w="1105" w:type="dxa"/>
            <w:tcBorders>
              <w:left w:val="nil"/>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Count</w:t>
            </w:r>
          </w:p>
        </w:tc>
        <w:tc>
          <w:tcPr>
            <w:tcW w:w="1010" w:type="dxa"/>
            <w:tcBorders>
              <w:left w:val="single" w:sz="16" w:space="0" w:color="000000"/>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51</w:t>
            </w:r>
          </w:p>
        </w:tc>
        <w:tc>
          <w:tcPr>
            <w:tcW w:w="1009"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11</w:t>
            </w:r>
          </w:p>
        </w:tc>
        <w:tc>
          <w:tcPr>
            <w:tcW w:w="1018" w:type="dxa"/>
            <w:tcBorders>
              <w:bottom w:val="nil"/>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26</w:t>
            </w:r>
          </w:p>
        </w:tc>
        <w:tc>
          <w:tcPr>
            <w:tcW w:w="1010" w:type="dxa"/>
            <w:tcBorders>
              <w:bottom w:val="nil"/>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88</w:t>
            </w:r>
          </w:p>
        </w:tc>
      </w:tr>
      <w:tr w:rsidR="00137455" w:rsidRPr="0047204B" w:rsidTr="00603788">
        <w:trPr>
          <w:cantSplit/>
        </w:trPr>
        <w:tc>
          <w:tcPr>
            <w:tcW w:w="3744" w:type="dxa"/>
            <w:gridSpan w:val="2"/>
            <w:vMerge/>
            <w:tcBorders>
              <w:left w:val="single" w:sz="16" w:space="0" w:color="000000"/>
              <w:bottom w:val="single" w:sz="16" w:space="0" w:color="000000"/>
              <w:right w:val="nil"/>
            </w:tcBorders>
            <w:shd w:val="clear" w:color="auto" w:fill="FFFFFF"/>
          </w:tcPr>
          <w:p w:rsidR="00137455" w:rsidRPr="00F10573" w:rsidRDefault="00137455" w:rsidP="00971273">
            <w:pPr>
              <w:autoSpaceDE w:val="0"/>
              <w:autoSpaceDN w:val="0"/>
              <w:adjustRightInd w:val="0"/>
              <w:spacing w:after="0" w:line="240" w:lineRule="auto"/>
              <w:rPr>
                <w:rFonts w:ascii="Times New Roman" w:hAnsi="Times New Roman"/>
                <w:lang w:eastAsia="pt-PT"/>
              </w:rPr>
            </w:pPr>
          </w:p>
        </w:tc>
        <w:tc>
          <w:tcPr>
            <w:tcW w:w="1105" w:type="dxa"/>
            <w:tcBorders>
              <w:top w:val="nil"/>
              <w:left w:val="nil"/>
              <w:bottom w:val="single" w:sz="16" w:space="0" w:color="000000"/>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rPr>
                <w:rFonts w:ascii="Times New Roman" w:hAnsi="Times New Roman"/>
                <w:lang w:eastAsia="pt-PT"/>
              </w:rPr>
            </w:pPr>
            <w:r w:rsidRPr="00F10573">
              <w:rPr>
                <w:rFonts w:ascii="Times New Roman" w:hAnsi="Times New Roman"/>
                <w:lang w:eastAsia="pt-PT"/>
              </w:rPr>
              <w:t>% of Total</w:t>
            </w:r>
          </w:p>
        </w:tc>
        <w:tc>
          <w:tcPr>
            <w:tcW w:w="1010" w:type="dxa"/>
            <w:tcBorders>
              <w:top w:val="nil"/>
              <w:left w:val="single" w:sz="16" w:space="0" w:color="000000"/>
              <w:bottom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58%</w:t>
            </w:r>
          </w:p>
        </w:tc>
        <w:tc>
          <w:tcPr>
            <w:tcW w:w="1009" w:type="dxa"/>
            <w:tcBorders>
              <w:top w:val="nil"/>
              <w:bottom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11.4%</w:t>
            </w:r>
          </w:p>
        </w:tc>
        <w:tc>
          <w:tcPr>
            <w:tcW w:w="1018" w:type="dxa"/>
            <w:tcBorders>
              <w:top w:val="nil"/>
              <w:bottom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30.7%</w:t>
            </w:r>
          </w:p>
        </w:tc>
        <w:tc>
          <w:tcPr>
            <w:tcW w:w="1010" w:type="dxa"/>
            <w:tcBorders>
              <w:top w:val="nil"/>
              <w:bottom w:val="single" w:sz="16" w:space="0" w:color="000000"/>
              <w:right w:val="single" w:sz="16" w:space="0" w:color="000000"/>
            </w:tcBorders>
            <w:shd w:val="clear" w:color="auto" w:fill="FFFFFF"/>
          </w:tcPr>
          <w:p w:rsidR="00137455" w:rsidRPr="00F10573" w:rsidRDefault="00137455" w:rsidP="00971273">
            <w:pPr>
              <w:autoSpaceDE w:val="0"/>
              <w:autoSpaceDN w:val="0"/>
              <w:adjustRightInd w:val="0"/>
              <w:spacing w:after="0" w:line="320" w:lineRule="atLeast"/>
              <w:ind w:left="60" w:right="60"/>
              <w:jc w:val="right"/>
              <w:rPr>
                <w:rFonts w:ascii="Times New Roman" w:hAnsi="Times New Roman"/>
                <w:lang w:eastAsia="pt-PT"/>
              </w:rPr>
            </w:pPr>
            <w:r w:rsidRPr="00F10573">
              <w:rPr>
                <w:rFonts w:ascii="Times New Roman" w:hAnsi="Times New Roman"/>
                <w:lang w:eastAsia="pt-PT"/>
              </w:rPr>
              <w:t>100%</w:t>
            </w:r>
          </w:p>
        </w:tc>
      </w:tr>
    </w:tbl>
    <w:p w:rsidR="00137455" w:rsidRPr="00F10573" w:rsidRDefault="00137455" w:rsidP="003101AD">
      <w:pPr>
        <w:autoSpaceDE w:val="0"/>
        <w:autoSpaceDN w:val="0"/>
        <w:adjustRightInd w:val="0"/>
        <w:spacing w:after="0" w:line="400" w:lineRule="atLeast"/>
        <w:jc w:val="center"/>
        <w:rPr>
          <w:rFonts w:ascii="Times New Roman" w:hAnsi="Times New Roman"/>
          <w:lang w:val="en-GB" w:eastAsia="pt-PT"/>
        </w:rPr>
      </w:pPr>
      <w:r w:rsidRPr="00F10573">
        <w:rPr>
          <w:rFonts w:ascii="Times New Roman" w:hAnsi="Times New Roman"/>
          <w:lang w:val="en-GB" w:eastAsia="pt-PT"/>
        </w:rPr>
        <w:t>Table 4 -  Articulation of news items valuation with each theme area</w:t>
      </w:r>
    </w:p>
    <w:p w:rsidR="00137455" w:rsidRPr="00F10573" w:rsidRDefault="00137455" w:rsidP="0078313B">
      <w:pPr>
        <w:spacing w:line="360" w:lineRule="auto"/>
        <w:jc w:val="both"/>
        <w:rPr>
          <w:rFonts w:ascii="Times New Roman" w:hAnsi="Times New Roman"/>
          <w:lang w:val="en-GB"/>
        </w:rPr>
      </w:pPr>
    </w:p>
    <w:p w:rsidR="00137455" w:rsidRDefault="00137455" w:rsidP="00F10573">
      <w:pPr>
        <w:spacing w:line="360" w:lineRule="auto"/>
        <w:jc w:val="both"/>
        <w:rPr>
          <w:rFonts w:ascii="Times New Roman" w:hAnsi="Times New Roman"/>
          <w:lang w:val="en-GB"/>
        </w:rPr>
      </w:pPr>
      <w:r w:rsidRPr="00F10573">
        <w:rPr>
          <w:rFonts w:ascii="Times New Roman" w:hAnsi="Times New Roman"/>
          <w:lang w:val="en-GB"/>
        </w:rPr>
        <w:t xml:space="preserve">Overall, from these results it can be concluded that engineers are represented in a generally positive light by the primary media in </w:t>
      </w:r>
      <w:smartTag w:uri="urn:schemas-microsoft-com:office:smarttags" w:element="country-region">
        <w:r w:rsidRPr="00F10573">
          <w:rPr>
            <w:rFonts w:ascii="Times New Roman" w:hAnsi="Times New Roman"/>
            <w:lang w:val="en-GB"/>
          </w:rPr>
          <w:t>Ireland</w:t>
        </w:r>
      </w:smartTag>
      <w:r w:rsidRPr="00F10573">
        <w:rPr>
          <w:rFonts w:ascii="Times New Roman" w:hAnsi="Times New Roman"/>
          <w:lang w:val="en-GB"/>
        </w:rPr>
        <w:t xml:space="preserve">, </w:t>
      </w:r>
      <w:r>
        <w:rPr>
          <w:rFonts w:ascii="Times New Roman" w:hAnsi="Times New Roman"/>
          <w:lang w:val="en-GB"/>
        </w:rPr>
        <w:t xml:space="preserve">with </w:t>
      </w:r>
      <w:r w:rsidRPr="00F10573">
        <w:rPr>
          <w:rFonts w:ascii="Times New Roman" w:hAnsi="Times New Roman"/>
          <w:lang w:val="en-GB"/>
        </w:rPr>
        <w:t xml:space="preserve">58% of the articles reviewed considered as positive. </w:t>
      </w:r>
      <w:r>
        <w:rPr>
          <w:rFonts w:ascii="Times New Roman" w:hAnsi="Times New Roman"/>
          <w:lang w:val="en-GB"/>
        </w:rPr>
        <w:t>Several aspects of the review are also noteworthy:</w:t>
      </w:r>
    </w:p>
    <w:p w:rsidR="00137455" w:rsidRPr="000157DF" w:rsidRDefault="00137455" w:rsidP="000157DF">
      <w:pPr>
        <w:pStyle w:val="ListParagraph"/>
        <w:numPr>
          <w:ilvl w:val="0"/>
          <w:numId w:val="3"/>
        </w:numPr>
        <w:spacing w:line="360" w:lineRule="auto"/>
        <w:jc w:val="both"/>
        <w:rPr>
          <w:rFonts w:ascii="Times New Roman" w:hAnsi="Times New Roman"/>
          <w:lang w:val="en-GB"/>
        </w:rPr>
      </w:pPr>
      <w:r w:rsidRPr="000157DF">
        <w:rPr>
          <w:rFonts w:ascii="Times New Roman" w:hAnsi="Times New Roman"/>
          <w:lang w:val="en-GB"/>
        </w:rPr>
        <w:t xml:space="preserve">For the purposes of this media analysis, articles regarding major </w:t>
      </w:r>
      <w:r>
        <w:rPr>
          <w:rFonts w:ascii="Times New Roman" w:hAnsi="Times New Roman"/>
          <w:lang w:val="en-GB"/>
        </w:rPr>
        <w:t xml:space="preserve">accidents or engineering-based </w:t>
      </w:r>
      <w:r w:rsidRPr="000157DF">
        <w:rPr>
          <w:rFonts w:ascii="Times New Roman" w:hAnsi="Times New Roman"/>
          <w:lang w:val="en-GB"/>
        </w:rPr>
        <w:t>faults are considered as portraying the engineering field as ‘negative’. For example; hip replacement recalls by the DePuy corporation due to faulty components.</w:t>
      </w:r>
    </w:p>
    <w:p w:rsidR="00137455" w:rsidRPr="00F10573" w:rsidRDefault="00137455" w:rsidP="00B0486A">
      <w:pPr>
        <w:pStyle w:val="ListParagraph"/>
        <w:spacing w:line="360" w:lineRule="auto"/>
        <w:jc w:val="both"/>
        <w:rPr>
          <w:rFonts w:ascii="Times New Roman" w:hAnsi="Times New Roman"/>
        </w:rPr>
      </w:pPr>
    </w:p>
    <w:p w:rsidR="00137455" w:rsidRDefault="00137455" w:rsidP="00B0486A">
      <w:pPr>
        <w:pStyle w:val="ListParagraph"/>
        <w:numPr>
          <w:ilvl w:val="0"/>
          <w:numId w:val="3"/>
        </w:numPr>
        <w:spacing w:line="360" w:lineRule="auto"/>
        <w:jc w:val="both"/>
        <w:rPr>
          <w:rFonts w:ascii="Times New Roman" w:hAnsi="Times New Roman"/>
        </w:rPr>
      </w:pPr>
      <w:r>
        <w:rPr>
          <w:rFonts w:ascii="Times New Roman" w:hAnsi="Times New Roman"/>
        </w:rPr>
        <w:t>There are also two articles of interest due to strong statements made concerning the engineering field;</w:t>
      </w:r>
    </w:p>
    <w:p w:rsidR="00137455" w:rsidRDefault="00137455" w:rsidP="00B0486A">
      <w:pPr>
        <w:pStyle w:val="ListParagraph"/>
        <w:spacing w:line="360" w:lineRule="auto"/>
        <w:jc w:val="both"/>
        <w:rPr>
          <w:rFonts w:ascii="Times New Roman" w:hAnsi="Times New Roman"/>
        </w:rPr>
      </w:pPr>
    </w:p>
    <w:p w:rsidR="00137455" w:rsidRDefault="00137455" w:rsidP="00B0486A">
      <w:pPr>
        <w:pStyle w:val="ListParagraph"/>
        <w:spacing w:line="360" w:lineRule="auto"/>
        <w:jc w:val="both"/>
        <w:rPr>
          <w:rFonts w:ascii="Times New Roman" w:hAnsi="Times New Roman"/>
          <w:i/>
        </w:rPr>
      </w:pPr>
      <w:r w:rsidRPr="00B0486A">
        <w:rPr>
          <w:rFonts w:ascii="Times New Roman" w:hAnsi="Times New Roman"/>
          <w:i/>
        </w:rPr>
        <w:t>"A good example would be Mark Flanagan, who is doing engineering. Some courses are more demanding than others and engineering would be one of the most demanding.”</w:t>
      </w:r>
    </w:p>
    <w:p w:rsidR="00137455" w:rsidRDefault="00137455" w:rsidP="00B0486A">
      <w:pPr>
        <w:pStyle w:val="ListParagraph"/>
        <w:spacing w:line="360" w:lineRule="auto"/>
        <w:jc w:val="both"/>
        <w:rPr>
          <w:rFonts w:ascii="Times New Roman" w:hAnsi="Times New Roman"/>
        </w:rPr>
      </w:pPr>
    </w:p>
    <w:p w:rsidR="00137455" w:rsidRDefault="00137455" w:rsidP="00B0486A">
      <w:pPr>
        <w:pStyle w:val="ListParagraph"/>
        <w:spacing w:line="360" w:lineRule="auto"/>
        <w:jc w:val="both"/>
        <w:rPr>
          <w:rFonts w:ascii="Times New Roman" w:hAnsi="Times New Roman"/>
        </w:rPr>
      </w:pPr>
      <w:r>
        <w:rPr>
          <w:rFonts w:ascii="Times New Roman" w:hAnsi="Times New Roman"/>
        </w:rPr>
        <w:t>This quote is taken from an article “The School of Hard Knocks” in the Irish Times, under the topic of sports. The article concerns the subject of semi-professional rugby players returning to college studies before continuing with their sporting career, and clearly portrays the study of engineering as especially challenging.</w:t>
      </w:r>
    </w:p>
    <w:p w:rsidR="00137455" w:rsidRPr="00B0486A" w:rsidRDefault="00137455" w:rsidP="00B0486A">
      <w:pPr>
        <w:pStyle w:val="ListParagraph"/>
        <w:spacing w:line="360" w:lineRule="auto"/>
        <w:jc w:val="both"/>
        <w:rPr>
          <w:rFonts w:ascii="Times New Roman" w:hAnsi="Times New Roman"/>
        </w:rPr>
      </w:pPr>
    </w:p>
    <w:p w:rsidR="00137455" w:rsidRDefault="00137455" w:rsidP="00B0486A">
      <w:pPr>
        <w:pStyle w:val="ListParagraph"/>
        <w:spacing w:line="360" w:lineRule="auto"/>
        <w:jc w:val="both"/>
        <w:rPr>
          <w:rFonts w:ascii="Times New Roman" w:hAnsi="Times New Roman"/>
          <w:i/>
        </w:rPr>
      </w:pPr>
      <w:r w:rsidRPr="00B0486A">
        <w:rPr>
          <w:rFonts w:ascii="Times New Roman" w:hAnsi="Times New Roman"/>
          <w:i/>
        </w:rPr>
        <w:t xml:space="preserve">"Page, who has the engineer's dislike of public speaking and social engagements, will now be thrown into the spotlight at Google." </w:t>
      </w:r>
    </w:p>
    <w:p w:rsidR="00137455" w:rsidRDefault="00137455" w:rsidP="00B0486A">
      <w:pPr>
        <w:pStyle w:val="ListParagraph"/>
        <w:spacing w:line="360" w:lineRule="auto"/>
        <w:jc w:val="both"/>
        <w:rPr>
          <w:rFonts w:ascii="Times New Roman" w:hAnsi="Times New Roman"/>
        </w:rPr>
      </w:pPr>
    </w:p>
    <w:p w:rsidR="00137455" w:rsidRPr="00B0486A" w:rsidRDefault="00137455" w:rsidP="00B0486A">
      <w:pPr>
        <w:pStyle w:val="ListParagraph"/>
        <w:spacing w:line="360" w:lineRule="auto"/>
        <w:jc w:val="both"/>
        <w:rPr>
          <w:rFonts w:ascii="Times New Roman" w:hAnsi="Times New Roman"/>
        </w:rPr>
      </w:pPr>
      <w:r>
        <w:rPr>
          <w:rFonts w:ascii="Times New Roman" w:hAnsi="Times New Roman"/>
        </w:rPr>
        <w:t xml:space="preserve">This quote is also taken from the Irish Times, this instance from the Business section of the publication. The article is “Page thrown into the spotlight at Google”, and concerns the new position of Larry Page in the company. This article is also not concerning engineering, yet delivers a very strong image of an engineer as an introverted, social misfit – a portrayal definitely not accurate or desirable for the field. </w:t>
      </w:r>
    </w:p>
    <w:sectPr w:rsidR="00137455" w:rsidRPr="00B0486A" w:rsidSect="00067B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73728"/>
    <w:multiLevelType w:val="hybridMultilevel"/>
    <w:tmpl w:val="7BACF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7307C5D"/>
    <w:multiLevelType w:val="hybridMultilevel"/>
    <w:tmpl w:val="9FEE1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3C63651E"/>
    <w:multiLevelType w:val="hybridMultilevel"/>
    <w:tmpl w:val="4CC6D968"/>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FC3"/>
    <w:rsid w:val="000157DF"/>
    <w:rsid w:val="00067B5D"/>
    <w:rsid w:val="000D323F"/>
    <w:rsid w:val="00137455"/>
    <w:rsid w:val="00165515"/>
    <w:rsid w:val="00176CEF"/>
    <w:rsid w:val="0024778A"/>
    <w:rsid w:val="002805FF"/>
    <w:rsid w:val="002C0486"/>
    <w:rsid w:val="002F2F32"/>
    <w:rsid w:val="003101AD"/>
    <w:rsid w:val="00332AC3"/>
    <w:rsid w:val="0033347D"/>
    <w:rsid w:val="00365408"/>
    <w:rsid w:val="003713B7"/>
    <w:rsid w:val="00393B63"/>
    <w:rsid w:val="003C370F"/>
    <w:rsid w:val="0041397F"/>
    <w:rsid w:val="00436C30"/>
    <w:rsid w:val="0047204B"/>
    <w:rsid w:val="00492FEE"/>
    <w:rsid w:val="004C4A3A"/>
    <w:rsid w:val="0054235F"/>
    <w:rsid w:val="005A2672"/>
    <w:rsid w:val="005A3876"/>
    <w:rsid w:val="005E333E"/>
    <w:rsid w:val="00603788"/>
    <w:rsid w:val="00615F58"/>
    <w:rsid w:val="0068132F"/>
    <w:rsid w:val="006A1602"/>
    <w:rsid w:val="00710315"/>
    <w:rsid w:val="00732130"/>
    <w:rsid w:val="00782B28"/>
    <w:rsid w:val="0078313B"/>
    <w:rsid w:val="007A7FC3"/>
    <w:rsid w:val="00891B99"/>
    <w:rsid w:val="008B6D33"/>
    <w:rsid w:val="008B6D4F"/>
    <w:rsid w:val="009343DF"/>
    <w:rsid w:val="00971273"/>
    <w:rsid w:val="00995195"/>
    <w:rsid w:val="00A44B93"/>
    <w:rsid w:val="00B0267D"/>
    <w:rsid w:val="00B0486A"/>
    <w:rsid w:val="00B16D92"/>
    <w:rsid w:val="00B861A6"/>
    <w:rsid w:val="00BA51F6"/>
    <w:rsid w:val="00BC3CEA"/>
    <w:rsid w:val="00BD6CD1"/>
    <w:rsid w:val="00C0782B"/>
    <w:rsid w:val="00C50AA4"/>
    <w:rsid w:val="00C725D9"/>
    <w:rsid w:val="00CB20F4"/>
    <w:rsid w:val="00CD5739"/>
    <w:rsid w:val="00D02518"/>
    <w:rsid w:val="00D1398F"/>
    <w:rsid w:val="00D41681"/>
    <w:rsid w:val="00D6333D"/>
    <w:rsid w:val="00D967C0"/>
    <w:rsid w:val="00DE1553"/>
    <w:rsid w:val="00DE73B5"/>
    <w:rsid w:val="00E36DEF"/>
    <w:rsid w:val="00E965B1"/>
    <w:rsid w:val="00EB4597"/>
    <w:rsid w:val="00EC1959"/>
    <w:rsid w:val="00EE45E5"/>
    <w:rsid w:val="00F10573"/>
    <w:rsid w:val="00F31EC6"/>
    <w:rsid w:val="00F85D47"/>
    <w:rsid w:val="00FE3AD8"/>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5D"/>
    <w:pPr>
      <w:spacing w:after="200" w:line="276" w:lineRule="auto"/>
    </w:pPr>
    <w:rPr>
      <w:lang w:eastAsia="en-US"/>
    </w:rPr>
  </w:style>
  <w:style w:type="paragraph" w:styleId="Heading3">
    <w:name w:val="heading 3"/>
    <w:basedOn w:val="Normal"/>
    <w:link w:val="Heading3Char"/>
    <w:uiPriority w:val="99"/>
    <w:qFormat/>
    <w:rsid w:val="00D02518"/>
    <w:pPr>
      <w:spacing w:before="100" w:beforeAutospacing="1" w:after="100" w:afterAutospacing="1" w:line="240" w:lineRule="auto"/>
      <w:outlineLvl w:val="2"/>
    </w:pPr>
    <w:rPr>
      <w:rFonts w:ascii="Times New Roman" w:eastAsia="Times New Roman" w:hAnsi="Times New Roman"/>
      <w:b/>
      <w:bCs/>
      <w:sz w:val="27"/>
      <w:szCs w:val="27"/>
      <w:lang w:eastAsia="en-I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D02518"/>
    <w:rPr>
      <w:rFonts w:ascii="Times New Roman" w:hAnsi="Times New Roman" w:cs="Times New Roman"/>
      <w:b/>
      <w:bCs/>
      <w:sz w:val="27"/>
      <w:szCs w:val="27"/>
      <w:lang w:eastAsia="en-IE"/>
    </w:rPr>
  </w:style>
  <w:style w:type="paragraph" w:styleId="ListParagraph">
    <w:name w:val="List Paragraph"/>
    <w:basedOn w:val="Normal"/>
    <w:uiPriority w:val="99"/>
    <w:qFormat/>
    <w:rsid w:val="007A7FC3"/>
    <w:pPr>
      <w:ind w:left="720"/>
      <w:contextualSpacing/>
    </w:pPr>
  </w:style>
  <w:style w:type="character" w:styleId="Hyperlink">
    <w:name w:val="Hyperlink"/>
    <w:basedOn w:val="DefaultParagraphFont"/>
    <w:uiPriority w:val="99"/>
    <w:semiHidden/>
    <w:rsid w:val="00D02518"/>
    <w:rPr>
      <w:rFonts w:cs="Times New Roman"/>
      <w:color w:val="0000FF"/>
      <w:u w:val="single"/>
    </w:rPr>
  </w:style>
  <w:style w:type="character" w:styleId="Emphasis">
    <w:name w:val="Emphasis"/>
    <w:basedOn w:val="DefaultParagraphFont"/>
    <w:uiPriority w:val="99"/>
    <w:qFormat/>
    <w:rsid w:val="00D02518"/>
    <w:rPr>
      <w:rFonts w:cs="Times New Roman"/>
      <w:i/>
      <w:iCs/>
    </w:rPr>
  </w:style>
</w:styles>
</file>

<file path=word/webSettings.xml><?xml version="1.0" encoding="utf-8"?>
<w:webSettings xmlns:r="http://schemas.openxmlformats.org/officeDocument/2006/relationships" xmlns:w="http://schemas.openxmlformats.org/wordprocessingml/2006/main">
  <w:divs>
    <w:div w:id="4760753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aidi%C3%B3_Teilif%C3%ADs_%C3%89irea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5</Pages>
  <Words>1338</Words>
  <Characters>7630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Analysis Report </dc:title>
  <dc:subject/>
  <dc:creator>Administrator</dc:creator>
  <cp:keywords/>
  <dc:description/>
  <cp:lastModifiedBy>DesignLab-1</cp:lastModifiedBy>
  <cp:revision>2</cp:revision>
  <dcterms:created xsi:type="dcterms:W3CDTF">2011-02-16T09:03:00Z</dcterms:created>
  <dcterms:modified xsi:type="dcterms:W3CDTF">2011-02-16T09:03:00Z</dcterms:modified>
</cp:coreProperties>
</file>