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56"/>
          <w:szCs w:val="56"/>
        </w:rPr>
        <w:t xml:space="preserve">QA Test Report</w:t>
      </w:r>
    </w:p>
    <w:p>
      <w:pPr>
        <w:spacing w:after="60"/>
      </w:pPr>
      <w:r>
        <w:rPr>
          <w:color w:val="374151"/>
          <w:sz w:val="32"/>
          <w:szCs w:val="32"/>
        </w:rPr>
        <w:t xml:space="preserve">Euro GMP — Company Website</w:t>
      </w:r>
    </w:p>
    <w:p>
      <w:pPr>
        <w:spacing w:after="400"/>
      </w:pPr>
      <w:r>
        <w:rPr>
          <w:color w:val="6B7280"/>
          <w:sz w:val="20"/>
          <w:szCs w:val="20"/>
        </w:rPr>
        <w:t xml:space="preserve">Prepared by: Abid Hasan  |  Date: September 27, 2026  |  Version: 1.0</w:t>
      </w:r>
    </w:p>
    <w:p>
      <w:pPr>
        <w:pStyle w:val="Heading1"/>
        <w:spacing w:after="150" w:before="300"/>
      </w:pPr>
      <w:r>
        <w:t xml:space="preserve">1. Executive Summary</w:t>
      </w:r>
    </w:p>
    <w:p>
      <w:pPr>
        <w:spacing w:after="120"/>
      </w:pPr>
      <w:r>
        <w:t xml:space="preserve">This report documents a QA pass performed on the Euro GMP marketing website — an 11-page static site (home, about, solutions, industries, partnerships, resources, contact, and four legal pages) built with HTML, CSS, and vanilla JavaScript.</w:t>
      </w:r>
    </w:p>
    <w:p>
      <w:pPr>
        <w:spacing w:after="120"/>
      </w:pPr>
      <w:r>
        <w:t xml:space="preserve">Testing covered functional behavior (forms and interactive JS), content and structural integrity (links, images, navigation), on-page SEO/metadata, accessibility basics, and front-end performance. One critical functional defect, one medium content-consistency issue, and one performance issue were identified. Markup quality, on-page SEO, and accessibility fundamentals passed with no defects.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2937" w:val="clear"/>
            <w:tcMar>
              <w:top w:type="dxa" w:w="100"/>
              <w:left w:type="dxa" w:w="100"/>
              <w:bottom w:type="dxa" w:w="100"/>
              <w:right w:type="dxa" w:w="100"/>
            </w:tcMar>
          </w:tcPr>
          <w:p>
            <w:r>
              <w:rPr>
                <w:b/>
                <w:bCs/>
                <w:color w:val="FFFFFF"/>
                <w:sz w:val="19"/>
                <w:szCs w:val="19"/>
              </w:rPr>
              <w:t xml:space="preserve">Severity</w:t>
            </w:r>
          </w:p>
        </w:tc>
        <w:tc>
          <w:tcPr>
            <w:tcW w:type="dxa" w:w="2000"/>
            <w:shd w:fill="1F2937" w:val="clear"/>
            <w:tcMar>
              <w:top w:type="dxa" w:w="100"/>
              <w:left w:type="dxa" w:w="100"/>
              <w:bottom w:type="dxa" w:w="100"/>
              <w:right w:type="dxa" w:w="100"/>
            </w:tcMar>
          </w:tcPr>
          <w:p>
            <w:r>
              <w:rPr>
                <w:b/>
                <w:bCs/>
                <w:color w:val="FFFFFF"/>
                <w:sz w:val="19"/>
                <w:szCs w:val="19"/>
              </w:rPr>
              <w:t xml:space="preserve">Count</w:t>
            </w:r>
          </w:p>
        </w:tc>
        <w:tc>
          <w:tcPr>
            <w:tcW w:type="dxa" w:w="4000"/>
            <w:shd w:fill="1F2937" w:val="clear"/>
            <w:tcMar>
              <w:top w:type="dxa" w:w="100"/>
              <w:left w:type="dxa" w:w="100"/>
              <w:bottom w:type="dxa" w:w="100"/>
              <w:right w:type="dxa" w:w="100"/>
            </w:tcMar>
          </w:tcPr>
          <w:p>
            <w:r>
              <w:rPr>
                <w:b/>
                <w:bCs/>
                <w:color w:val="FFFFFF"/>
                <w:sz w:val="19"/>
                <w:szCs w:val="19"/>
              </w:rPr>
              <w:t xml:space="preserve">Status</w:t>
            </w:r>
          </w:p>
        </w:tc>
      </w:tr>
      <w:tr>
        <w:tc>
          <w:tcPr>
            <w:tcW w:type="dxa" w:w="3000"/>
            <w:tcMar>
              <w:top w:type="dxa" w:w="100"/>
              <w:left w:type="dxa" w:w="100"/>
              <w:bottom w:type="dxa" w:w="100"/>
              <w:right w:type="dxa" w:w="100"/>
            </w:tcMar>
          </w:tcPr>
          <w:p>
            <w:r>
              <w:rPr>
                <w:b w:val="false"/>
                <w:bCs w:val="false"/>
                <w:sz w:val="19"/>
                <w:szCs w:val="19"/>
              </w:rPr>
              <w:t xml:space="preserve">Critical</w:t>
            </w:r>
          </w:p>
        </w:tc>
        <w:tc>
          <w:tcPr>
            <w:tcW w:type="dxa" w:w="2000"/>
            <w:shd w:fill="FCA5A5" w:val="clear"/>
            <w:tcMar>
              <w:top w:type="dxa" w:w="100"/>
              <w:left w:type="dxa" w:w="100"/>
              <w:bottom w:type="dxa" w:w="100"/>
              <w:right w:type="dxa" w:w="100"/>
            </w:tcMar>
          </w:tcPr>
          <w:p>
            <w:r>
              <w:rPr>
                <w:b w:val="false"/>
                <w:bCs w:val="false"/>
                <w:sz w:val="19"/>
                <w:szCs w:val="19"/>
              </w:rPr>
              <w:t xml:space="preserve">1</w:t>
            </w:r>
          </w:p>
        </w:tc>
        <w:tc>
          <w:tcPr>
            <w:tcW w:type="dxa" w:w="4000"/>
            <w:tcMar>
              <w:top w:type="dxa" w:w="100"/>
              <w:left w:type="dxa" w:w="100"/>
              <w:bottom w:type="dxa" w:w="100"/>
              <w:right w:type="dxa" w:w="100"/>
            </w:tcMar>
          </w:tcPr>
          <w:p>
            <w:r>
              <w:rPr>
                <w:b w:val="false"/>
                <w:bCs w:val="false"/>
                <w:sz w:val="19"/>
                <w:szCs w:val="19"/>
              </w:rPr>
              <w:t xml:space="preserve">Open</w:t>
            </w:r>
          </w:p>
        </w:tc>
      </w:tr>
      <w:tr>
        <w:tc>
          <w:tcPr>
            <w:tcW w:type="dxa" w:w="3000"/>
            <w:tcMar>
              <w:top w:type="dxa" w:w="100"/>
              <w:left w:type="dxa" w:w="100"/>
              <w:bottom w:type="dxa" w:w="100"/>
              <w:right w:type="dxa" w:w="100"/>
            </w:tcMar>
          </w:tcPr>
          <w:p>
            <w:r>
              <w:rPr>
                <w:b w:val="false"/>
                <w:bCs w:val="false"/>
                <w:sz w:val="19"/>
                <w:szCs w:val="19"/>
              </w:rPr>
              <w:t xml:space="preserve">Medium</w:t>
            </w:r>
          </w:p>
        </w:tc>
        <w:tc>
          <w:tcPr>
            <w:tcW w:type="dxa" w:w="2000"/>
            <w:shd w:fill="FCD34D" w:val="clear"/>
            <w:tcMar>
              <w:top w:type="dxa" w:w="100"/>
              <w:left w:type="dxa" w:w="100"/>
              <w:bottom w:type="dxa" w:w="100"/>
              <w:right w:type="dxa" w:w="100"/>
            </w:tcMar>
          </w:tcPr>
          <w:p>
            <w:r>
              <w:rPr>
                <w:b w:val="false"/>
                <w:bCs w:val="false"/>
                <w:sz w:val="19"/>
                <w:szCs w:val="19"/>
              </w:rPr>
              <w:t xml:space="preserve">1</w:t>
            </w:r>
          </w:p>
        </w:tc>
        <w:tc>
          <w:tcPr>
            <w:tcW w:type="dxa" w:w="4000"/>
            <w:tcMar>
              <w:top w:type="dxa" w:w="100"/>
              <w:left w:type="dxa" w:w="100"/>
              <w:bottom w:type="dxa" w:w="100"/>
              <w:right w:type="dxa" w:w="100"/>
            </w:tcMar>
          </w:tcPr>
          <w:p>
            <w:r>
              <w:rPr>
                <w:b w:val="false"/>
                <w:bCs w:val="false"/>
                <w:sz w:val="19"/>
                <w:szCs w:val="19"/>
              </w:rPr>
              <w:t xml:space="preserve">Open</w:t>
            </w:r>
          </w:p>
        </w:tc>
      </w:tr>
      <w:tr>
        <w:tc>
          <w:tcPr>
            <w:tcW w:type="dxa" w:w="3000"/>
            <w:tcMar>
              <w:top w:type="dxa" w:w="100"/>
              <w:left w:type="dxa" w:w="100"/>
              <w:bottom w:type="dxa" w:w="100"/>
              <w:right w:type="dxa" w:w="100"/>
            </w:tcMar>
          </w:tcPr>
          <w:p>
            <w:r>
              <w:rPr>
                <w:b w:val="false"/>
                <w:bCs w:val="false"/>
                <w:sz w:val="19"/>
                <w:szCs w:val="19"/>
              </w:rPr>
              <w:t xml:space="preserve">Low / Performance</w:t>
            </w:r>
          </w:p>
        </w:tc>
        <w:tc>
          <w:tcPr>
            <w:tcW w:type="dxa" w:w="2000"/>
            <w:shd w:fill="BBF7D0" w:val="clear"/>
            <w:tcMar>
              <w:top w:type="dxa" w:w="100"/>
              <w:left w:type="dxa" w:w="100"/>
              <w:bottom w:type="dxa" w:w="100"/>
              <w:right w:type="dxa" w:w="100"/>
            </w:tcMar>
          </w:tcPr>
          <w:p>
            <w:r>
              <w:rPr>
                <w:b w:val="false"/>
                <w:bCs w:val="false"/>
                <w:sz w:val="19"/>
                <w:szCs w:val="19"/>
              </w:rPr>
              <w:t xml:space="preserve">1</w:t>
            </w:r>
          </w:p>
        </w:tc>
        <w:tc>
          <w:tcPr>
            <w:tcW w:type="dxa" w:w="4000"/>
            <w:tcMar>
              <w:top w:type="dxa" w:w="100"/>
              <w:left w:type="dxa" w:w="100"/>
              <w:bottom w:type="dxa" w:w="100"/>
              <w:right w:type="dxa" w:w="100"/>
            </w:tcMar>
          </w:tcPr>
          <w:p>
            <w:r>
              <w:rPr>
                <w:b w:val="false"/>
                <w:bCs w:val="false"/>
                <w:sz w:val="19"/>
                <w:szCs w:val="19"/>
              </w:rPr>
              <w:t xml:space="preserve">Open</w:t>
            </w:r>
          </w:p>
        </w:tc>
      </w:tr>
      <w:tr>
        <w:tc>
          <w:tcPr>
            <w:tcW w:type="dxa" w:w="3000"/>
            <w:tcMar>
              <w:top w:type="dxa" w:w="100"/>
              <w:left w:type="dxa" w:w="100"/>
              <w:bottom w:type="dxa" w:w="100"/>
              <w:right w:type="dxa" w:w="100"/>
            </w:tcMar>
          </w:tcPr>
          <w:p>
            <w:r>
              <w:rPr>
                <w:b w:val="false"/>
                <w:bCs w:val="false"/>
                <w:sz w:val="19"/>
                <w:szCs w:val="19"/>
              </w:rPr>
              <w:t xml:space="preserve">Informational (passed)</w:t>
            </w:r>
          </w:p>
        </w:tc>
        <w:tc>
          <w:tcPr>
            <w:tcW w:type="dxa" w:w="2000"/>
            <w:shd w:fill="E5E7EB" w:val="clear"/>
            <w:tcMar>
              <w:top w:type="dxa" w:w="100"/>
              <w:left w:type="dxa" w:w="100"/>
              <w:bottom w:type="dxa" w:w="100"/>
              <w:right w:type="dxa" w:w="100"/>
            </w:tcMar>
          </w:tcPr>
          <w:p>
            <w:r>
              <w:rPr>
                <w:b w:val="false"/>
                <w:bCs w:val="false"/>
                <w:sz w:val="19"/>
                <w:szCs w:val="19"/>
              </w:rPr>
              <w:t xml:space="preserve">1 area</w:t>
            </w:r>
          </w:p>
        </w:tc>
        <w:tc>
          <w:tcPr>
            <w:tcW w:type="dxa" w:w="4000"/>
            <w:tcMar>
              <w:top w:type="dxa" w:w="100"/>
              <w:left w:type="dxa" w:w="100"/>
              <w:bottom w:type="dxa" w:w="100"/>
              <w:right w:type="dxa" w:w="100"/>
            </w:tcMar>
          </w:tcPr>
          <w:p>
            <w:r>
              <w:rPr>
                <w:b w:val="false"/>
                <w:bCs w:val="false"/>
                <w:sz w:val="19"/>
                <w:szCs w:val="19"/>
              </w:rPr>
              <w:t xml:space="preserve">Closed</w:t>
            </w:r>
          </w:p>
        </w:tc>
      </w:tr>
    </w:tbl>
    <w:p>
      <w:pPr>
        <w:spacing w:after="200"/>
      </w:pPr>
    </w:p>
    <w:p>
      <w:pPr>
        <w:pStyle w:val="Heading1"/>
        <w:spacing w:after="150" w:before="300"/>
      </w:pPr>
      <w:r>
        <w:t xml:space="preserve">2. Scope &amp; Methodology</w:t>
      </w:r>
    </w:p>
    <w:p>
      <w:pPr>
        <w:pStyle w:val="Heading2"/>
        <w:spacing w:after="120" w:before="250"/>
      </w:pPr>
      <w:r>
        <w:t xml:space="preserve">2.1 Scope</w:t>
      </w:r>
    </w:p>
    <w:p>
      <w:pPr>
        <w:pStyle w:val="ListParagraph"/>
        <w:numPr>
          <w:ilvl w:val="0"/>
          <w:numId w:val="1"/>
        </w:numPr>
        <w:spacing w:after="60"/>
      </w:pPr>
      <w:r>
        <w:t xml:space="preserve">11 HTML pages: index.html, about.html, solutions.html, industries.html, partnerships.html, resources.html, contact.html, privacy-policy.html, terms-conditions.html, cookie-policy.html, quality-policy.html</w:t>
      </w:r>
    </w:p>
    <w:p>
      <w:pPr>
        <w:pStyle w:val="ListParagraph"/>
        <w:numPr>
          <w:ilvl w:val="0"/>
          <w:numId w:val="1"/>
        </w:numPr>
        <w:spacing w:after="60"/>
      </w:pPr>
      <w:r>
        <w:t xml:space="preserve">Supporting assets: style.css, site.js, sitemap.xml, robots.txt, and the /images directory (58 image files)</w:t>
      </w:r>
    </w:p>
    <w:p>
      <w:pPr>
        <w:pStyle w:val="Heading2"/>
        <w:spacing w:after="120" w:before="250"/>
      </w:pPr>
      <w:r>
        <w:t xml:space="preserve">2.2 Test Types Performed</w:t>
      </w:r>
    </w:p>
    <w:p>
      <w:pPr>
        <w:pStyle w:val="ListParagraph"/>
        <w:numPr>
          <w:ilvl w:val="0"/>
          <w:numId w:val="1"/>
        </w:numPr>
        <w:spacing w:after="60"/>
      </w:pPr>
      <w:r>
        <w:t xml:space="preserve">Static code review of HTML, CSS, and JavaScript</w:t>
      </w:r>
    </w:p>
    <w:p>
      <w:pPr>
        <w:pStyle w:val="ListParagraph"/>
        <w:numPr>
          <w:ilvl w:val="0"/>
          <w:numId w:val="1"/>
        </w:numPr>
        <w:spacing w:after="60"/>
      </w:pPr>
      <w:r>
        <w:t xml:space="preserve">Automated link/image audit (internal &lt;a href&gt; and &lt;img src&gt; resolution across all 11 pages)</w:t>
      </w:r>
    </w:p>
    <w:p>
      <w:pPr>
        <w:pStyle w:val="ListParagraph"/>
        <w:numPr>
          <w:ilvl w:val="0"/>
          <w:numId w:val="1"/>
        </w:numPr>
        <w:spacing w:after="60"/>
      </w:pPr>
      <w:r>
        <w:t xml:space="preserve">Accessibility spot-check (alt attributes, form labels, heading structure)</w:t>
      </w:r>
    </w:p>
    <w:p>
      <w:pPr>
        <w:pStyle w:val="ListParagraph"/>
        <w:numPr>
          <w:ilvl w:val="0"/>
          <w:numId w:val="1"/>
        </w:numPr>
        <w:spacing w:after="60"/>
      </w:pPr>
      <w:r>
        <w:t xml:space="preserve">On-page SEO/metadata check (title, meta description, canonical tag, viewport tag, per page)</w:t>
      </w:r>
    </w:p>
    <w:p>
      <w:pPr>
        <w:pStyle w:val="ListParagraph"/>
        <w:numPr>
          <w:ilvl w:val="0"/>
          <w:numId w:val="1"/>
        </w:numPr>
        <w:spacing w:after="60"/>
      </w:pPr>
      <w:r>
        <w:t xml:space="preserve">Functional review of client-side JavaScript, focused on the contact form submit handler</w:t>
      </w:r>
    </w:p>
    <w:p>
      <w:pPr>
        <w:pStyle w:val="ListParagraph"/>
        <w:numPr>
          <w:ilvl w:val="0"/>
          <w:numId w:val="1"/>
        </w:numPr>
        <w:spacing w:after="60"/>
      </w:pPr>
      <w:r>
        <w:t xml:space="preserve">Performance review of image assets (file size vs. rendered dimensions, format choice)</w:t>
      </w:r>
    </w:p>
    <w:p>
      <w:pPr>
        <w:pStyle w:val="Heading2"/>
        <w:spacing w:after="120" w:before="250"/>
      </w:pPr>
      <w:r>
        <w:t xml:space="preserve">2.3 Out of Scope</w:t>
      </w:r>
    </w:p>
    <w:p>
      <w:pPr>
        <w:pStyle w:val="ListParagraph"/>
        <w:numPr>
          <w:ilvl w:val="0"/>
          <w:numId w:val="1"/>
        </w:numPr>
        <w:spacing w:after="60"/>
      </w:pPr>
      <w:r>
        <w:t xml:space="preserve">Live browser/visual regression testing and cross-device screenshots (no outbound network access in the test environment)</w:t>
      </w:r>
    </w:p>
    <w:p>
      <w:pPr>
        <w:pStyle w:val="ListParagraph"/>
        <w:numPr>
          <w:ilvl w:val="0"/>
          <w:numId w:val="1"/>
        </w:numPr>
        <w:spacing w:after="60"/>
      </w:pPr>
      <w:r>
        <w:t xml:space="preserve">Server-side/backend testing (site is static; Formspree is a third-party service)</w:t>
      </w:r>
    </w:p>
    <w:p>
      <w:pPr>
        <w:pStyle w:val="ListParagraph"/>
        <w:numPr>
          <w:ilvl w:val="0"/>
          <w:numId w:val="1"/>
        </w:numPr>
        <w:spacing w:after="60"/>
      </w:pPr>
      <w:r>
        <w:t xml:space="preserve">Load/stress testing</w:t>
      </w:r>
    </w:p>
    <w:p>
      <w:pPr>
        <w:pStyle w:val="Heading1"/>
        <w:spacing w:after="150" w:before="300"/>
      </w:pPr>
      <w:r>
        <w:t xml:space="preserve">3. Findings</w:t>
      </w:r>
    </w:p>
    <w:p>
      <w:pPr>
        <w:pStyle w:val="Heading2"/>
        <w:spacing w:after="120" w:before="250"/>
      </w:pPr>
      <w:r>
        <w:t xml:space="preserve">BUG-001 — Contact form does not actually submit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3F4F6" w:val="clear"/>
            <w:tcMar>
              <w:top w:type="dxa" w:w="100"/>
              <w:left w:type="dxa" w:w="100"/>
              <w:bottom w:type="dxa" w:w="100"/>
              <w:right w:type="dxa" w:w="100"/>
            </w:tcMar>
          </w:tcPr>
          <w:p>
            <w:r>
              <w:rPr>
                <w:b/>
                <w:bCs/>
                <w:sz w:val="19"/>
                <w:szCs w:val="19"/>
              </w:rPr>
              <w:t xml:space="preserve">Severity</w:t>
            </w:r>
          </w:p>
        </w:tc>
        <w:tc>
          <w:tcPr>
            <w:tcW w:type="dxa" w:w="6400"/>
            <w:tcMar>
              <w:top w:type="dxa" w:w="100"/>
              <w:left w:type="dxa" w:w="100"/>
              <w:bottom w:type="dxa" w:w="100"/>
              <w:right w:type="dxa" w:w="100"/>
            </w:tcMar>
          </w:tcPr>
          <w:p>
            <w:r>
              <w:rPr>
                <w:b w:val="false"/>
                <w:bCs w:val="false"/>
                <w:sz w:val="19"/>
                <w:szCs w:val="19"/>
              </w:rPr>
              <w:t xml:space="preserve">Critical</w:t>
            </w:r>
          </w:p>
        </w:tc>
      </w:tr>
      <w:tr>
        <w:tc>
          <w:tcPr>
            <w:tcW w:type="dxa" w:w="2600"/>
            <w:shd w:fill="F3F4F6" w:val="clear"/>
            <w:tcMar>
              <w:top w:type="dxa" w:w="100"/>
              <w:left w:type="dxa" w:w="100"/>
              <w:bottom w:type="dxa" w:w="100"/>
              <w:right w:type="dxa" w:w="100"/>
            </w:tcMar>
          </w:tcPr>
          <w:p>
            <w:r>
              <w:rPr>
                <w:b/>
                <w:bCs/>
                <w:sz w:val="19"/>
                <w:szCs w:val="19"/>
              </w:rPr>
              <w:t xml:space="preserve">Page(s) / File(s)</w:t>
            </w:r>
          </w:p>
        </w:tc>
        <w:tc>
          <w:tcPr>
            <w:tcW w:type="dxa" w:w="6400"/>
            <w:tcMar>
              <w:top w:type="dxa" w:w="100"/>
              <w:left w:type="dxa" w:w="100"/>
              <w:bottom w:type="dxa" w:w="100"/>
              <w:right w:type="dxa" w:w="100"/>
            </w:tcMar>
          </w:tcPr>
          <w:p>
            <w:r>
              <w:rPr>
                <w:b w:val="false"/>
                <w:bCs w:val="false"/>
                <w:sz w:val="19"/>
                <w:szCs w:val="19"/>
              </w:rPr>
              <w:t xml:space="preserve">contact.html, site.js</w:t>
            </w:r>
          </w:p>
        </w:tc>
      </w:tr>
      <w:tr>
        <w:tc>
          <w:tcPr>
            <w:tcW w:type="dxa" w:w="2600"/>
            <w:shd w:fill="F3F4F6" w:val="clear"/>
            <w:tcMar>
              <w:top w:type="dxa" w:w="100"/>
              <w:left w:type="dxa" w:w="100"/>
              <w:bottom w:type="dxa" w:w="100"/>
              <w:right w:type="dxa" w:w="100"/>
            </w:tcMar>
          </w:tcPr>
          <w:p>
            <w:r>
              <w:rPr>
                <w:b/>
                <w:bCs/>
                <w:sz w:val="19"/>
                <w:szCs w:val="19"/>
              </w:rPr>
              <w:t xml:space="preserve">Category</w:t>
            </w:r>
          </w:p>
        </w:tc>
        <w:tc>
          <w:tcPr>
            <w:tcW w:type="dxa" w:w="6400"/>
            <w:tcMar>
              <w:top w:type="dxa" w:w="100"/>
              <w:left w:type="dxa" w:w="100"/>
              <w:bottom w:type="dxa" w:w="100"/>
              <w:right w:type="dxa" w:w="100"/>
            </w:tcMar>
          </w:tcPr>
          <w:p>
            <w:r>
              <w:rPr>
                <w:b w:val="false"/>
                <w:bCs w:val="false"/>
                <w:sz w:val="19"/>
                <w:szCs w:val="19"/>
              </w:rPr>
              <w:t xml:space="preserve">Functionality — Lead Capture</w:t>
            </w:r>
          </w:p>
        </w:tc>
      </w:tr>
      <w:tr>
        <w:tc>
          <w:tcPr>
            <w:tcW w:type="dxa" w:w="2600"/>
            <w:shd w:fill="F3F4F6" w:val="clear"/>
            <w:tcMar>
              <w:top w:type="dxa" w:w="100"/>
              <w:left w:type="dxa" w:w="100"/>
              <w:bottom w:type="dxa" w:w="100"/>
              <w:right w:type="dxa" w:w="100"/>
            </w:tcMar>
          </w:tcPr>
          <w:p>
            <w:r>
              <w:rPr>
                <w:b/>
                <w:bCs/>
                <w:sz w:val="19"/>
                <w:szCs w:val="19"/>
              </w:rPr>
              <w:t xml:space="preserve">Steps to Reproduce</w:t>
            </w:r>
          </w:p>
        </w:tc>
        <w:tc>
          <w:tcPr>
            <w:tcW w:type="dxa" w:w="6400"/>
            <w:tcMar>
              <w:top w:type="dxa" w:w="100"/>
              <w:left w:type="dxa" w:w="100"/>
              <w:bottom w:type="dxa" w:w="100"/>
              <w:right w:type="dxa" w:w="100"/>
            </w:tcMar>
          </w:tcPr>
          <w:p>
            <w:r>
              <w:rPr>
                <w:b w:val="false"/>
                <w:bCs w:val="false"/>
                <w:sz w:val="19"/>
                <w:szCs w:val="19"/>
              </w:rPr>
              <w:t xml:space="preserve">1. Open contact.html
2. Fill in Full Name, Email Address, and Message (the required fields)
3. Click "Send Message"
4. Observe the on-screen success message
5. Check the Formspree dashboard or the destination inbox for the submission</w:t>
            </w:r>
          </w:p>
        </w:tc>
      </w:tr>
      <w:tr>
        <w:tc>
          <w:tcPr>
            <w:tcW w:type="dxa" w:w="2600"/>
            <w:shd w:fill="F3F4F6" w:val="clear"/>
            <w:tcMar>
              <w:top w:type="dxa" w:w="100"/>
              <w:left w:type="dxa" w:w="100"/>
              <w:bottom w:type="dxa" w:w="100"/>
              <w:right w:type="dxa" w:w="100"/>
            </w:tcMar>
          </w:tcPr>
          <w:p>
            <w:r>
              <w:rPr>
                <w:b/>
                <w:bCs/>
                <w:sz w:val="19"/>
                <w:szCs w:val="19"/>
              </w:rPr>
              <w:t xml:space="preserve">Expected Result</w:t>
            </w:r>
          </w:p>
        </w:tc>
        <w:tc>
          <w:tcPr>
            <w:tcW w:type="dxa" w:w="6400"/>
            <w:tcMar>
              <w:top w:type="dxa" w:w="100"/>
              <w:left w:type="dxa" w:w="100"/>
              <w:bottom w:type="dxa" w:w="100"/>
              <w:right w:type="dxa" w:w="100"/>
            </w:tcMar>
          </w:tcPr>
          <w:p>
            <w:r>
              <w:rPr>
                <w:b w:val="false"/>
                <w:bCs w:val="false"/>
                <w:sz w:val="19"/>
                <w:szCs w:val="19"/>
              </w:rPr>
              <w:t xml:space="preserve">Form data is sent via HTTP POST to the form's real action endpoint (https://formspree.io/f/mdknnzbp) and the enquiry arrives at Euro GMP's inbox.</w:t>
            </w:r>
          </w:p>
        </w:tc>
      </w:tr>
      <w:tr>
        <w:tc>
          <w:tcPr>
            <w:tcW w:type="dxa" w:w="2600"/>
            <w:shd w:fill="F3F4F6" w:val="clear"/>
            <w:tcMar>
              <w:top w:type="dxa" w:w="100"/>
              <w:left w:type="dxa" w:w="100"/>
              <w:bottom w:type="dxa" w:w="100"/>
              <w:right w:type="dxa" w:w="100"/>
            </w:tcMar>
          </w:tcPr>
          <w:p>
            <w:r>
              <w:rPr>
                <w:b/>
                <w:bCs/>
                <w:sz w:val="19"/>
                <w:szCs w:val="19"/>
              </w:rPr>
              <w:t xml:space="preserve">Actual Result</w:t>
            </w:r>
          </w:p>
        </w:tc>
        <w:tc>
          <w:tcPr>
            <w:tcW w:type="dxa" w:w="6400"/>
            <w:tcMar>
              <w:top w:type="dxa" w:w="100"/>
              <w:left w:type="dxa" w:w="100"/>
              <w:bottom w:type="dxa" w:w="100"/>
              <w:right w:type="dxa" w:w="100"/>
            </w:tcMar>
          </w:tcPr>
          <w:p>
            <w:r>
              <w:rPr>
                <w:b w:val="false"/>
                <w:bCs w:val="false"/>
                <w:sz w:val="19"/>
                <w:szCs w:val="19"/>
              </w:rPr>
              <w:t xml:space="preserve">site.js attaches a submit handler that calls e.preventDefault() and then only runs a 900ms window.setTimeout(), after which it shows a fake success message and resets the form. No fetch(), XMLHttpRequest, or native form submission is ever triggered. The form's action/method attributes are set correctly in the HTML but are never used. Result: every visitor who submits the contact form sees "Message sent" while their enquiry is silently discarded.</w:t>
            </w:r>
          </w:p>
        </w:tc>
      </w:tr>
      <w:tr>
        <w:tc>
          <w:tcPr>
            <w:tcW w:type="dxa" w:w="2600"/>
            <w:shd w:fill="F3F4F6" w:val="clear"/>
            <w:tcMar>
              <w:top w:type="dxa" w:w="100"/>
              <w:left w:type="dxa" w:w="100"/>
              <w:bottom w:type="dxa" w:w="100"/>
              <w:right w:type="dxa" w:w="100"/>
            </w:tcMar>
          </w:tcPr>
          <w:p>
            <w:r>
              <w:rPr>
                <w:b/>
                <w:bCs/>
                <w:sz w:val="19"/>
                <w:szCs w:val="19"/>
              </w:rPr>
              <w:t xml:space="preserve">Business Impact</w:t>
            </w:r>
          </w:p>
        </w:tc>
        <w:tc>
          <w:tcPr>
            <w:tcW w:type="dxa" w:w="6400"/>
            <w:tcMar>
              <w:top w:type="dxa" w:w="100"/>
              <w:left w:type="dxa" w:w="100"/>
              <w:bottom w:type="dxa" w:w="100"/>
              <w:right w:type="dxa" w:w="100"/>
            </w:tcMar>
          </w:tcPr>
          <w:p>
            <w:r>
              <w:rPr>
                <w:b w:val="false"/>
                <w:bCs w:val="false"/>
                <w:sz w:val="19"/>
                <w:szCs w:val="19"/>
              </w:rPr>
              <w:t xml:space="preserve">This is the site's primary lead-generation mechanism. As shipped, 100% of contact-form submissions are lost with no error surfaced to the visitor or the business.</w:t>
            </w:r>
          </w:p>
        </w:tc>
      </w:tr>
      <w:tr>
        <w:tc>
          <w:tcPr>
            <w:tcW w:type="dxa" w:w="2600"/>
            <w:shd w:fill="F3F4F6" w:val="clear"/>
            <w:tcMar>
              <w:top w:type="dxa" w:w="100"/>
              <w:left w:type="dxa" w:w="100"/>
              <w:bottom w:type="dxa" w:w="100"/>
              <w:right w:type="dxa" w:w="100"/>
            </w:tcMar>
          </w:tcPr>
          <w:p>
            <w:r>
              <w:rPr>
                <w:b/>
                <w:bCs/>
                <w:sz w:val="19"/>
                <w:szCs w:val="19"/>
              </w:rPr>
              <w:t xml:space="preserve">Recommended Fix</w:t>
            </w:r>
          </w:p>
        </w:tc>
        <w:tc>
          <w:tcPr>
            <w:tcW w:type="dxa" w:w="6400"/>
            <w:tcMar>
              <w:top w:type="dxa" w:w="100"/>
              <w:left w:type="dxa" w:w="100"/>
              <w:bottom w:type="dxa" w:w="100"/>
              <w:right w:type="dxa" w:w="100"/>
            </w:tcMar>
          </w:tcPr>
          <w:p>
            <w:r>
              <w:rPr>
                <w:b w:val="false"/>
                <w:bCs w:val="false"/>
                <w:sz w:val="19"/>
                <w:szCs w:val="19"/>
              </w:rPr>
              <w:t xml:space="preserve">Replace the fake timeout with a real network request, e.g. fetch(contactForm.action, { method: 'POST', body: new FormData(contactForm), headers: { Accept: 'application/json' } }), and only show the success state after a resolved/ok response (with a genuine error state on failure). A corrected site.js is provided alongside this report.</w:t>
            </w:r>
          </w:p>
        </w:tc>
      </w:tr>
    </w:tbl>
    <w:p>
      <w:pPr>
        <w:spacing w:after="200"/>
      </w:pPr>
    </w:p>
    <w:p>
      <w:pPr>
        <w:pStyle w:val="Heading2"/>
        <w:spacing w:after="120" w:before="250"/>
      </w:pPr>
      <w:r>
        <w:t xml:space="preserve">BUG-002 — Footer copyright year inconsistent across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3F4F6" w:val="clear"/>
            <w:tcMar>
              <w:top w:type="dxa" w:w="100"/>
              <w:left w:type="dxa" w:w="100"/>
              <w:bottom w:type="dxa" w:w="100"/>
              <w:right w:type="dxa" w:w="100"/>
            </w:tcMar>
          </w:tcPr>
          <w:p>
            <w:r>
              <w:rPr>
                <w:b/>
                <w:bCs/>
                <w:sz w:val="19"/>
                <w:szCs w:val="19"/>
              </w:rPr>
              <w:t xml:space="preserve">Severity</w:t>
            </w:r>
          </w:p>
        </w:tc>
        <w:tc>
          <w:tcPr>
            <w:tcW w:type="dxa" w:w="6400"/>
            <w:tcMar>
              <w:top w:type="dxa" w:w="100"/>
              <w:left w:type="dxa" w:w="100"/>
              <w:bottom w:type="dxa" w:w="100"/>
              <w:right w:type="dxa" w:w="100"/>
            </w:tcMar>
          </w:tcPr>
          <w:p>
            <w:r>
              <w:rPr>
                <w:b w:val="false"/>
                <w:bCs w:val="false"/>
                <w:sz w:val="19"/>
                <w:szCs w:val="19"/>
              </w:rPr>
              <w:t xml:space="preserve">Medium</w:t>
            </w:r>
          </w:p>
        </w:tc>
      </w:tr>
      <w:tr>
        <w:tc>
          <w:tcPr>
            <w:tcW w:type="dxa" w:w="2600"/>
            <w:shd w:fill="F3F4F6" w:val="clear"/>
            <w:tcMar>
              <w:top w:type="dxa" w:w="100"/>
              <w:left w:type="dxa" w:w="100"/>
              <w:bottom w:type="dxa" w:w="100"/>
              <w:right w:type="dxa" w:w="100"/>
            </w:tcMar>
          </w:tcPr>
          <w:p>
            <w:r>
              <w:rPr>
                <w:b/>
                <w:bCs/>
                <w:sz w:val="19"/>
                <w:szCs w:val="19"/>
              </w:rPr>
              <w:t xml:space="preserve">Page(s) / File(s)</w:t>
            </w:r>
          </w:p>
        </w:tc>
        <w:tc>
          <w:tcPr>
            <w:tcW w:type="dxa" w:w="6400"/>
            <w:tcMar>
              <w:top w:type="dxa" w:w="100"/>
              <w:left w:type="dxa" w:w="100"/>
              <w:bottom w:type="dxa" w:w="100"/>
              <w:right w:type="dxa" w:w="100"/>
            </w:tcMar>
          </w:tcPr>
          <w:p>
            <w:r>
              <w:rPr>
                <w:b w:val="false"/>
                <w:bCs w:val="false"/>
                <w:sz w:val="19"/>
                <w:szCs w:val="19"/>
              </w:rPr>
              <w:t xml:space="preserve">index.html, about.html, contact.html, industries.html, partnerships.html, resources.html, solutions.html</w:t>
            </w:r>
          </w:p>
        </w:tc>
      </w:tr>
      <w:tr>
        <w:tc>
          <w:tcPr>
            <w:tcW w:type="dxa" w:w="2600"/>
            <w:shd w:fill="F3F4F6" w:val="clear"/>
            <w:tcMar>
              <w:top w:type="dxa" w:w="100"/>
              <w:left w:type="dxa" w:w="100"/>
              <w:bottom w:type="dxa" w:w="100"/>
              <w:right w:type="dxa" w:w="100"/>
            </w:tcMar>
          </w:tcPr>
          <w:p>
            <w:r>
              <w:rPr>
                <w:b/>
                <w:bCs/>
                <w:sz w:val="19"/>
                <w:szCs w:val="19"/>
              </w:rPr>
              <w:t xml:space="preserve">Category</w:t>
            </w:r>
          </w:p>
        </w:tc>
        <w:tc>
          <w:tcPr>
            <w:tcW w:type="dxa" w:w="6400"/>
            <w:tcMar>
              <w:top w:type="dxa" w:w="100"/>
              <w:left w:type="dxa" w:w="100"/>
              <w:bottom w:type="dxa" w:w="100"/>
              <w:right w:type="dxa" w:w="100"/>
            </w:tcMar>
          </w:tcPr>
          <w:p>
            <w:r>
              <w:rPr>
                <w:b w:val="false"/>
                <w:bCs w:val="false"/>
                <w:sz w:val="19"/>
                <w:szCs w:val="19"/>
              </w:rPr>
              <w:t xml:space="preserve">Content Consistency</w:t>
            </w:r>
          </w:p>
        </w:tc>
      </w:tr>
      <w:tr>
        <w:tc>
          <w:tcPr>
            <w:tcW w:type="dxa" w:w="2600"/>
            <w:shd w:fill="F3F4F6" w:val="clear"/>
            <w:tcMar>
              <w:top w:type="dxa" w:w="100"/>
              <w:left w:type="dxa" w:w="100"/>
              <w:bottom w:type="dxa" w:w="100"/>
              <w:right w:type="dxa" w:w="100"/>
            </w:tcMar>
          </w:tcPr>
          <w:p>
            <w:r>
              <w:rPr>
                <w:b/>
                <w:bCs/>
                <w:sz w:val="19"/>
                <w:szCs w:val="19"/>
              </w:rPr>
              <w:t xml:space="preserve">Steps to Reproduce</w:t>
            </w:r>
          </w:p>
        </w:tc>
        <w:tc>
          <w:tcPr>
            <w:tcW w:type="dxa" w:w="6400"/>
            <w:tcMar>
              <w:top w:type="dxa" w:w="100"/>
              <w:left w:type="dxa" w:w="100"/>
              <w:bottom w:type="dxa" w:w="100"/>
              <w:right w:type="dxa" w:w="100"/>
            </w:tcMar>
          </w:tcPr>
          <w:p>
            <w:r>
              <w:rPr>
                <w:b w:val="false"/>
                <w:bCs w:val="false"/>
                <w:sz w:val="19"/>
                <w:szCs w:val="19"/>
              </w:rPr>
              <w:t xml:space="preserve">1. Scroll to the footer on each of the 7 pages listed above
2. Compare the copyright line to the footer on privacy-policy.html, terms-conditions.html, cookie-policy.html, and quality-policy.html</w:t>
            </w:r>
          </w:p>
        </w:tc>
      </w:tr>
      <w:tr>
        <w:tc>
          <w:tcPr>
            <w:tcW w:type="dxa" w:w="2600"/>
            <w:shd w:fill="F3F4F6" w:val="clear"/>
            <w:tcMar>
              <w:top w:type="dxa" w:w="100"/>
              <w:left w:type="dxa" w:w="100"/>
              <w:bottom w:type="dxa" w:w="100"/>
              <w:right w:type="dxa" w:w="100"/>
            </w:tcMar>
          </w:tcPr>
          <w:p>
            <w:r>
              <w:rPr>
                <w:b/>
                <w:bCs/>
                <w:sz w:val="19"/>
                <w:szCs w:val="19"/>
              </w:rPr>
              <w:t xml:space="preserve">Expected Result</w:t>
            </w:r>
          </w:p>
        </w:tc>
        <w:tc>
          <w:tcPr>
            <w:tcW w:type="dxa" w:w="6400"/>
            <w:tcMar>
              <w:top w:type="dxa" w:w="100"/>
              <w:left w:type="dxa" w:w="100"/>
              <w:bottom w:type="dxa" w:w="100"/>
              <w:right w:type="dxa" w:w="100"/>
            </w:tcMar>
          </w:tcPr>
          <w:p>
            <w:r>
              <w:rPr>
                <w:b w:val="false"/>
                <w:bCs w:val="false"/>
                <w:sz w:val="19"/>
                <w:szCs w:val="19"/>
              </w:rPr>
              <w:t xml:space="preserve">All 11 pages display an identical footer: "© 2026 Euro GMP. All rights reserved. | European Headquarters: Malta | Bangladesh Office: Dhaka"</w:t>
            </w:r>
          </w:p>
        </w:tc>
      </w:tr>
      <w:tr>
        <w:tc>
          <w:tcPr>
            <w:tcW w:type="dxa" w:w="2600"/>
            <w:shd w:fill="F3F4F6" w:val="clear"/>
            <w:tcMar>
              <w:top w:type="dxa" w:w="100"/>
              <w:left w:type="dxa" w:w="100"/>
              <w:bottom w:type="dxa" w:w="100"/>
              <w:right w:type="dxa" w:w="100"/>
            </w:tcMar>
          </w:tcPr>
          <w:p>
            <w:r>
              <w:rPr>
                <w:b/>
                <w:bCs/>
                <w:sz w:val="19"/>
                <w:szCs w:val="19"/>
              </w:rPr>
              <w:t xml:space="preserve">Actual Result</w:t>
            </w:r>
          </w:p>
        </w:tc>
        <w:tc>
          <w:tcPr>
            <w:tcW w:type="dxa" w:w="6400"/>
            <w:tcMar>
              <w:top w:type="dxa" w:w="100"/>
              <w:left w:type="dxa" w:w="100"/>
              <w:bottom w:type="dxa" w:w="100"/>
              <w:right w:type="dxa" w:w="100"/>
            </w:tcMar>
          </w:tcPr>
          <w:p>
            <w:r>
              <w:rPr>
                <w:b w:val="false"/>
                <w:bCs w:val="false"/>
                <w:sz w:val="19"/>
                <w:szCs w:val="19"/>
              </w:rPr>
              <w:t xml:space="preserve">The 4 legal pages correctly show "© 2026 Euro GMP...". The other 7 pages omit the year entirely ("© Euro GMP..."), which reads as an inconsistency / unfinished detail to a careful visitor.</w:t>
            </w:r>
          </w:p>
        </w:tc>
      </w:tr>
      <w:tr>
        <w:tc>
          <w:tcPr>
            <w:tcW w:type="dxa" w:w="2600"/>
            <w:shd w:fill="F3F4F6" w:val="clear"/>
            <w:tcMar>
              <w:top w:type="dxa" w:w="100"/>
              <w:left w:type="dxa" w:w="100"/>
              <w:bottom w:type="dxa" w:w="100"/>
              <w:right w:type="dxa" w:w="100"/>
            </w:tcMar>
          </w:tcPr>
          <w:p>
            <w:r>
              <w:rPr>
                <w:b/>
                <w:bCs/>
                <w:sz w:val="19"/>
                <w:szCs w:val="19"/>
              </w:rPr>
              <w:t xml:space="preserve">Recommended Fix</w:t>
            </w:r>
          </w:p>
        </w:tc>
        <w:tc>
          <w:tcPr>
            <w:tcW w:type="dxa" w:w="6400"/>
            <w:tcMar>
              <w:top w:type="dxa" w:w="100"/>
              <w:left w:type="dxa" w:w="100"/>
              <w:bottom w:type="dxa" w:w="100"/>
              <w:right w:type="dxa" w:w="100"/>
            </w:tcMar>
          </w:tcPr>
          <w:p>
            <w:r>
              <w:rPr>
                <w:b w:val="false"/>
                <w:bCs w:val="false"/>
                <w:sz w:val="19"/>
                <w:szCs w:val="19"/>
              </w:rPr>
              <w:t xml:space="preserve">Standardize the footer markup (or footer include/partial, if one is introduced) across all 11 pages so the year is always present. Consider generating the year with JavaScript (new Date().getFullYear()) so it never goes stale again.</w:t>
            </w:r>
          </w:p>
        </w:tc>
      </w:tr>
    </w:tbl>
    <w:p>
      <w:pPr>
        <w:spacing w:after="200"/>
      </w:pPr>
    </w:p>
    <w:p>
      <w:pPr>
        <w:pStyle w:val="Heading2"/>
        <w:spacing w:after="120" w:before="250"/>
      </w:pPr>
      <w:r>
        <w:t xml:space="preserve">BUG-003 — Photographic images shipped as large, uncompressed PNGs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3F4F6" w:val="clear"/>
            <w:tcMar>
              <w:top w:type="dxa" w:w="100"/>
              <w:left w:type="dxa" w:w="100"/>
              <w:bottom w:type="dxa" w:w="100"/>
              <w:right w:type="dxa" w:w="100"/>
            </w:tcMar>
          </w:tcPr>
          <w:p>
            <w:r>
              <w:rPr>
                <w:b/>
                <w:bCs/>
                <w:sz w:val="19"/>
                <w:szCs w:val="19"/>
              </w:rPr>
              <w:t xml:space="preserve">Severity</w:t>
            </w:r>
          </w:p>
        </w:tc>
        <w:tc>
          <w:tcPr>
            <w:tcW w:type="dxa" w:w="6400"/>
            <w:tcMar>
              <w:top w:type="dxa" w:w="100"/>
              <w:left w:type="dxa" w:w="100"/>
              <w:bottom w:type="dxa" w:w="100"/>
              <w:right w:type="dxa" w:w="100"/>
            </w:tcMar>
          </w:tcPr>
          <w:p>
            <w:r>
              <w:rPr>
                <w:b w:val="false"/>
                <w:bCs w:val="false"/>
                <w:sz w:val="19"/>
                <w:szCs w:val="19"/>
              </w:rPr>
              <w:t xml:space="preserve">Low (Performance)</w:t>
            </w:r>
          </w:p>
        </w:tc>
      </w:tr>
      <w:tr>
        <w:tc>
          <w:tcPr>
            <w:tcW w:type="dxa" w:w="2600"/>
            <w:shd w:fill="F3F4F6" w:val="clear"/>
            <w:tcMar>
              <w:top w:type="dxa" w:w="100"/>
              <w:left w:type="dxa" w:w="100"/>
              <w:bottom w:type="dxa" w:w="100"/>
              <w:right w:type="dxa" w:w="100"/>
            </w:tcMar>
          </w:tcPr>
          <w:p>
            <w:r>
              <w:rPr>
                <w:b/>
                <w:bCs/>
                <w:sz w:val="19"/>
                <w:szCs w:val="19"/>
              </w:rPr>
              <w:t xml:space="preserve">Page(s) / File(s)</w:t>
            </w:r>
          </w:p>
        </w:tc>
        <w:tc>
          <w:tcPr>
            <w:tcW w:type="dxa" w:w="6400"/>
            <w:tcMar>
              <w:top w:type="dxa" w:w="100"/>
              <w:left w:type="dxa" w:w="100"/>
              <w:bottom w:type="dxa" w:w="100"/>
              <w:right w:type="dxa" w:w="100"/>
            </w:tcMar>
          </w:tcPr>
          <w:p>
            <w:r>
              <w:rPr>
                <w:b w:val="false"/>
                <w:bCs w:val="false"/>
                <w:sz w:val="19"/>
                <w:szCs w:val="19"/>
              </w:rPr>
              <w:t xml:space="preserve">/images — e.g. sol1.png, partnership.png, eu-gmp.png, ser3.png, cgmp1.png, r2.png</w:t>
            </w:r>
          </w:p>
        </w:tc>
      </w:tr>
      <w:tr>
        <w:tc>
          <w:tcPr>
            <w:tcW w:type="dxa" w:w="2600"/>
            <w:shd w:fill="F3F4F6" w:val="clear"/>
            <w:tcMar>
              <w:top w:type="dxa" w:w="100"/>
              <w:left w:type="dxa" w:w="100"/>
              <w:bottom w:type="dxa" w:w="100"/>
              <w:right w:type="dxa" w:w="100"/>
            </w:tcMar>
          </w:tcPr>
          <w:p>
            <w:r>
              <w:rPr>
                <w:b/>
                <w:bCs/>
                <w:sz w:val="19"/>
                <w:szCs w:val="19"/>
              </w:rPr>
              <w:t xml:space="preserve">Category</w:t>
            </w:r>
          </w:p>
        </w:tc>
        <w:tc>
          <w:tcPr>
            <w:tcW w:type="dxa" w:w="6400"/>
            <w:tcMar>
              <w:top w:type="dxa" w:w="100"/>
              <w:left w:type="dxa" w:w="100"/>
              <w:bottom w:type="dxa" w:w="100"/>
              <w:right w:type="dxa" w:w="100"/>
            </w:tcMar>
          </w:tcPr>
          <w:p>
            <w:r>
              <w:rPr>
                <w:b w:val="false"/>
                <w:bCs w:val="false"/>
                <w:sz w:val="19"/>
                <w:szCs w:val="19"/>
              </w:rPr>
              <w:t xml:space="preserve">Performance</w:t>
            </w:r>
          </w:p>
        </w:tc>
      </w:tr>
      <w:tr>
        <w:tc>
          <w:tcPr>
            <w:tcW w:type="dxa" w:w="2600"/>
            <w:shd w:fill="F3F4F6" w:val="clear"/>
            <w:tcMar>
              <w:top w:type="dxa" w:w="100"/>
              <w:left w:type="dxa" w:w="100"/>
              <w:bottom w:type="dxa" w:w="100"/>
              <w:right w:type="dxa" w:w="100"/>
            </w:tcMar>
          </w:tcPr>
          <w:p>
            <w:r>
              <w:rPr>
                <w:b/>
                <w:bCs/>
                <w:sz w:val="19"/>
                <w:szCs w:val="19"/>
              </w:rPr>
              <w:t xml:space="preserve">Steps to Reproduce</w:t>
            </w:r>
          </w:p>
        </w:tc>
        <w:tc>
          <w:tcPr>
            <w:tcW w:type="dxa" w:w="6400"/>
            <w:tcMar>
              <w:top w:type="dxa" w:w="100"/>
              <w:left w:type="dxa" w:w="100"/>
              <w:bottom w:type="dxa" w:w="100"/>
              <w:right w:type="dxa" w:w="100"/>
            </w:tcMar>
          </w:tcPr>
          <w:p>
            <w:r>
              <w:rPr>
                <w:b w:val="false"/>
                <w:bCs w:val="false"/>
                <w:sz w:val="19"/>
                <w:szCs w:val="19"/>
              </w:rPr>
              <w:t xml:space="preserve">1. Open the /images directory and sort by file size
2. Inspect the largest files with a file-type tool — they report as "PNG image data, ...8-bit/color RGBA"
3. Compare rendered dimensions (roughly 450–975px wide) against file size (400–830 KB each)</w:t>
            </w:r>
          </w:p>
        </w:tc>
      </w:tr>
      <w:tr>
        <w:tc>
          <w:tcPr>
            <w:tcW w:type="dxa" w:w="2600"/>
            <w:shd w:fill="F3F4F6" w:val="clear"/>
            <w:tcMar>
              <w:top w:type="dxa" w:w="100"/>
              <w:left w:type="dxa" w:w="100"/>
              <w:bottom w:type="dxa" w:w="100"/>
              <w:right w:type="dxa" w:w="100"/>
            </w:tcMar>
          </w:tcPr>
          <w:p>
            <w:r>
              <w:rPr>
                <w:b/>
                <w:bCs/>
                <w:sz w:val="19"/>
                <w:szCs w:val="19"/>
              </w:rPr>
              <w:t xml:space="preserve">Expected Result</w:t>
            </w:r>
          </w:p>
        </w:tc>
        <w:tc>
          <w:tcPr>
            <w:tcW w:type="dxa" w:w="6400"/>
            <w:tcMar>
              <w:top w:type="dxa" w:w="100"/>
              <w:left w:type="dxa" w:w="100"/>
              <w:bottom w:type="dxa" w:w="100"/>
              <w:right w:type="dxa" w:w="100"/>
            </w:tcMar>
          </w:tcPr>
          <w:p>
            <w:r>
              <w:rPr>
                <w:b w:val="false"/>
                <w:bCs w:val="false"/>
                <w:sz w:val="19"/>
                <w:szCs w:val="19"/>
              </w:rPr>
              <w:t xml:space="preserve">Photographic content delivered at web-appropriate compression (WebP or optimized JPEG), typically well under 100–150 KB at these dimensions.</w:t>
            </w:r>
          </w:p>
        </w:tc>
      </w:tr>
      <w:tr>
        <w:tc>
          <w:tcPr>
            <w:tcW w:type="dxa" w:w="2600"/>
            <w:shd w:fill="F3F4F6" w:val="clear"/>
            <w:tcMar>
              <w:top w:type="dxa" w:w="100"/>
              <w:left w:type="dxa" w:w="100"/>
              <w:bottom w:type="dxa" w:w="100"/>
              <w:right w:type="dxa" w:w="100"/>
            </w:tcMar>
          </w:tcPr>
          <w:p>
            <w:r>
              <w:rPr>
                <w:b/>
                <w:bCs/>
                <w:sz w:val="19"/>
                <w:szCs w:val="19"/>
              </w:rPr>
              <w:t xml:space="preserve">Actual Result</w:t>
            </w:r>
          </w:p>
        </w:tc>
        <w:tc>
          <w:tcPr>
            <w:tcW w:type="dxa" w:w="6400"/>
            <w:tcMar>
              <w:top w:type="dxa" w:w="100"/>
              <w:left w:type="dxa" w:w="100"/>
              <w:bottom w:type="dxa" w:w="100"/>
              <w:right w:type="dxa" w:w="100"/>
            </w:tcMar>
          </w:tcPr>
          <w:p>
            <w:r>
              <w:rPr>
                <w:b w:val="false"/>
                <w:bCs w:val="false"/>
                <w:sz w:val="19"/>
                <w:szCs w:val="19"/>
              </w:rPr>
              <w:t xml:space="preserve">Multiple photographic images are stored as uncompressed RGBA PNGs. A sample of 6 files (sol1.png, partnership.png, eu-gmp.png, ser3.png, cgmp1.png, r2.png) totals 3.77 MB. Re-encoding the same files as WebP at quality 80 produced visually identical results at 183 KB total — a 95% reduction.</w:t>
            </w:r>
          </w:p>
        </w:tc>
      </w:tr>
      <w:tr>
        <w:tc>
          <w:tcPr>
            <w:tcW w:type="dxa" w:w="2600"/>
            <w:shd w:fill="F3F4F6" w:val="clear"/>
            <w:tcMar>
              <w:top w:type="dxa" w:w="100"/>
              <w:left w:type="dxa" w:w="100"/>
              <w:bottom w:type="dxa" w:w="100"/>
              <w:right w:type="dxa" w:w="100"/>
            </w:tcMar>
          </w:tcPr>
          <w:p>
            <w:r>
              <w:rPr>
                <w:b/>
                <w:bCs/>
                <w:sz w:val="19"/>
                <w:szCs w:val="19"/>
              </w:rPr>
              <w:t xml:space="preserve">Business Impact</w:t>
            </w:r>
          </w:p>
        </w:tc>
        <w:tc>
          <w:tcPr>
            <w:tcW w:type="dxa" w:w="6400"/>
            <w:tcMar>
              <w:top w:type="dxa" w:w="100"/>
              <w:left w:type="dxa" w:w="100"/>
              <w:bottom w:type="dxa" w:w="100"/>
              <w:right w:type="dxa" w:w="100"/>
            </w:tcMar>
          </w:tcPr>
          <w:p>
            <w:r>
              <w:rPr>
                <w:b w:val="false"/>
                <w:bCs w:val="false"/>
                <w:sz w:val="19"/>
                <w:szCs w:val="19"/>
              </w:rPr>
              <w:t xml:space="preserve">Unnecessarily large images slow first load, particularly on mobile networks, and directly hurt Core Web Vitals metrics such as Largest Contentful Paint (LCP), which can affect both user experience and search ranking.</w:t>
            </w:r>
          </w:p>
        </w:tc>
      </w:tr>
      <w:tr>
        <w:tc>
          <w:tcPr>
            <w:tcW w:type="dxa" w:w="2600"/>
            <w:shd w:fill="F3F4F6" w:val="clear"/>
            <w:tcMar>
              <w:top w:type="dxa" w:w="100"/>
              <w:left w:type="dxa" w:w="100"/>
              <w:bottom w:type="dxa" w:w="100"/>
              <w:right w:type="dxa" w:w="100"/>
            </w:tcMar>
          </w:tcPr>
          <w:p>
            <w:r>
              <w:rPr>
                <w:b/>
                <w:bCs/>
                <w:sz w:val="19"/>
                <w:szCs w:val="19"/>
              </w:rPr>
              <w:t xml:space="preserve">Recommended Fix</w:t>
            </w:r>
          </w:p>
        </w:tc>
        <w:tc>
          <w:tcPr>
            <w:tcW w:type="dxa" w:w="6400"/>
            <w:tcMar>
              <w:top w:type="dxa" w:w="100"/>
              <w:left w:type="dxa" w:w="100"/>
              <w:bottom w:type="dxa" w:w="100"/>
              <w:right w:type="dxa" w:w="100"/>
            </w:tcMar>
          </w:tcPr>
          <w:p>
            <w:r>
              <w:rPr>
                <w:b w:val="false"/>
                <w:bCs w:val="false"/>
                <w:sz w:val="19"/>
                <w:szCs w:val="19"/>
              </w:rPr>
              <w:t xml:space="preserve">Batch-convert photographic images to WebP (with a JPEG fallback via the &lt;picture&gt; element if older-browser support is a concern). A ready-to-run conversion script (optimize_images.py) is provided alongside this report.</w:t>
            </w:r>
          </w:p>
        </w:tc>
      </w:tr>
    </w:tbl>
    <w:p>
      <w:pPr>
        <w:spacing w:after="200"/>
      </w:pPr>
    </w:p>
    <w:p>
      <w:pPr>
        <w:pStyle w:val="Heading2"/>
        <w:spacing w:after="120" w:before="250"/>
      </w:pPr>
      <w:r>
        <w:t xml:space="preserve">Informational — Areas that passed with no defects</w:t>
      </w:r>
    </w:p>
    <w:p>
      <w:pPr>
        <w:spacing w:after="120"/>
      </w:pPr>
      <w:r>
        <w:t xml:space="preserve">The following were tested and passed cleanly across all 11 pages, and are called out because they reflect deliberate, correct implementation rather than an absence of testing:</w:t>
      </w:r>
    </w:p>
    <w:p>
      <w:pPr>
        <w:pStyle w:val="ListParagraph"/>
        <w:numPr>
          <w:ilvl w:val="0"/>
          <w:numId w:val="1"/>
        </w:numPr>
        <w:spacing w:after="60"/>
      </w:pPr>
      <w:r>
        <w:t xml:space="preserve">Zero broken internal links and zero broken image references (automated crawl of every &lt;a href&gt; and &lt;img src&gt;)</w:t>
      </w:r>
    </w:p>
    <w:p>
      <w:pPr>
        <w:pStyle w:val="ListParagraph"/>
        <w:numPr>
          <w:ilvl w:val="0"/>
          <w:numId w:val="1"/>
        </w:numPr>
        <w:spacing w:after="60"/>
      </w:pPr>
      <w:r>
        <w:t xml:space="preserve">Every &lt;img&gt; has meaningful alt text</w:t>
      </w:r>
    </w:p>
    <w:p>
      <w:pPr>
        <w:pStyle w:val="ListParagraph"/>
        <w:numPr>
          <w:ilvl w:val="0"/>
          <w:numId w:val="1"/>
        </w:numPr>
        <w:spacing w:after="60"/>
      </w:pPr>
      <w:r>
        <w:t xml:space="preserve">Every page has a unique &lt;title&gt;, a meta description, a correct canonical tag, and a viewport meta tag</w:t>
      </w:r>
    </w:p>
    <w:p>
      <w:pPr>
        <w:pStyle w:val="ListParagraph"/>
        <w:numPr>
          <w:ilvl w:val="0"/>
          <w:numId w:val="1"/>
        </w:numPr>
        <w:spacing w:after="60"/>
      </w:pPr>
      <w:r>
        <w:t xml:space="preserve">Consistent DOCTYPE, lang="en", and UTF-8 charset declaration on all 11 pages</w:t>
      </w:r>
    </w:p>
    <w:p>
      <w:pPr>
        <w:pStyle w:val="ListParagraph"/>
        <w:numPr>
          <w:ilvl w:val="0"/>
          <w:numId w:val="1"/>
        </w:numPr>
        <w:spacing w:after="60"/>
      </w:pPr>
      <w:r>
        <w:t xml:space="preserve">External links opened with target="_blank" correctly pair it with rel="noopener noreferrer" (tabnabbing protection)</w:t>
      </w:r>
    </w:p>
    <w:p>
      <w:pPr>
        <w:pStyle w:val="ListParagraph"/>
        <w:numPr>
          <w:ilvl w:val="0"/>
          <w:numId w:val="1"/>
        </w:numPr>
        <w:spacing w:after="60"/>
      </w:pPr>
      <w:r>
        <w:t xml:space="preserve">sitemap.xml and robots.txt accurately reflect the 11 live pages</w:t>
      </w:r>
    </w:p>
    <w:p>
      <w:pPr>
        <w:pStyle w:val="ListParagraph"/>
        <w:numPr>
          <w:ilvl w:val="0"/>
          <w:numId w:val="1"/>
        </w:numPr>
        <w:spacing w:after="60"/>
      </w:pPr>
      <w:r>
        <w:t xml:space="preserve">Contact details (phone, WhatsApp, email) are consistent across every page they appear on</w:t>
      </w:r>
    </w:p>
    <w:p>
      <w:pPr>
        <w:pStyle w:val="Heading1"/>
        <w:spacing w:after="150" w:before="300"/>
      </w:pPr>
      <w:r>
        <w:t xml:space="preserve">4. Recommendations &amp; Priority</w:t>
      </w:r>
    </w:p>
    <w:p>
      <w:pPr>
        <w:pStyle w:val="ListParagraph"/>
        <w:numPr>
          <w:ilvl w:val="0"/>
          <w:numId w:val="1"/>
        </w:numPr>
        <w:spacing w:after="60"/>
      </w:pPr>
      <w:r>
        <w:t xml:space="preserve">P1 (before launch / immediately): Fix BUG-001. A non-functional contact form silently defeats the purpose of the website.</w:t>
      </w:r>
    </w:p>
    <w:p>
      <w:pPr>
        <w:pStyle w:val="ListParagraph"/>
        <w:numPr>
          <w:ilvl w:val="0"/>
          <w:numId w:val="1"/>
        </w:numPr>
        <w:spacing w:after="60"/>
      </w:pPr>
      <w:r>
        <w:t xml:space="preserve">P2 (next sprint): Fix BUG-002 for brand polish and consistency.</w:t>
      </w:r>
    </w:p>
    <w:p>
      <w:pPr>
        <w:pStyle w:val="ListParagraph"/>
        <w:numPr>
          <w:ilvl w:val="0"/>
          <w:numId w:val="1"/>
        </w:numPr>
        <w:spacing w:after="60"/>
      </w:pPr>
      <w:r>
        <w:t xml:space="preserve">P3 (ongoing): Apply BUG-003's image optimization; consider adding this as a build-time step (e.g. an image-optimization script or pipeline) so future uploads default to compressed formats.</w:t>
      </w:r>
    </w:p>
    <w:p>
      <w:pPr>
        <w:pStyle w:val="ListParagraph"/>
        <w:numPr>
          <w:ilvl w:val="0"/>
          <w:numId w:val="1"/>
        </w:numPr>
        <w:spacing w:after="60"/>
      </w:pPr>
      <w:r>
        <w:t xml:space="preserve">Process suggestion: add a lightweight smoke test (manual or automated) that actually verifies a test submission arrives in the Formspree inbox before each deploy, so a regression like BUG-001 cannot ship unnoticed again.</w:t>
      </w:r>
    </w:p>
    <w:p>
      <w:pPr>
        <w:pStyle w:val="Heading1"/>
        <w:spacing w:after="150" w:before="300"/>
      </w:pPr>
      <w:r>
        <w:t xml:space="preserve">5. Attachments</w:t>
      </w:r>
    </w:p>
    <w:p>
      <w:pPr>
        <w:pStyle w:val="ListParagraph"/>
        <w:numPr>
          <w:ilvl w:val="0"/>
          <w:numId w:val="1"/>
        </w:numPr>
        <w:spacing w:after="60"/>
      </w:pPr>
      <w:r>
        <w:t xml:space="preserve">EuroGMP_Bug_Tracker.xlsx — full bug log in spreadsheet form, with a summary tab</w:t>
      </w:r>
    </w:p>
    <w:p>
      <w:pPr>
        <w:pStyle w:val="ListParagraph"/>
        <w:numPr>
          <w:ilvl w:val="0"/>
          <w:numId w:val="1"/>
        </w:numPr>
        <w:spacing w:after="60"/>
      </w:pPr>
      <w:r>
        <w:t xml:space="preserve">site.js (fixed) — corrected contact form submission logic</w:t>
      </w:r>
    </w:p>
    <w:p>
      <w:pPr>
        <w:pStyle w:val="ListParagraph"/>
        <w:numPr>
          <w:ilvl w:val="0"/>
          <w:numId w:val="1"/>
        </w:numPr>
        <w:spacing w:after="60"/>
      </w:pPr>
      <w:r>
        <w:t xml:space="preserve">optimize_images.py — batch image compression script (PNG/JPEG → WebP)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2026-09-27T13:24:37.135Z</dcterms:created>
  <dcterms:modified xsi:type="dcterms:W3CDTF">2026-09-27T13:24:37.144Z</dcterms:modified>
</cp:coreProperties>
</file>

<file path=docProps/custom.xml><?xml version="1.0" encoding="utf-8"?>
<Properties xmlns="http://schemas.openxmlformats.org/officeDocument/2006/custom-properties" xmlns:vt="http://schemas.openxmlformats.org/officeDocument/2006/docPropsVTypes"/>
</file>