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Open Sans" w:cs="Open Sans" w:eastAsia="Open Sans" w:hAnsi="Open Sans"/>
          <w:sz w:val="40"/>
          <w:szCs w:val="40"/>
        </w:rPr>
      </w:pPr>
      <w:r w:rsidDel="00000000" w:rsidR="00000000" w:rsidRPr="00000000">
        <w:rPr>
          <w:rFonts w:ascii="Open Sans" w:cs="Open Sans" w:eastAsia="Open Sans" w:hAnsi="Open Sans"/>
          <w:sz w:val="40"/>
          <w:szCs w:val="40"/>
        </w:rPr>
        <w:drawing>
          <wp:inline distB="114300" distT="114300" distL="114300" distR="114300">
            <wp:extent cx="573120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Open Sans" w:cs="Open Sans" w:eastAsia="Open Sans" w:hAnsi="Open Sans"/>
          <w:sz w:val="48"/>
          <w:szCs w:val="48"/>
        </w:rPr>
      </w:pPr>
      <w:r w:rsidDel="00000000" w:rsidR="00000000" w:rsidRPr="00000000">
        <w:rPr>
          <w:rFonts w:ascii="Open Sans" w:cs="Open Sans" w:eastAsia="Open Sans" w:hAnsi="Open Sans"/>
          <w:b w:val="1"/>
          <w:sz w:val="48"/>
          <w:szCs w:val="48"/>
          <w:rtl w:val="0"/>
        </w:rPr>
        <w:t xml:space="preserve">Biomakespace COSHH Assessment – Transformation of Yeast</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Fonts w:ascii="Arial" w:cs="Arial" w:eastAsia="Arial" w:hAnsi="Arial"/>
          <w:rtl w:val="0"/>
        </w:rPr>
        <w:t xml:space="preserve">Important: Please complete this after reading the </w:t>
      </w:r>
      <w:hyperlink r:id="rId7">
        <w:r w:rsidDel="00000000" w:rsidR="00000000" w:rsidRPr="00000000">
          <w:rPr>
            <w:rFonts w:ascii="Arial" w:cs="Arial" w:eastAsia="Arial" w:hAnsi="Arial"/>
            <w:color w:val="1155cc"/>
            <w:u w:val="single"/>
            <w:rtl w:val="0"/>
          </w:rPr>
          <w:t xml:space="preserve">BMS15 Chemical Safety Policy</w:t>
        </w:r>
      </w:hyperlink>
      <w:r w:rsidDel="00000000" w:rsidR="00000000" w:rsidRPr="00000000">
        <w:rPr>
          <w:rFonts w:ascii="Arial" w:cs="Arial" w:eastAsia="Arial" w:hAnsi="Arial"/>
          <w:rtl w:val="0"/>
        </w:rPr>
        <w:t xml:space="preserve"> and any other </w:t>
      </w:r>
      <w:hyperlink r:id="rId8">
        <w:r w:rsidDel="00000000" w:rsidR="00000000" w:rsidRPr="00000000">
          <w:rPr>
            <w:rFonts w:ascii="Arial" w:cs="Arial" w:eastAsia="Arial" w:hAnsi="Arial"/>
            <w:color w:val="1155cc"/>
            <w:u w:val="single"/>
            <w:rtl w:val="0"/>
          </w:rPr>
          <w:t xml:space="preserve">relevant safety policies</w:t>
        </w:r>
      </w:hyperlink>
      <w:r w:rsidDel="00000000" w:rsidR="00000000" w:rsidRPr="00000000">
        <w:rPr>
          <w:rFonts w:ascii="Arial" w:cs="Arial" w:eastAsia="Arial" w:hAnsi="Arial"/>
          <w:rtl w:val="0"/>
        </w:rPr>
        <w:t xml:space="preserve">.</w:t>
      </w:r>
    </w:p>
    <w:p w:rsidR="00000000" w:rsidDel="00000000" w:rsidP="00000000" w:rsidRDefault="00000000" w:rsidRPr="00000000" w14:paraId="00000005">
      <w:pPr>
        <w:widowControl w:val="0"/>
        <w:spacing w:after="0" w:lineRule="auto"/>
        <w:rPr>
          <w:rFonts w:ascii="Arial" w:cs="Arial" w:eastAsia="Arial" w:hAnsi="Arial"/>
        </w:rPr>
      </w:pPr>
      <w:r w:rsidDel="00000000" w:rsidR="00000000" w:rsidRPr="00000000">
        <w:rPr>
          <w:rtl w:val="0"/>
        </w:rPr>
      </w:r>
    </w:p>
    <w:tbl>
      <w:tblPr>
        <w:tblStyle w:val="Table1"/>
        <w:tblW w:w="943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5"/>
        <w:gridCol w:w="4890"/>
        <w:tblGridChange w:id="0">
          <w:tblGrid>
            <w:gridCol w:w="4545"/>
            <w:gridCol w:w="4890"/>
          </w:tblGrid>
        </w:tblGridChange>
      </w:tblGrid>
      <w:tr>
        <w:tc>
          <w:tcPr>
            <w:shd w:fill="d9d9d9" w:val="clear"/>
          </w:tcPr>
          <w:p w:rsidR="00000000" w:rsidDel="00000000" w:rsidP="00000000" w:rsidRDefault="00000000" w:rsidRPr="00000000" w14:paraId="00000006">
            <w:pPr>
              <w:spacing w:after="0" w:line="240" w:lineRule="auto"/>
              <w:rPr/>
            </w:pPr>
            <w:r w:rsidDel="00000000" w:rsidR="00000000" w:rsidRPr="00000000">
              <w:rPr>
                <w:b w:val="1"/>
                <w:rtl w:val="0"/>
              </w:rPr>
              <w:t xml:space="preserve">Chemical</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i w:val="1"/>
                <w:rtl w:val="0"/>
              </w:rPr>
              <w:t xml:space="preserve">Or biological agent</w:t>
            </w:r>
            <w:r w:rsidDel="00000000" w:rsidR="00000000" w:rsidRPr="00000000">
              <w:rPr>
                <w:rtl w:val="0"/>
              </w:rPr>
            </w:r>
          </w:p>
        </w:tc>
        <w:tc>
          <w:tcPr>
            <w:shd w:fill="d9d9d9" w:val="clear"/>
          </w:tcPr>
          <w:p w:rsidR="00000000" w:rsidDel="00000000" w:rsidP="00000000" w:rsidRDefault="00000000" w:rsidRPr="00000000" w14:paraId="00000008">
            <w:pPr>
              <w:spacing w:after="0" w:line="240" w:lineRule="auto"/>
              <w:rPr/>
            </w:pPr>
            <w:r w:rsidDel="00000000" w:rsidR="00000000" w:rsidRPr="00000000">
              <w:rPr>
                <w:b w:val="1"/>
                <w:rtl w:val="0"/>
              </w:rPr>
              <w:t xml:space="preserve">Chemical risk and hazard categories (R-phrases) Hazard and Work Place Exposure Limits (WEL)</w:t>
            </w:r>
            <w:r w:rsidDel="00000000" w:rsidR="00000000" w:rsidRPr="00000000">
              <w:rPr>
                <w:rtl w:val="0"/>
              </w:rPr>
            </w:r>
          </w:p>
        </w:tc>
      </w:tr>
      <w:tr>
        <w:tc>
          <w:tcPr/>
          <w:p w:rsidR="00000000" w:rsidDel="00000000" w:rsidP="00000000" w:rsidRDefault="00000000" w:rsidRPr="00000000" w14:paraId="00000009">
            <w:pPr>
              <w:spacing w:after="180" w:before="180" w:line="276" w:lineRule="auto"/>
              <w:rPr/>
            </w:pPr>
            <w:r w:rsidDel="00000000" w:rsidR="00000000" w:rsidRPr="00000000">
              <w:rPr>
                <w:rtl w:val="0"/>
              </w:rPr>
              <w:t xml:space="preserve">YPD media (broth)</w:t>
              <w:br w:type="textWrapping"/>
              <w:br w:type="textWrapping"/>
              <w:br w:type="textWrapping"/>
              <w:t xml:space="preserve">YPD plates (agar)</w:t>
              <w:br w:type="textWrapping"/>
              <w:br w:type="textWrapping"/>
              <w:br w:type="textWrapping"/>
              <w:t xml:space="preserve">Kanamycin Solution (in broth or plates)</w:t>
              <w:br w:type="textWrapping"/>
              <w:br w:type="textWrapping"/>
              <w:br w:type="textWrapping"/>
              <w:t xml:space="preserve">Minimal Yeast Media, supplemented with sugars and to exclude 1 nutrient (e.g. Ura-) (agar)</w:t>
              <w:br w:type="textWrapping"/>
              <w:br w:type="textWrapping"/>
              <w:br w:type="textWrapping"/>
              <w:t xml:space="preserve">50 % PEG-4000</w:t>
              <w:br w:type="textWrapping"/>
              <w:br w:type="textWrapping"/>
              <w:br w:type="textWrapping"/>
              <w:t xml:space="preserve">1 M / 0.1 M LiOAc</w:t>
              <w:br w:type="textWrapping"/>
              <w:br w:type="textWrapping"/>
              <w:br w:type="textWrapping"/>
              <w:t xml:space="preserve">Salmon Sperm DNA (10 mg/mL)</w:t>
              <w:br w:type="textWrapping"/>
              <w:br w:type="textWrapping"/>
              <w:br w:type="textWrapping"/>
              <w:t xml:space="preserve">pWS2081 DNA</w:t>
              <w:br w:type="textWrapping"/>
              <w:br w:type="textWrapping"/>
              <w:br w:type="textWrapping"/>
              <w:t xml:space="preserve">gWS153 DNA</w:t>
              <w:br w:type="textWrapping"/>
              <w:br w:type="textWrapping"/>
              <w:br w:type="textWrapping"/>
              <w:t xml:space="preserve">BbsI restriction enzyme (NEB)</w:t>
              <w:br w:type="textWrapping"/>
              <w:br w:type="textWrapping"/>
              <w:br w:type="textWrapping"/>
              <w:t xml:space="preserve">Restriction enzyme buffer (from manufacturer - NEB buffer 2.1)</w:t>
              <w:br w:type="textWrapping"/>
              <w:br w:type="textWrapping"/>
              <w:br w:type="textWrapping"/>
              <w:t xml:space="preserve">70% ethanol (required to sterilise Class II microbiological safety cabinet, if used.)</w:t>
            </w:r>
          </w:p>
        </w:tc>
        <w:tc>
          <w:tcPr/>
          <w:p w:rsidR="00000000" w:rsidDel="00000000" w:rsidP="00000000" w:rsidRDefault="00000000" w:rsidRPr="00000000" w14:paraId="0000000A">
            <w:pPr>
              <w:spacing w:after="0" w:line="276" w:lineRule="auto"/>
              <w:rPr/>
            </w:pPr>
            <w:r w:rsidDel="00000000" w:rsidR="00000000" w:rsidRPr="00000000">
              <w:rPr>
                <w:rtl w:val="0"/>
              </w:rPr>
              <w:t xml:space="preserve">None</w:t>
              <w:br w:type="textWrapping"/>
              <w:br w:type="textWrapping"/>
            </w:r>
          </w:p>
          <w:p w:rsidR="00000000" w:rsidDel="00000000" w:rsidP="00000000" w:rsidRDefault="00000000" w:rsidRPr="00000000" w14:paraId="0000000B">
            <w:pPr>
              <w:spacing w:after="0" w:line="276" w:lineRule="auto"/>
              <w:rPr/>
            </w:pPr>
            <w:r w:rsidDel="00000000" w:rsidR="00000000" w:rsidRPr="00000000">
              <w:rPr>
                <w:rtl w:val="0"/>
              </w:rPr>
              <w:t xml:space="preserve">None</w:t>
              <w:br w:type="textWrapping"/>
              <w:br w:type="textWrapping"/>
              <w:br w:type="textWrapping"/>
              <w:t xml:space="preserve">H360 – may damage to fertility or unborn child </w:t>
            </w:r>
          </w:p>
          <w:p w:rsidR="00000000" w:rsidDel="00000000" w:rsidP="00000000" w:rsidRDefault="00000000" w:rsidRPr="00000000" w14:paraId="0000000C">
            <w:pPr>
              <w:spacing w:line="276" w:lineRule="auto"/>
              <w:rPr/>
            </w:pPr>
            <w:r w:rsidDel="00000000" w:rsidR="00000000" w:rsidRPr="00000000">
              <w:rPr>
                <w:rtl w:val="0"/>
              </w:rPr>
              <w:t xml:space="preserve">R61 – may cause harm to unborn child</w:t>
              <w:br w:type="textWrapping"/>
              <w:br w:type="textWrapping"/>
              <w:t xml:space="preserve">None</w:t>
              <w:br w:type="textWrapping"/>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t xml:space="preserve">None</w:t>
              <w:br w:type="textWrapping"/>
              <w:br w:type="textWrapping"/>
              <w:br w:type="textWrapping"/>
              <w:br w:type="textWrapping"/>
              <w:t xml:space="preserve">H225 Highly flammable liquid and vapour.</w:t>
              <w:br w:type="textWrapping"/>
              <w:t xml:space="preserve">H319 Causes serious eye irritation</w:t>
              <w:br w:type="textWrapping"/>
              <w:t xml:space="preserve">EH40 WEL 1,000 ppm 1,920 mg/m3 (for 100%; this is mitigated in 70%)</w:t>
            </w:r>
          </w:p>
        </w:tc>
      </w:tr>
      <w:tr>
        <w:tc>
          <w:tcPr>
            <w:gridSpan w:val="2"/>
            <w:shd w:fill="d9d9d9" w:val="clear"/>
          </w:tcPr>
          <w:p w:rsidR="00000000" w:rsidDel="00000000" w:rsidP="00000000" w:rsidRDefault="00000000" w:rsidRPr="00000000" w14:paraId="0000000D">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0F">
            <w:pPr>
              <w:spacing w:after="0" w:line="240" w:lineRule="auto"/>
              <w:rPr>
                <w:b w:val="1"/>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b w:val="1"/>
                <w:rtl w:val="0"/>
              </w:rPr>
              <w:t xml:space="preserve">Control Measures </w:t>
            </w:r>
            <w:r w:rsidDel="00000000" w:rsidR="00000000" w:rsidRPr="00000000">
              <w:rPr>
                <w:rtl w:val="0"/>
              </w:rPr>
              <w:t xml:space="preserve">[</w:t>
            </w:r>
            <w:r w:rsidDel="00000000" w:rsidR="00000000" w:rsidRPr="00000000">
              <w:rPr>
                <w:i w:val="1"/>
                <w:rtl w:val="0"/>
              </w:rPr>
              <w:t xml:space="preserve">Fume Cupboard, glove box, safety cabinet, local exhaust ventilation</w:t>
            </w:r>
            <w:r w:rsidDel="00000000" w:rsidR="00000000" w:rsidRPr="00000000">
              <w:rPr>
                <w:rtl w:val="0"/>
              </w:rPr>
              <w:t xml:space="preserve">]</w:t>
            </w:r>
          </w:p>
          <w:p w:rsidR="00000000" w:rsidDel="00000000" w:rsidP="00000000" w:rsidRDefault="00000000" w:rsidRPr="00000000" w14:paraId="00000011">
            <w:pPr>
              <w:spacing w:after="0" w:line="240" w:lineRule="auto"/>
              <w:rPr/>
            </w:pPr>
            <w:r w:rsidDel="00000000" w:rsidR="00000000" w:rsidRPr="00000000">
              <w:rPr>
                <w:rtl w:val="0"/>
              </w:rPr>
              <w:t xml:space="preserve">No requirement for specific control measures, use in well-ventilated space with standard PPE.</w:t>
            </w:r>
          </w:p>
          <w:p w:rsidR="00000000" w:rsidDel="00000000" w:rsidP="00000000" w:rsidRDefault="00000000" w:rsidRPr="00000000" w14:paraId="00000012">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14">
            <w:pPr>
              <w:spacing w:after="0" w:line="240" w:lineRule="auto"/>
              <w:rPr/>
            </w:pPr>
            <w:r w:rsidDel="00000000" w:rsidR="00000000" w:rsidRPr="00000000">
              <w:rPr>
                <w:b w:val="1"/>
                <w:rtl w:val="0"/>
              </w:rPr>
              <w:t xml:space="preserve">Flammables and explosives</w:t>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b w:val="1"/>
              </w:rPr>
            </w:pPr>
            <w:r w:rsidDel="00000000" w:rsidR="00000000" w:rsidRPr="00000000">
              <w:rPr>
                <w:i w:val="1"/>
                <w:rtl w:val="0"/>
              </w:rPr>
              <w:t xml:space="preserve">Is there a substance used or formed that might give rise to a fire or explosion?</w:t>
            </w:r>
            <w:r w:rsidDel="00000000" w:rsidR="00000000" w:rsidRPr="00000000">
              <w:rPr>
                <w:rtl w:val="0"/>
              </w:rPr>
              <w:t xml:space="preserve">                         </w:t>
            </w:r>
            <w:r w:rsidDel="00000000" w:rsidR="00000000" w:rsidRPr="00000000">
              <w:rPr>
                <w:b w:val="1"/>
                <w:rtl w:val="0"/>
              </w:rPr>
              <w:t xml:space="preserve">Yes</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i w:val="1"/>
                <w:rtl w:val="0"/>
              </w:rPr>
              <w:t xml:space="preserve">70% ethanol used to clean sterile hood. Store in flammables cabinet when not in use, expose to no spark / open flame risks, and use small diluted quantities.</w:t>
            </w: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1B">
            <w:pPr>
              <w:spacing w:after="0" w:line="240" w:lineRule="auto"/>
              <w:rPr/>
            </w:pPr>
            <w:r w:rsidDel="00000000" w:rsidR="00000000" w:rsidRPr="00000000">
              <w:rPr>
                <w:b w:val="1"/>
                <w:rtl w:val="0"/>
              </w:rPr>
              <w:t xml:space="preserve">Personal Protective Equipment  </w:t>
            </w:r>
            <w:r w:rsidDel="00000000" w:rsidR="00000000" w:rsidRPr="00000000">
              <w:rPr>
                <w:rtl w:val="0"/>
              </w:rPr>
              <w:t xml:space="preserve">[</w:t>
            </w:r>
            <w:r w:rsidDel="00000000" w:rsidR="00000000" w:rsidRPr="00000000">
              <w:rPr>
                <w:i w:val="1"/>
                <w:rtl w:val="0"/>
              </w:rPr>
              <w:t xml:space="preserve">Lab coat/overalls, gloves, eye/hearing/respiratory protection</w:t>
            </w:r>
            <w:r w:rsidDel="00000000" w:rsidR="00000000" w:rsidRPr="00000000">
              <w:rPr>
                <w:rtl w:val="0"/>
              </w:rPr>
              <w:t xml:space="preserve">]</w:t>
            </w:r>
          </w:p>
          <w:p w:rsidR="00000000" w:rsidDel="00000000" w:rsidP="00000000" w:rsidRDefault="00000000" w:rsidRPr="00000000" w14:paraId="0000001C">
            <w:pPr>
              <w:spacing w:after="0" w:line="240" w:lineRule="auto"/>
              <w:rPr/>
            </w:pPr>
            <w:r w:rsidDel="00000000" w:rsidR="00000000" w:rsidRPr="00000000">
              <w:rPr>
                <w:rtl w:val="0"/>
              </w:rPr>
              <w:t xml:space="preserve">Use of lab coat, gloves and safety glasses while handling chemicals and biological material. </w:t>
            </w:r>
          </w:p>
        </w:tc>
      </w:tr>
      <w:tr>
        <w:tc>
          <w:tcPr>
            <w:gridSpan w:val="2"/>
          </w:tcPr>
          <w:p w:rsidR="00000000" w:rsidDel="00000000" w:rsidP="00000000" w:rsidRDefault="00000000" w:rsidRPr="00000000" w14:paraId="0000001E">
            <w:pPr>
              <w:spacing w:after="0" w:line="240" w:lineRule="auto"/>
              <w:rPr/>
            </w:pPr>
            <w:r w:rsidDel="00000000" w:rsidR="00000000" w:rsidRPr="00000000">
              <w:rPr>
                <w:b w:val="1"/>
                <w:rtl w:val="0"/>
              </w:rPr>
              <w:t xml:space="preserve">Monitoring </w:t>
            </w:r>
            <w:r w:rsidDel="00000000" w:rsidR="00000000" w:rsidRPr="00000000">
              <w:rPr>
                <w:rtl w:val="0"/>
              </w:rPr>
              <w:t xml:space="preserve">[</w:t>
            </w:r>
            <w:r w:rsidDel="00000000" w:rsidR="00000000" w:rsidRPr="00000000">
              <w:rPr>
                <w:i w:val="1"/>
                <w:rtl w:val="0"/>
              </w:rPr>
              <w:t xml:space="preserve">Chemical, gas, oxygen depletion etc.</w:t>
            </w:r>
            <w:r w:rsidDel="00000000" w:rsidR="00000000" w:rsidRPr="00000000">
              <w:rPr>
                <w:rtl w:val="0"/>
              </w:rPr>
              <w:t xml:space="preserve">]</w:t>
            </w:r>
          </w:p>
          <w:p w:rsidR="00000000" w:rsidDel="00000000" w:rsidP="00000000" w:rsidRDefault="00000000" w:rsidRPr="00000000" w14:paraId="0000001F">
            <w:pPr>
              <w:spacing w:after="0" w:line="240" w:lineRule="auto"/>
              <w:rPr/>
            </w:pPr>
            <w:r w:rsidDel="00000000" w:rsidR="00000000" w:rsidRPr="00000000">
              <w:rPr>
                <w:rtl w:val="0"/>
              </w:rPr>
              <w:t xml:space="preserve">None</w:t>
            </w:r>
          </w:p>
        </w:tc>
      </w:tr>
      <w:tr>
        <w:tc>
          <w:tcPr>
            <w:gridSpan w:val="2"/>
          </w:tcPr>
          <w:p w:rsidR="00000000" w:rsidDel="00000000" w:rsidP="00000000" w:rsidRDefault="00000000" w:rsidRPr="00000000" w14:paraId="00000021">
            <w:pPr>
              <w:spacing w:after="0" w:line="240" w:lineRule="auto"/>
              <w:rPr/>
            </w:pPr>
            <w:r w:rsidDel="00000000" w:rsidR="00000000" w:rsidRPr="00000000">
              <w:rPr>
                <w:b w:val="1"/>
                <w:rtl w:val="0"/>
              </w:rPr>
              <w:t xml:space="preserve">Health surveillance required </w:t>
            </w:r>
            <w:r w:rsidDel="00000000" w:rsidR="00000000" w:rsidRPr="00000000">
              <w:rPr>
                <w:rtl w:val="0"/>
              </w:rPr>
              <w:t xml:space="preserve">[</w:t>
            </w:r>
            <w:r w:rsidDel="00000000" w:rsidR="00000000" w:rsidRPr="00000000">
              <w:rPr>
                <w:i w:val="1"/>
                <w:rtl w:val="0"/>
              </w:rPr>
              <w:t xml:space="preserve">E.g. Carcinogen, mutagen, toxic to reproduction, sensitizer</w:t>
            </w:r>
            <w:r w:rsidDel="00000000" w:rsidR="00000000" w:rsidRPr="00000000">
              <w:rPr>
                <w:rtl w:val="0"/>
              </w:rPr>
              <w:t xml:space="preserve">]</w:t>
            </w:r>
          </w:p>
          <w:p w:rsidR="00000000" w:rsidDel="00000000" w:rsidP="00000000" w:rsidRDefault="00000000" w:rsidRPr="00000000" w14:paraId="00000022">
            <w:pPr>
              <w:spacing w:after="0" w:line="240" w:lineRule="auto"/>
              <w:rPr/>
            </w:pPr>
            <w:r w:rsidDel="00000000" w:rsidR="00000000" w:rsidRPr="00000000">
              <w:rPr>
                <w:rtl w:val="0"/>
              </w:rPr>
              <w:t xml:space="preserve">None</w:t>
            </w:r>
          </w:p>
        </w:tc>
      </w:tr>
      <w:tr>
        <w:tc>
          <w:tcPr>
            <w:gridSpan w:val="2"/>
          </w:tcPr>
          <w:p w:rsidR="00000000" w:rsidDel="00000000" w:rsidP="00000000" w:rsidRDefault="00000000" w:rsidRPr="00000000" w14:paraId="00000024">
            <w:pPr>
              <w:spacing w:after="0" w:line="240" w:lineRule="auto"/>
              <w:rPr/>
            </w:pPr>
            <w:r w:rsidDel="00000000" w:rsidR="00000000" w:rsidRPr="00000000">
              <w:rPr>
                <w:b w:val="1"/>
                <w:rtl w:val="0"/>
              </w:rPr>
              <w:t xml:space="preserve">Storage</w:t>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Reagents are stored in a dry, cool and well-ventilated area </w:t>
            </w:r>
          </w:p>
          <w:p w:rsidR="00000000" w:rsidDel="00000000" w:rsidP="00000000" w:rsidRDefault="00000000" w:rsidRPr="00000000" w14:paraId="00000026">
            <w:pPr>
              <w:spacing w:after="0" w:line="240" w:lineRule="auto"/>
              <w:rPr/>
            </w:pPr>
            <w:r w:rsidDel="00000000" w:rsidR="00000000" w:rsidRPr="00000000">
              <w:rPr>
                <w:rtl w:val="0"/>
              </w:rPr>
              <w:t xml:space="preserve">YPD agar plates should be kept at 4c </w:t>
            </w:r>
          </w:p>
          <w:p w:rsidR="00000000" w:rsidDel="00000000" w:rsidP="00000000" w:rsidRDefault="00000000" w:rsidRPr="00000000" w14:paraId="00000027">
            <w:pPr>
              <w:spacing w:after="0" w:line="240" w:lineRule="auto"/>
              <w:rPr/>
            </w:pPr>
            <w:r w:rsidDel="00000000" w:rsidR="00000000" w:rsidRPr="00000000">
              <w:rPr>
                <w:rtl w:val="0"/>
              </w:rPr>
              <w:t xml:space="preserve">Biological components/buffers should be kept at -20c</w:t>
            </w:r>
          </w:p>
          <w:p w:rsidR="00000000" w:rsidDel="00000000" w:rsidP="00000000" w:rsidRDefault="00000000" w:rsidRPr="00000000" w14:paraId="00000028">
            <w:pPr>
              <w:spacing w:after="0" w:line="240" w:lineRule="auto"/>
              <w:rPr/>
            </w:pPr>
            <w:r w:rsidDel="00000000" w:rsidR="00000000" w:rsidRPr="00000000">
              <w:rPr>
                <w:rtl w:val="0"/>
              </w:rPr>
              <w:t xml:space="preserve">Yeast growth cultures will be kept at 30’C when not in use</w:t>
            </w:r>
          </w:p>
          <w:p w:rsidR="00000000" w:rsidDel="00000000" w:rsidP="00000000" w:rsidRDefault="00000000" w:rsidRPr="00000000" w14:paraId="00000029">
            <w:pPr>
              <w:spacing w:after="0" w:line="240" w:lineRule="auto"/>
              <w:rPr/>
            </w:pPr>
            <w:r w:rsidDel="00000000" w:rsidR="00000000" w:rsidRPr="00000000">
              <w:rPr>
                <w:rtl w:val="0"/>
              </w:rPr>
              <w:t xml:space="preserve">Final yeast plates will be grown for 2 days at 30’C and subsequently stored at 4’C.</w:t>
            </w:r>
          </w:p>
          <w:p w:rsidR="00000000" w:rsidDel="00000000" w:rsidP="00000000" w:rsidRDefault="00000000" w:rsidRPr="00000000" w14:paraId="0000002A">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2C">
            <w:pPr>
              <w:spacing w:after="0" w:line="240" w:lineRule="auto"/>
              <w:rPr/>
            </w:pPr>
            <w:r w:rsidDel="00000000" w:rsidR="00000000" w:rsidRPr="00000000">
              <w:rPr>
                <w:b w:val="1"/>
                <w:rtl w:val="0"/>
              </w:rPr>
              <w:t xml:space="preserve">Waste disposal  </w:t>
            </w:r>
            <w:r w:rsidDel="00000000" w:rsidR="00000000" w:rsidRPr="00000000">
              <w:rPr>
                <w:rtl w:val="0"/>
              </w:rPr>
              <w:t xml:space="preserve">[</w:t>
            </w:r>
            <w:r w:rsidDel="00000000" w:rsidR="00000000" w:rsidRPr="00000000">
              <w:rPr>
                <w:i w:val="1"/>
                <w:rtl w:val="0"/>
              </w:rPr>
              <w:t xml:space="preserve">Contractor, chlorinated, non-chlorinated, non-hazardous aqueous, general waste</w:t>
            </w:r>
            <w:r w:rsidDel="00000000" w:rsidR="00000000" w:rsidRPr="00000000">
              <w:rPr>
                <w:rtl w:val="0"/>
              </w:rPr>
              <w:t xml:space="preserve">]</w:t>
            </w:r>
          </w:p>
          <w:p w:rsidR="00000000" w:rsidDel="00000000" w:rsidP="00000000" w:rsidRDefault="00000000" w:rsidRPr="00000000" w14:paraId="0000002D">
            <w:pPr>
              <w:spacing w:after="0" w:line="240" w:lineRule="auto"/>
              <w:rPr/>
            </w:pPr>
            <w:r w:rsidDel="00000000" w:rsidR="00000000" w:rsidRPr="00000000">
              <w:rPr>
                <w:rtl w:val="0"/>
              </w:rPr>
              <w:t xml:space="preserve">Used/unused YPD agar plates should be autoclaved and disposed of as standard waste </w:t>
            </w:r>
          </w:p>
        </w:tc>
      </w:tr>
      <w:tr>
        <w:tc>
          <w:tcPr>
            <w:gridSpan w:val="2"/>
          </w:tcPr>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b w:val="1"/>
                <w:rtl w:val="0"/>
              </w:rPr>
              <w:t xml:space="preserve">Emergency Procedure</w:t>
            </w: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Follow emergency procedures as per</w:t>
            </w:r>
            <w:r w:rsidDel="00000000" w:rsidR="00000000" w:rsidRPr="00000000">
              <w:rPr>
                <w:rtl w:val="0"/>
              </w:rPr>
              <w:t xml:space="preserve"> BMS08 - Accident at Work Emergency Plan.</w:t>
            </w:r>
          </w:p>
          <w:p w:rsidR="00000000" w:rsidDel="00000000" w:rsidP="00000000" w:rsidRDefault="00000000" w:rsidRPr="00000000" w14:paraId="00000032">
            <w:pPr>
              <w:spacing w:after="0" w:line="240" w:lineRule="auto"/>
              <w:rPr/>
            </w:pPr>
            <w:r w:rsidDel="00000000" w:rsidR="00000000" w:rsidRPr="00000000">
              <w:rPr>
                <w:rtl w:val="0"/>
              </w:rPr>
              <w:t xml:space="preserve">In the event of a fire, supply emergency services with chemicals register as necessary.</w:t>
            </w:r>
          </w:p>
          <w:p w:rsidR="00000000" w:rsidDel="00000000" w:rsidP="00000000" w:rsidRDefault="00000000" w:rsidRPr="00000000" w14:paraId="00000033">
            <w:pPr>
              <w:spacing w:after="0" w:line="240" w:lineRule="auto"/>
              <w:rPr/>
            </w:pPr>
            <w:r w:rsidDel="00000000" w:rsidR="00000000" w:rsidRPr="00000000">
              <w:rPr>
                <w:rtl w:val="0"/>
              </w:rPr>
              <w:t xml:space="preserve">For small spillages, clean up with tissues and general surface cleaner, dispose of the tissues as contaminated waste. For larger spillages use spill kit and dispose of pads as contaminated waste</w:t>
            </w:r>
          </w:p>
        </w:tc>
      </w:tr>
      <w:tr>
        <w:tc>
          <w:tcPr>
            <w:gridSpan w:val="2"/>
          </w:tcPr>
          <w:p w:rsidR="00000000" w:rsidDel="00000000" w:rsidP="00000000" w:rsidRDefault="00000000" w:rsidRPr="00000000" w14:paraId="00000035">
            <w:pPr>
              <w:spacing w:after="0" w:line="240" w:lineRule="auto"/>
              <w:rPr/>
            </w:pPr>
            <w:r w:rsidDel="00000000" w:rsidR="00000000" w:rsidRPr="00000000">
              <w:rPr>
                <w:b w:val="1"/>
                <w:rtl w:val="0"/>
              </w:rPr>
              <w:t xml:space="preserve">First Aid</w:t>
            </w: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Inhalation: remove to fresh air. Seek medical advice. If not breathing, give CPR. Do not use mouth-to-mouth method if victim ingested or inhaled the substance</w:t>
            </w:r>
          </w:p>
          <w:p w:rsidR="00000000" w:rsidDel="00000000" w:rsidP="00000000" w:rsidRDefault="00000000" w:rsidRPr="00000000" w14:paraId="00000037">
            <w:pPr>
              <w:spacing w:after="0" w:line="240" w:lineRule="auto"/>
              <w:rPr/>
            </w:pPr>
            <w:r w:rsidDel="00000000" w:rsidR="00000000" w:rsidRPr="00000000">
              <w:rPr>
                <w:rtl w:val="0"/>
              </w:rPr>
              <w:t xml:space="preserve">Skin: wash thoroughly. If irritation occurs seek medical advice</w:t>
            </w:r>
          </w:p>
          <w:p w:rsidR="00000000" w:rsidDel="00000000" w:rsidP="00000000" w:rsidRDefault="00000000" w:rsidRPr="00000000" w14:paraId="00000038">
            <w:pPr>
              <w:tabs>
                <w:tab w:val="left" w:pos="6420"/>
              </w:tabs>
              <w:spacing w:after="0" w:line="240" w:lineRule="auto"/>
              <w:rPr/>
            </w:pPr>
            <w:r w:rsidDel="00000000" w:rsidR="00000000" w:rsidRPr="00000000">
              <w:rPr>
                <w:rtl w:val="0"/>
              </w:rPr>
              <w:t xml:space="preserve">Eyes: flush with plenty of soap and water, and seek medical advice.</w:t>
              <w:tab/>
            </w:r>
          </w:p>
          <w:p w:rsidR="00000000" w:rsidDel="00000000" w:rsidP="00000000" w:rsidRDefault="00000000" w:rsidRPr="00000000" w14:paraId="00000039">
            <w:pPr>
              <w:spacing w:after="0" w:line="240" w:lineRule="auto"/>
              <w:rPr/>
            </w:pPr>
            <w:r w:rsidDel="00000000" w:rsidR="00000000" w:rsidRPr="00000000">
              <w:rPr>
                <w:rtl w:val="0"/>
              </w:rPr>
              <w:t xml:space="preserve">Ingestion: Rinse mouth with water and seek medical attention immediately</w:t>
            </w:r>
          </w:p>
          <w:p w:rsidR="00000000" w:rsidDel="00000000" w:rsidP="00000000" w:rsidRDefault="00000000" w:rsidRPr="00000000" w14:paraId="0000003A">
            <w:pPr>
              <w:spacing w:after="0" w:line="240" w:lineRule="auto"/>
              <w:rPr/>
            </w:pPr>
            <w:r w:rsidDel="00000000" w:rsidR="00000000" w:rsidRPr="00000000">
              <w:rPr>
                <w:rtl w:val="0"/>
              </w:rPr>
            </w:r>
          </w:p>
        </w:tc>
      </w:tr>
      <w:tr>
        <w:tc>
          <w:tcPr>
            <w:gridSpan w:val="2"/>
          </w:tcPr>
          <w:p w:rsidR="00000000" w:rsidDel="00000000" w:rsidP="00000000" w:rsidRDefault="00000000" w:rsidRPr="00000000" w14:paraId="0000003C">
            <w:pPr>
              <w:spacing w:after="0" w:line="240" w:lineRule="auto"/>
              <w:rPr/>
            </w:pPr>
            <w:r w:rsidDel="00000000" w:rsidR="00000000" w:rsidRPr="00000000">
              <w:rPr>
                <w:b w:val="1"/>
                <w:rtl w:val="0"/>
              </w:rPr>
              <w:t xml:space="preserve">Out of hours/lone working (any specific risks)</w:t>
            </w: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No significant risks – Transformation is allowable out of hours and when lone working for individuals approved by the Safety Officer.</w:t>
            </w:r>
          </w:p>
        </w:tc>
      </w:tr>
    </w:tbl>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c>
          <w:tcPr/>
          <w:p w:rsidR="00000000" w:rsidDel="00000000" w:rsidP="00000000" w:rsidRDefault="00000000" w:rsidRPr="00000000" w14:paraId="00000041">
            <w:pPr>
              <w:spacing w:after="0" w:line="240" w:lineRule="auto"/>
              <w:rPr/>
            </w:pPr>
            <w:r w:rsidDel="00000000" w:rsidR="00000000" w:rsidRPr="00000000">
              <w:rPr>
                <w:b w:val="1"/>
                <w:rtl w:val="0"/>
              </w:rPr>
              <w:t xml:space="preserve">Assessment Summary</w:t>
            </w: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sectPr>
      <w:headerReference r:id="rId9" w:type="default"/>
      <w:footerReference r:id="rId10"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680"/>
        <w:tab w:val="right" w:pos="9360"/>
      </w:tabs>
      <w:jc w:val="center"/>
      <w:rPr>
        <w:color w:val="000000"/>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jqt7U67YcpqbM-yku7-O4V3EzZd7p3cp1H4lFuTk4Nk/edit#heading=h.pdre7kyhkn2a" TargetMode="External"/><Relationship Id="rId8" Type="http://schemas.openxmlformats.org/officeDocument/2006/relationships/hyperlink" Target="https://drive.google.com/drive/folders/0B9V3tIqIu0UZdFRIdzBOWDE5OF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