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13" w:rsidRDefault="00A7414E">
      <w:pPr>
        <w:spacing w:after="0"/>
        <w:jc w:val="center"/>
        <w:rPr>
          <w:rFonts w:ascii="Open Sans" w:eastAsia="Open Sans" w:hAnsi="Open Sans" w:cs="Open Sans"/>
          <w:sz w:val="40"/>
          <w:szCs w:val="40"/>
        </w:rPr>
      </w:pPr>
      <w:r>
        <w:rPr>
          <w:rFonts w:ascii="Open Sans" w:eastAsia="Open Sans" w:hAnsi="Open Sans" w:cs="Open Sans"/>
          <w:noProof/>
          <w:sz w:val="40"/>
          <w:szCs w:val="40"/>
        </w:rPr>
        <w:drawing>
          <wp:inline distT="114300" distB="114300" distL="114300" distR="114300">
            <wp:extent cx="5731200" cy="114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013" w:rsidRDefault="00A7414E">
      <w:pPr>
        <w:spacing w:after="0"/>
        <w:jc w:val="center"/>
        <w:rPr>
          <w:rFonts w:ascii="Open Sans" w:eastAsia="Open Sans" w:hAnsi="Open Sans" w:cs="Open Sans"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>Biomakespace COSHH Assessment</w:t>
      </w:r>
    </w:p>
    <w:p w:rsidR="007F2013" w:rsidRDefault="007F2013">
      <w:pPr>
        <w:spacing w:after="0"/>
        <w:rPr>
          <w:rFonts w:ascii="Arial" w:eastAsia="Arial" w:hAnsi="Arial" w:cs="Arial"/>
        </w:rPr>
      </w:pPr>
    </w:p>
    <w:p w:rsidR="007F2013" w:rsidRDefault="00A7414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Important: Please complete this after reading the </w:t>
      </w:r>
      <w:hyperlink r:id="rId9" w:anchor="heading=h.pdre7kyhkn2a">
        <w:r>
          <w:rPr>
            <w:rFonts w:ascii="Arial" w:eastAsia="Arial" w:hAnsi="Arial" w:cs="Arial"/>
            <w:color w:val="1155CC"/>
            <w:u w:val="single"/>
          </w:rPr>
          <w:t>BMS15 Chemical Safety Policy</w:t>
        </w:r>
      </w:hyperlink>
      <w:r>
        <w:rPr>
          <w:rFonts w:ascii="Arial" w:eastAsia="Arial" w:hAnsi="Arial" w:cs="Arial"/>
        </w:rPr>
        <w:t xml:space="preserve"> and any other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relevant safety policies</w:t>
        </w:r>
      </w:hyperlink>
      <w:r>
        <w:rPr>
          <w:rFonts w:ascii="Arial" w:eastAsia="Arial" w:hAnsi="Arial" w:cs="Arial"/>
        </w:rPr>
        <w:t>.</w:t>
      </w:r>
    </w:p>
    <w:p w:rsidR="007F2013" w:rsidRDefault="007F2013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5"/>
        <w:gridCol w:w="4891"/>
      </w:tblGrid>
      <w:tr w:rsidR="007F2013">
        <w:tc>
          <w:tcPr>
            <w:tcW w:w="4685" w:type="dxa"/>
            <w:shd w:val="clear" w:color="auto" w:fill="D9D9D9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Chemical</w:t>
            </w:r>
          </w:p>
          <w:p w:rsidR="007F2013" w:rsidRDefault="00A7414E">
            <w:pPr>
              <w:spacing w:after="0" w:line="240" w:lineRule="auto"/>
            </w:pPr>
            <w:r>
              <w:rPr>
                <w:i/>
              </w:rPr>
              <w:t>Or biological agent</w:t>
            </w:r>
          </w:p>
        </w:tc>
        <w:tc>
          <w:tcPr>
            <w:tcW w:w="4891" w:type="dxa"/>
            <w:shd w:val="clear" w:color="auto" w:fill="D9D9D9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Chemical risk and hazard categories (R-phrases) Hazard and Work Place Exposure Limits (WEL)</w:t>
            </w:r>
          </w:p>
        </w:tc>
      </w:tr>
      <w:tr w:rsidR="007F2013">
        <w:tc>
          <w:tcPr>
            <w:tcW w:w="4685" w:type="dxa"/>
          </w:tcPr>
          <w:p w:rsidR="007F2013" w:rsidRDefault="007F2013">
            <w:pPr>
              <w:spacing w:after="0" w:line="240" w:lineRule="auto"/>
            </w:pPr>
          </w:p>
          <w:p w:rsidR="007F2013" w:rsidRDefault="00DF5722">
            <w:pPr>
              <w:spacing w:after="0" w:line="240" w:lineRule="auto"/>
            </w:pPr>
            <w:r>
              <w:t>Ethanol</w:t>
            </w:r>
          </w:p>
          <w:p w:rsidR="000A6CEF" w:rsidRDefault="000A6CEF">
            <w:pPr>
              <w:spacing w:after="0" w:line="240" w:lineRule="auto"/>
            </w:pPr>
          </w:p>
          <w:p w:rsidR="007F2013" w:rsidRDefault="000A6CEF">
            <w:pPr>
              <w:spacing w:after="0" w:line="240" w:lineRule="auto"/>
            </w:pPr>
            <w:r>
              <w:t>Isopropanol</w:t>
            </w:r>
          </w:p>
          <w:p w:rsidR="007F2013" w:rsidRDefault="007F2013" w:rsidP="000A6CEF">
            <w:pPr>
              <w:spacing w:after="0" w:line="240" w:lineRule="auto"/>
            </w:pPr>
          </w:p>
        </w:tc>
        <w:tc>
          <w:tcPr>
            <w:tcW w:w="4891" w:type="dxa"/>
          </w:tcPr>
          <w:p w:rsidR="007F2013" w:rsidRDefault="007F2013">
            <w:pPr>
              <w:spacing w:after="0" w:line="240" w:lineRule="auto"/>
            </w:pPr>
          </w:p>
          <w:p w:rsidR="00DF5722" w:rsidRDefault="00DF5722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R: 11-20/21/22- 36//37/38-40 </w:t>
            </w:r>
          </w:p>
          <w:p w:rsidR="007F2013" w:rsidRDefault="007F2013" w:rsidP="000A6CEF">
            <w:pPr>
              <w:spacing w:after="0" w:line="240" w:lineRule="auto"/>
            </w:pPr>
          </w:p>
          <w:p w:rsidR="000A6CEF" w:rsidRDefault="000A6CEF" w:rsidP="000A6CEF">
            <w:pPr>
              <w:spacing w:after="0" w:line="240" w:lineRule="auto"/>
            </w:pPr>
            <w:r w:rsidRP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>11,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>36,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7F2013">
        <w:tc>
          <w:tcPr>
            <w:tcW w:w="9576" w:type="dxa"/>
            <w:gridSpan w:val="2"/>
            <w:shd w:val="clear" w:color="auto" w:fill="D9D9D9"/>
          </w:tcPr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 xml:space="preserve">Control Measures </w:t>
            </w:r>
            <w:r>
              <w:t>[</w:t>
            </w:r>
            <w:r>
              <w:rPr>
                <w:i/>
              </w:rPr>
              <w:t>Fume Cupboard, glove box, safety cabinet, local exhaust ventilation</w:t>
            </w:r>
            <w:r>
              <w:t>]</w:t>
            </w:r>
          </w:p>
          <w:p w:rsidR="00DF5722" w:rsidRPr="00DF5722" w:rsidRDefault="000A6CEF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Flammables and explosives</w:t>
            </w:r>
          </w:p>
          <w:p w:rsidR="007F2013" w:rsidRDefault="007F2013">
            <w:pPr>
              <w:spacing w:after="0" w:line="240" w:lineRule="auto"/>
            </w:pPr>
          </w:p>
          <w:p w:rsidR="007F2013" w:rsidRDefault="00A7414E">
            <w:pPr>
              <w:spacing w:after="0" w:line="240" w:lineRule="auto"/>
            </w:pPr>
            <w:r>
              <w:rPr>
                <w:i/>
              </w:rPr>
              <w:t>Is there a substance used or formed that might give rise to a fire or explosion?</w:t>
            </w:r>
            <w:r>
              <w:t xml:space="preserve">                         </w:t>
            </w:r>
            <w:r w:rsidRPr="00DF5722">
              <w:rPr>
                <w:b/>
              </w:rPr>
              <w:t>Yes</w:t>
            </w:r>
            <w:r>
              <w:t>/No</w:t>
            </w:r>
          </w:p>
          <w:p w:rsidR="007F2013" w:rsidRDefault="007F2013">
            <w:pPr>
              <w:spacing w:after="0" w:line="240" w:lineRule="auto"/>
            </w:pPr>
          </w:p>
          <w:p w:rsidR="00DF5722" w:rsidRPr="00DF5722" w:rsidRDefault="00A7414E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i/>
              </w:rPr>
              <w:t>If yes, list control measures.</w:t>
            </w:r>
            <w:r w:rsidR="00DF5722">
              <w:rPr>
                <w:i/>
              </w:rPr>
              <w:t xml:space="preserve"> </w:t>
            </w:r>
            <w:r w:rsidR="00DF5722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Keep away from sources of ignition. </w:t>
            </w:r>
            <w:r w:rsid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Fire extinguisher is located next to the exit door. No flamework (e.g. Bunsen burner) should be carried out in the vicinity. </w:t>
            </w:r>
            <w:r w:rsidR="00DC6CFD" w:rsidRPr="00DC6CFD">
              <w:rPr>
                <w:rFonts w:ascii="Times New Roman" w:eastAsia="Times New Roman" w:hAnsi="Times New Roman" w:cs="Times New Roman"/>
                <w:sz w:val="20"/>
                <w:szCs w:val="20"/>
              </w:rPr>
              <w:t>Take measures to prevent the build-up of electrostatic charge.</w:t>
            </w:r>
          </w:p>
          <w:p w:rsidR="007F2013" w:rsidRDefault="007F2013">
            <w:pPr>
              <w:spacing w:after="0" w:line="240" w:lineRule="auto"/>
            </w:pPr>
          </w:p>
          <w:p w:rsidR="007F2013" w:rsidRDefault="00A7414E">
            <w:pPr>
              <w:spacing w:after="0" w:line="240" w:lineRule="auto"/>
            </w:pPr>
            <w:r>
              <w:rPr>
                <w:i/>
              </w:rPr>
              <w:t>A more detailed risk assessment will be required if the lower explosive limit is reached during leak or spillage.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 xml:space="preserve">Personal Protective Equipment  </w:t>
            </w:r>
            <w:r>
              <w:t>[</w:t>
            </w:r>
            <w:r>
              <w:rPr>
                <w:i/>
              </w:rPr>
              <w:t>Lab coat/overalls, gloves, eye/hearing/respiratory protection</w:t>
            </w:r>
            <w:r>
              <w:t>]</w:t>
            </w:r>
          </w:p>
          <w:p w:rsidR="007F2013" w:rsidRDefault="00AA7A48">
            <w:pPr>
              <w:spacing w:after="0" w:line="240" w:lineRule="auto"/>
            </w:pPr>
            <w:r>
              <w:t>Gloves,</w:t>
            </w:r>
            <w:r w:rsidR="00DF5722">
              <w:t xml:space="preserve"> lab coat</w:t>
            </w:r>
            <w:r>
              <w:t>, and safety go</w:t>
            </w:r>
            <w:r w:rsidR="00952B03">
              <w:t>g</w:t>
            </w:r>
            <w:r>
              <w:t>gles</w:t>
            </w:r>
            <w:r w:rsidR="000A6CEF">
              <w:t xml:space="preserve"> should be worn at all times</w:t>
            </w:r>
            <w:r w:rsidR="00DF5722">
              <w:t>.</w:t>
            </w:r>
          </w:p>
          <w:p w:rsidR="007F2013" w:rsidRDefault="007F2013">
            <w:pPr>
              <w:spacing w:after="0" w:line="240" w:lineRule="auto"/>
            </w:pP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 xml:space="preserve">Monitoring </w:t>
            </w:r>
            <w:r>
              <w:t>[</w:t>
            </w:r>
            <w:r>
              <w:rPr>
                <w:i/>
              </w:rPr>
              <w:t>Chemical, gas, oxygen depletion etc.</w:t>
            </w:r>
            <w:r>
              <w:t>]</w:t>
            </w:r>
          </w:p>
          <w:p w:rsidR="007F2013" w:rsidRDefault="00DF5722">
            <w:pPr>
              <w:spacing w:after="0" w:line="240" w:lineRule="auto"/>
            </w:pPr>
            <w:r>
              <w:t>Not required</w:t>
            </w:r>
          </w:p>
          <w:p w:rsidR="007F2013" w:rsidRDefault="007F2013">
            <w:pPr>
              <w:spacing w:after="0" w:line="240" w:lineRule="auto"/>
            </w:pP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 xml:space="preserve">Health surveillance required </w:t>
            </w:r>
            <w:r>
              <w:t>[</w:t>
            </w:r>
            <w:r>
              <w:rPr>
                <w:i/>
              </w:rPr>
              <w:t>E.g. Carcinogen, mutagen, toxic to reproduction, sensitizer</w:t>
            </w:r>
            <w:r>
              <w:t>]</w:t>
            </w:r>
          </w:p>
          <w:p w:rsidR="00DF5722" w:rsidRDefault="00DF5722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F5722" w:rsidRPr="00DF5722" w:rsidRDefault="00DF5722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Limited evidence of carcinogenic effect. 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lastRenderedPageBreak/>
              <w:t>Storage</w:t>
            </w:r>
          </w:p>
          <w:p w:rsidR="00DF5722" w:rsidRDefault="00DF5722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F5722" w:rsidRPr="00DF5722" w:rsidRDefault="000A6CEF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Keep container tightly </w:t>
            </w:r>
            <w:r w:rsidR="00DF5722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>closed</w:t>
            </w:r>
            <w:r w:rsid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 upright position</w:t>
            </w:r>
            <w:r w:rsidR="00DF5722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>Do not store in the fridge or freezer (unless they are spark free). This applies to all ethanol-containing wash steps.</w:t>
            </w:r>
            <w:r w:rsid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05948" w:rsidRP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>Store in cool place</w:t>
            </w:r>
            <w:r w:rsidR="00505948" w:rsidRP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 xml:space="preserve">Waste disposal  </w:t>
            </w:r>
            <w:r>
              <w:t>[</w:t>
            </w:r>
            <w:r>
              <w:rPr>
                <w:i/>
              </w:rPr>
              <w:t>Contractor, chlorinated, non-chlorinated, non-hazardous aqueous, general waste</w:t>
            </w:r>
            <w:r>
              <w:t>]</w:t>
            </w:r>
          </w:p>
          <w:p w:rsidR="007F2013" w:rsidRDefault="007F2013">
            <w:pPr>
              <w:spacing w:after="0" w:line="240" w:lineRule="auto"/>
            </w:pPr>
          </w:p>
          <w:p w:rsidR="00DF5722" w:rsidRPr="00DF5722" w:rsidRDefault="00DF5722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>Less than 50 ml to drain</w:t>
            </w:r>
            <w:bookmarkStart w:id="0" w:name="_GoBack"/>
            <w:bookmarkEnd w:id="0"/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>. Larger volumes to non-c</w:t>
            </w:r>
            <w:r w:rsidR="000A6CEF">
              <w:rPr>
                <w:rFonts w:ascii="Times New Roman" w:eastAsia="Times New Roman" w:hAnsi="Times New Roman" w:cs="Times New Roman"/>
                <w:sz w:val="20"/>
                <w:szCs w:val="20"/>
              </w:rPr>
              <w:t>hlorinated waste solvent bottle.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Emergency Procedure</w:t>
            </w:r>
          </w:p>
          <w:p w:rsidR="0059651A" w:rsidRPr="0059651A" w:rsidRDefault="0059651A" w:rsidP="00596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>Follow emergency procedures as per BMS08 - Accident at Work Emergency Plan.</w:t>
            </w:r>
          </w:p>
          <w:p w:rsidR="00DF5722" w:rsidRPr="00DF5722" w:rsidRDefault="0059651A" w:rsidP="00596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>In the event of a fire, supply emergency services with chemicals register as necessary.</w:t>
            </w:r>
          </w:p>
          <w:p w:rsidR="00DF5722" w:rsidRPr="00DF5722" w:rsidRDefault="000A6CEF" w:rsidP="00DF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 spills - s</w:t>
            </w:r>
            <w:r w:rsidR="00DF5722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>oak up with tissues and leave in fume cupboard to evaporate.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Large</w:t>
            </w:r>
            <w:r w:rsid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spills – use spill kit </w:t>
            </w:r>
            <w:r w:rsidR="0059651A" w:rsidRP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>and dispos</w:t>
            </w:r>
            <w:r w:rsidR="0059651A">
              <w:rPr>
                <w:rFonts w:ascii="Times New Roman" w:eastAsia="Times New Roman" w:hAnsi="Times New Roman" w:cs="Times New Roman"/>
                <w:sz w:val="20"/>
                <w:szCs w:val="20"/>
              </w:rPr>
              <w:t>e of pads as contaminated waste.</w:t>
            </w:r>
            <w:r w:rsid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05948" w:rsidRP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>Wear respiratory protection. Avoid breathing vapours.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First Aid</w:t>
            </w:r>
          </w:p>
          <w:p w:rsidR="00DC6CFD" w:rsidRDefault="00DC6CFD" w:rsidP="00DC6CFD">
            <w:pPr>
              <w:spacing w:after="0" w:line="240" w:lineRule="auto"/>
            </w:pPr>
            <w:r>
              <w:t>Inhalation: remove to fresh air. Seek medical advice. If not breathing, give CPR. Do not use mouth-to-</w:t>
            </w:r>
          </w:p>
          <w:p w:rsidR="00DC6CFD" w:rsidRDefault="00DC6CFD" w:rsidP="00DC6CFD">
            <w:pPr>
              <w:spacing w:after="0" w:line="240" w:lineRule="auto"/>
            </w:pPr>
            <w:r>
              <w:t>mouth method if victim ingested or inhaled the substance</w:t>
            </w:r>
          </w:p>
          <w:p w:rsidR="00DC6CFD" w:rsidRDefault="00DC6CFD" w:rsidP="00DC6CFD">
            <w:pPr>
              <w:spacing w:after="0" w:line="240" w:lineRule="auto"/>
            </w:pPr>
            <w:r>
              <w:t>Skin: wash thoroughly. If irritation occurs seek medical advice</w:t>
            </w:r>
          </w:p>
          <w:p w:rsidR="00DC6CFD" w:rsidRDefault="00DC6CFD" w:rsidP="00DC6CFD">
            <w:pPr>
              <w:spacing w:after="0" w:line="240" w:lineRule="auto"/>
            </w:pPr>
            <w:r>
              <w:t>Eyes: flush with plenty of soap and water, and seek medical advice.</w:t>
            </w:r>
          </w:p>
          <w:p w:rsidR="007F2013" w:rsidRDefault="00DC6CFD" w:rsidP="00DC6CFD">
            <w:pPr>
              <w:spacing w:after="0" w:line="240" w:lineRule="auto"/>
            </w:pPr>
            <w:r>
              <w:t>Ingestion: Rinse mouth with water and seek medical attention immediately</w:t>
            </w:r>
            <w:r>
              <w:t>.</w:t>
            </w:r>
          </w:p>
          <w:p w:rsidR="007F2013" w:rsidRDefault="007F2013">
            <w:pPr>
              <w:spacing w:after="0" w:line="240" w:lineRule="auto"/>
            </w:pPr>
          </w:p>
        </w:tc>
      </w:tr>
      <w:tr w:rsidR="007F2013">
        <w:tc>
          <w:tcPr>
            <w:tcW w:w="9576" w:type="dxa"/>
            <w:gridSpan w:val="2"/>
          </w:tcPr>
          <w:p w:rsidR="007F2013" w:rsidRDefault="00A7414E">
            <w:pPr>
              <w:spacing w:after="0" w:line="240" w:lineRule="auto"/>
            </w:pPr>
            <w:r>
              <w:rPr>
                <w:b/>
              </w:rPr>
              <w:t>Out of hours/lone working (any specific risks)</w:t>
            </w:r>
          </w:p>
          <w:p w:rsidR="007F2013" w:rsidRPr="00DC6CFD" w:rsidRDefault="00DC6CFD" w:rsidP="00DC6CFD">
            <w:pPr>
              <w:spacing w:after="0" w:line="240" w:lineRule="auto"/>
              <w:rPr>
                <w:b/>
              </w:rPr>
            </w:pPr>
            <w:r>
              <w:t xml:space="preserve">No significant </w:t>
            </w:r>
            <w:r w:rsidRPr="00DC6CFD">
              <w:t>risks</w:t>
            </w:r>
            <w:r w:rsidRPr="00DC6CFD">
              <w:t>.</w:t>
            </w:r>
          </w:p>
          <w:p w:rsidR="007F2013" w:rsidRDefault="007F2013">
            <w:pPr>
              <w:spacing w:after="0" w:line="240" w:lineRule="auto"/>
            </w:pPr>
          </w:p>
        </w:tc>
      </w:tr>
    </w:tbl>
    <w:p w:rsidR="007F2013" w:rsidRDefault="007F2013">
      <w:pPr>
        <w:rPr>
          <w:rFonts w:ascii="Arial" w:eastAsia="Arial" w:hAnsi="Arial" w:cs="Arial"/>
        </w:rPr>
      </w:pPr>
    </w:p>
    <w:p w:rsidR="007F2013" w:rsidRDefault="007F2013"/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7F2013">
        <w:tc>
          <w:tcPr>
            <w:tcW w:w="9576" w:type="dxa"/>
          </w:tcPr>
          <w:p w:rsidR="00EC7659" w:rsidRPr="00DC6CFD" w:rsidRDefault="00A7414E" w:rsidP="00EC7659">
            <w:pPr>
              <w:spacing w:after="0" w:line="240" w:lineRule="auto"/>
            </w:pPr>
            <w:r>
              <w:rPr>
                <w:b/>
              </w:rPr>
              <w:t>Assessment Summary</w:t>
            </w:r>
          </w:p>
          <w:p w:rsidR="00DC6CFD" w:rsidRPr="00DF5722" w:rsidRDefault="00EC7659" w:rsidP="00DC6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Keep </w:t>
            </w:r>
            <w:r w:rsidR="00DC6C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both solvents </w:t>
            </w:r>
            <w:r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away from sources of ignition. </w:t>
            </w:r>
            <w:r w:rsidR="00DC6CFD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>Keep container</w:t>
            </w:r>
            <w:r w:rsidR="00DC6CFD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tightly closed and in upright position. </w:t>
            </w:r>
            <w:r w:rsidR="00505948" w:rsidRPr="00505948">
              <w:rPr>
                <w:rFonts w:ascii="Times New Roman" w:eastAsia="Times New Roman" w:hAnsi="Times New Roman" w:cs="Times New Roman"/>
                <w:sz w:val="20"/>
                <w:szCs w:val="20"/>
              </w:rPr>
              <w:t>Avoid contact with eyes and skin.</w:t>
            </w:r>
            <w:r w:rsidR="00505948" w:rsidRPr="00DF57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7F2013" w:rsidRPr="00EC7659" w:rsidRDefault="007F2013" w:rsidP="00EC7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2013" w:rsidRDefault="007F2013">
      <w:pPr>
        <w:spacing w:after="0"/>
        <w:rPr>
          <w:rFonts w:ascii="Arial" w:eastAsia="Arial" w:hAnsi="Arial" w:cs="Arial"/>
        </w:rPr>
      </w:pPr>
    </w:p>
    <w:p w:rsidR="007F2013" w:rsidRDefault="007F2013">
      <w:pPr>
        <w:rPr>
          <w:rFonts w:ascii="Arial" w:eastAsia="Arial" w:hAnsi="Arial" w:cs="Arial"/>
        </w:rPr>
      </w:pPr>
    </w:p>
    <w:sectPr w:rsidR="007F201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A2" w:rsidRDefault="002678A2">
      <w:pPr>
        <w:spacing w:after="0" w:line="240" w:lineRule="auto"/>
      </w:pPr>
      <w:r>
        <w:separator/>
      </w:r>
    </w:p>
  </w:endnote>
  <w:endnote w:type="continuationSeparator" w:id="0">
    <w:p w:rsidR="002678A2" w:rsidRDefault="0026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13" w:rsidRDefault="00A74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E8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A2" w:rsidRDefault="002678A2">
      <w:pPr>
        <w:spacing w:after="0" w:line="240" w:lineRule="auto"/>
      </w:pPr>
      <w:r>
        <w:separator/>
      </w:r>
    </w:p>
  </w:footnote>
  <w:footnote w:type="continuationSeparator" w:id="0">
    <w:p w:rsidR="002678A2" w:rsidRDefault="0026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13" w:rsidRDefault="007F2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013"/>
    <w:rsid w:val="000333CA"/>
    <w:rsid w:val="000A6CEF"/>
    <w:rsid w:val="002678A2"/>
    <w:rsid w:val="003B7B2E"/>
    <w:rsid w:val="00505948"/>
    <w:rsid w:val="0059651A"/>
    <w:rsid w:val="007F2013"/>
    <w:rsid w:val="00952B03"/>
    <w:rsid w:val="00A7414E"/>
    <w:rsid w:val="00AA7A48"/>
    <w:rsid w:val="00BB6E88"/>
    <w:rsid w:val="00DC6CFD"/>
    <w:rsid w:val="00DF5722"/>
    <w:rsid w:val="00E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0B9V3tIqIu0UZdFRIdzBOWDE5OF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jqt7U67YcpqbM-yku7-O4V3EzZd7p3cp1H4lFuTk4Nk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7542E-A5C4-48F5-9661-C6197A64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JuanFMx2</dc:creator>
  <cp:lastModifiedBy>JuanFMx2</cp:lastModifiedBy>
  <cp:revision>3</cp:revision>
  <dcterms:created xsi:type="dcterms:W3CDTF">2018-09-06T15:34:00Z</dcterms:created>
  <dcterms:modified xsi:type="dcterms:W3CDTF">2018-09-06T16:18:00Z</dcterms:modified>
</cp:coreProperties>
</file>