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D2B0E" w14:textId="77777777" w:rsidR="009A2FB3" w:rsidRDefault="009A2FB3">
      <w:pPr>
        <w:spacing w:before="1200"/>
        <w:jc w:val="center"/>
      </w:pPr>
    </w:p>
    <w:p w14:paraId="5369B24B" w14:textId="77777777" w:rsidR="009A2FB3" w:rsidRDefault="006E2A62">
      <w:pPr>
        <w:jc w:val="center"/>
      </w:pPr>
      <w:r>
        <w:rPr>
          <w:b/>
          <w:bCs/>
          <w:color w:val="1F4E79"/>
          <w:sz w:val="40"/>
          <w:szCs w:val="40"/>
        </w:rPr>
        <w:t>BANK MARKETING CAMPAIGN</w:t>
      </w:r>
    </w:p>
    <w:p w14:paraId="18E9CAE7" w14:textId="77777777" w:rsidR="009A2FB3" w:rsidRDefault="006E2A62">
      <w:pPr>
        <w:spacing w:before="40" w:after="200"/>
        <w:jc w:val="center"/>
      </w:pPr>
      <w:r>
        <w:rPr>
          <w:b/>
          <w:bCs/>
          <w:color w:val="1F4E79"/>
          <w:sz w:val="40"/>
          <w:szCs w:val="40"/>
        </w:rPr>
        <w:t>DATA ANALYSIS REPORT</w:t>
      </w:r>
    </w:p>
    <w:p w14:paraId="5C19C9B9" w14:textId="77777777" w:rsidR="009A2FB3" w:rsidRPr="001B7745" w:rsidRDefault="006E2A62">
      <w:pPr>
        <w:spacing w:after="600"/>
        <w:jc w:val="center"/>
        <w:rPr>
          <w:sz w:val="40"/>
          <w:szCs w:val="40"/>
        </w:rPr>
      </w:pPr>
      <w:r w:rsidRPr="001B7745">
        <w:rPr>
          <w:i/>
          <w:iCs/>
          <w:sz w:val="40"/>
          <w:szCs w:val="40"/>
        </w:rPr>
        <w:t>Exploring Customer Subscription Patterns and Campaign Effectiveness</w:t>
      </w:r>
    </w:p>
    <w:p w14:paraId="645C94D2" w14:textId="77777777" w:rsidR="009A2FB3" w:rsidRPr="001B7745" w:rsidRDefault="006E2A62">
      <w:pPr>
        <w:spacing w:after="80"/>
        <w:jc w:val="center"/>
        <w:rPr>
          <w:sz w:val="40"/>
          <w:szCs w:val="40"/>
        </w:rPr>
      </w:pPr>
      <w:r w:rsidRPr="001B7745">
        <w:rPr>
          <w:b/>
          <w:bCs/>
          <w:color w:val="000000"/>
          <w:sz w:val="40"/>
          <w:szCs w:val="40"/>
        </w:rPr>
        <w:t>Prepared by: Abigail Bantang</w:t>
      </w:r>
    </w:p>
    <w:p w14:paraId="25E90100" w14:textId="77777777" w:rsidR="009A2FB3" w:rsidRPr="001B7745" w:rsidRDefault="006E2A62">
      <w:pPr>
        <w:jc w:val="center"/>
        <w:rPr>
          <w:sz w:val="40"/>
          <w:szCs w:val="40"/>
        </w:rPr>
      </w:pPr>
      <w:r w:rsidRPr="001B7745">
        <w:rPr>
          <w:sz w:val="40"/>
          <w:szCs w:val="40"/>
        </w:rPr>
        <w:t>June 2026</w:t>
      </w:r>
    </w:p>
    <w:p w14:paraId="76D81B1D" w14:textId="77777777" w:rsidR="009A2FB3" w:rsidRDefault="006E2A62">
      <w:pPr>
        <w:pageBreakBefore/>
      </w:pPr>
      <w:r>
        <w:lastRenderedPageBreak/>
        <w:br/>
      </w:r>
    </w:p>
    <w:p w14:paraId="5B9517A0" w14:textId="77777777" w:rsidR="009A2FB3" w:rsidRPr="001B7745" w:rsidRDefault="006E2A62">
      <w:pPr>
        <w:pBdr>
          <w:bottom w:val="single" w:sz="6" w:space="4" w:color="1F4E79"/>
        </w:pBdr>
        <w:spacing w:before="320" w:after="120"/>
        <w:rPr>
          <w:b/>
          <w:bCs/>
        </w:rPr>
      </w:pPr>
      <w:r w:rsidRPr="001B7745">
        <w:rPr>
          <w:b/>
          <w:bCs/>
          <w:sz w:val="28"/>
          <w:szCs w:val="28"/>
        </w:rPr>
        <w:t>1. Introduction</w:t>
      </w:r>
    </w:p>
    <w:p w14:paraId="01B84B24" w14:textId="77777777" w:rsidR="009A2FB3" w:rsidRDefault="006E2A62">
      <w:pPr>
        <w:spacing w:before="80" w:after="80"/>
        <w:jc w:val="both"/>
      </w:pPr>
      <w:r>
        <w:rPr>
          <w:color w:val="000000"/>
        </w:rPr>
        <w:t>This report presents the findings of a data analysis project conducted on a bank telemarketing campaign dataset. The dataset was obtained from a Portuguese bank and contains records of direct marketing campaigns conducted via telephone. The primary objective of these campaigns was to encourage customers to subscribe to a term deposit product.</w:t>
      </w:r>
    </w:p>
    <w:p w14:paraId="16275AC7" w14:textId="77777777" w:rsidR="009A2FB3" w:rsidRDefault="006E2A62">
      <w:pPr>
        <w:spacing w:before="80" w:after="80"/>
        <w:jc w:val="both"/>
      </w:pPr>
      <w:r>
        <w:rPr>
          <w:color w:val="000000"/>
        </w:rPr>
        <w:t xml:space="preserve">The analysis was conducted using Python in Google </w:t>
      </w:r>
      <w:proofErr w:type="spellStart"/>
      <w:r>
        <w:rPr>
          <w:color w:val="000000"/>
        </w:rPr>
        <w:t>Colab</w:t>
      </w:r>
      <w:proofErr w:type="spellEnd"/>
      <w:r>
        <w:rPr>
          <w:color w:val="000000"/>
        </w:rPr>
        <w:t>, applying the CRISP-DM framework, which stands for Cross Industry Standard Process for Data Mining. This framework guided the project from business understanding through to data analysis and insight generation. The tools used for analysis and visualization include Pandas, Matplotlib, and Seaborn.</w:t>
      </w:r>
    </w:p>
    <w:p w14:paraId="7ED24EB2" w14:textId="77777777" w:rsidR="009A2FB3" w:rsidRDefault="006E2A62">
      <w:pPr>
        <w:spacing w:before="80" w:after="80"/>
        <w:jc w:val="both"/>
      </w:pPr>
      <w:r>
        <w:rPr>
          <w:color w:val="000000"/>
        </w:rPr>
        <w:t>This report focuses on the Business Understanding, Data Understanding, and Exploratory Data Analysis phases of the framework. The modelling phase is outside the scope of this report.</w:t>
      </w:r>
    </w:p>
    <w:p w14:paraId="652201AA" w14:textId="77777777" w:rsidR="009A2FB3" w:rsidRPr="001B7745" w:rsidRDefault="006E2A62">
      <w:pPr>
        <w:pBdr>
          <w:bottom w:val="single" w:sz="6" w:space="4" w:color="1F4E79"/>
        </w:pBdr>
        <w:spacing w:before="320" w:after="120"/>
      </w:pPr>
      <w:r w:rsidRPr="001B7745">
        <w:rPr>
          <w:b/>
          <w:bCs/>
          <w:sz w:val="28"/>
          <w:szCs w:val="28"/>
        </w:rPr>
        <w:t>2. Dataset Overview</w:t>
      </w:r>
    </w:p>
    <w:p w14:paraId="64A6D276" w14:textId="77777777" w:rsidR="009A2FB3" w:rsidRDefault="006E2A62">
      <w:pPr>
        <w:spacing w:before="80" w:after="80"/>
        <w:jc w:val="both"/>
      </w:pPr>
      <w:r>
        <w:rPr>
          <w:color w:val="000000"/>
        </w:rPr>
        <w:t>The dataset consists of 45,211 rows and 17 columns. Each row represents a unique customer contact made during the bank's telemarketing campaign. The 17 columns capture a combination of customer demographic information, financial details, campaign-related data, and the outcome of the contact.</w:t>
      </w:r>
    </w:p>
    <w:p w14:paraId="6EE4F4CC" w14:textId="77777777" w:rsidR="009A2FB3" w:rsidRPr="001B7745" w:rsidRDefault="006E2A62">
      <w:pPr>
        <w:spacing w:before="200" w:after="80"/>
      </w:pPr>
      <w:r w:rsidRPr="001B7745">
        <w:rPr>
          <w:b/>
          <w:bCs/>
          <w:sz w:val="22"/>
          <w:szCs w:val="22"/>
        </w:rPr>
        <w:t>2.1 Data Types</w:t>
      </w:r>
    </w:p>
    <w:p w14:paraId="60902095" w14:textId="77777777" w:rsidR="009A2FB3" w:rsidRDefault="006E2A62">
      <w:pPr>
        <w:spacing w:before="80" w:after="80"/>
        <w:jc w:val="both"/>
      </w:pPr>
      <w:r>
        <w:rPr>
          <w:color w:val="000000"/>
        </w:rPr>
        <w:t>The dataset contains two types of data:</w:t>
      </w:r>
    </w:p>
    <w:p w14:paraId="143ED251" w14:textId="77777777" w:rsidR="009A2FB3" w:rsidRDefault="006E2A62">
      <w:pPr>
        <w:pStyle w:val="ListParagraph"/>
        <w:numPr>
          <w:ilvl w:val="0"/>
          <w:numId w:val="2"/>
        </w:numPr>
        <w:spacing w:before="40" w:after="40"/>
      </w:pPr>
      <w:r>
        <w:rPr>
          <w:color w:val="000000"/>
        </w:rPr>
        <w:t xml:space="preserve">Numeric columns (7): age, balance, day, duration, campaign, </w:t>
      </w:r>
      <w:proofErr w:type="spellStart"/>
      <w:r>
        <w:rPr>
          <w:color w:val="000000"/>
        </w:rPr>
        <w:t>pdays</w:t>
      </w:r>
      <w:proofErr w:type="spellEnd"/>
      <w:r>
        <w:rPr>
          <w:color w:val="000000"/>
        </w:rPr>
        <w:t>, and previous. These columns contain whole numbers and can be used for mathematical calculations and statistical analysis.</w:t>
      </w:r>
    </w:p>
    <w:p w14:paraId="49172D44" w14:textId="77777777" w:rsidR="009A2FB3" w:rsidRDefault="006E2A62">
      <w:pPr>
        <w:pStyle w:val="ListParagraph"/>
        <w:numPr>
          <w:ilvl w:val="0"/>
          <w:numId w:val="2"/>
        </w:numPr>
        <w:spacing w:before="40" w:after="40"/>
      </w:pPr>
      <w:r>
        <w:rPr>
          <w:color w:val="000000"/>
        </w:rPr>
        <w:t xml:space="preserve">Categorical columns (10): job, marital, education, default, housing, loan, contact, month, </w:t>
      </w:r>
      <w:proofErr w:type="spellStart"/>
      <w:r>
        <w:rPr>
          <w:color w:val="000000"/>
        </w:rPr>
        <w:t>poutcome</w:t>
      </w:r>
      <w:proofErr w:type="spellEnd"/>
      <w:r>
        <w:rPr>
          <w:color w:val="000000"/>
        </w:rPr>
        <w:t>, and y. These columns contain text labels or categories and are used for grouping and comparison.</w:t>
      </w:r>
    </w:p>
    <w:p w14:paraId="19305A41" w14:textId="77777777" w:rsidR="009A2FB3" w:rsidRPr="001B7745" w:rsidRDefault="006E2A62">
      <w:pPr>
        <w:spacing w:before="200" w:after="80"/>
      </w:pPr>
      <w:r w:rsidRPr="001B7745">
        <w:rPr>
          <w:b/>
          <w:bCs/>
          <w:sz w:val="22"/>
          <w:szCs w:val="22"/>
        </w:rPr>
        <w:t>2.2 Missing Values</w:t>
      </w:r>
    </w:p>
    <w:p w14:paraId="6F032D34" w14:textId="77777777" w:rsidR="009A2FB3" w:rsidRDefault="006E2A62">
      <w:pPr>
        <w:spacing w:before="80" w:after="80"/>
        <w:jc w:val="both"/>
      </w:pPr>
      <w:r>
        <w:rPr>
          <w:color w:val="000000"/>
        </w:rPr>
        <w:t>A missing value check was conducted across all 17 columns. The result showed zero missing values across the entire dataset, indicating that the data is clean and complete. However, it is important to note that several columns use the label 'unknown' as a category value, particularly in the job, education, and contact columns. While these do not register as missing values technically, they represent gaps in information that could affect the accuracy of analysis in those specific columns.</w:t>
      </w:r>
    </w:p>
    <w:p w14:paraId="67EA0991" w14:textId="77777777" w:rsidR="009A2FB3" w:rsidRPr="001B7745" w:rsidRDefault="006E2A62">
      <w:pPr>
        <w:spacing w:before="200" w:after="80"/>
      </w:pPr>
      <w:r w:rsidRPr="001B7745">
        <w:rPr>
          <w:b/>
          <w:bCs/>
          <w:sz w:val="22"/>
          <w:szCs w:val="22"/>
        </w:rPr>
        <w:t>2.3 Target Variable</w:t>
      </w:r>
    </w:p>
    <w:p w14:paraId="187DEC40" w14:textId="77777777" w:rsidR="009A2FB3" w:rsidRDefault="006E2A62">
      <w:pPr>
        <w:spacing w:before="80" w:after="80"/>
        <w:jc w:val="both"/>
      </w:pPr>
      <w:r>
        <w:rPr>
          <w:color w:val="000000"/>
        </w:rPr>
        <w:t>The target variable for this analysis is the column labelled 'y', which records whether a customer subscribed to the term deposit after being contacted. The value is either 'yes' or 'no'. All five business questions in this report are analyzed in relation to this target variable.</w:t>
      </w:r>
    </w:p>
    <w:p w14:paraId="31DD0E4B" w14:textId="77777777" w:rsidR="009A2FB3" w:rsidRPr="001B7745" w:rsidRDefault="006E2A62">
      <w:pPr>
        <w:pBdr>
          <w:bottom w:val="single" w:sz="6" w:space="4" w:color="1F4E79"/>
        </w:pBdr>
        <w:spacing w:before="320" w:after="120"/>
      </w:pPr>
      <w:r w:rsidRPr="001B7745">
        <w:rPr>
          <w:b/>
          <w:bCs/>
          <w:sz w:val="28"/>
          <w:szCs w:val="28"/>
        </w:rPr>
        <w:t>3. Overall Subscription Distribution</w:t>
      </w:r>
    </w:p>
    <w:p w14:paraId="087A322F" w14:textId="77777777" w:rsidR="009A2FB3" w:rsidRDefault="006E2A62">
      <w:pPr>
        <w:spacing w:before="80" w:after="80"/>
        <w:jc w:val="both"/>
      </w:pPr>
      <w:r>
        <w:rPr>
          <w:color w:val="000000"/>
        </w:rPr>
        <w:t>Before addressing the specific business questions, it was important to first understand the overall distribution of the target variable. The analysis revealed a significant imbalance in the dataset.</w:t>
      </w:r>
    </w:p>
    <w:p w14:paraId="52E3EDDE" w14:textId="77777777" w:rsidR="009A2FB3" w:rsidRDefault="006E2A62">
      <w:pPr>
        <w:spacing w:before="80" w:after="80"/>
        <w:jc w:val="both"/>
      </w:pPr>
      <w:r>
        <w:rPr>
          <w:color w:val="000000"/>
        </w:rPr>
        <w:lastRenderedPageBreak/>
        <w:t>Out of 45,211 customers contacted, 39,922 said no, representing 88.3% of the total. Only 5,289 customers subscribed, representing 11.7% of the total. This means the bank successfully converted fewer than 1 in 9 customers contacted during the campaign.</w:t>
      </w:r>
    </w:p>
    <w:p w14:paraId="0D2951B7" w14:textId="77777777" w:rsidR="009A2FB3" w:rsidRDefault="006E2A62">
      <w:pPr>
        <w:pBdr>
          <w:left w:val="thick" w:sz="12" w:space="8" w:color="1F4E79"/>
        </w:pBdr>
        <w:spacing w:before="100" w:after="100"/>
        <w:ind w:left="200"/>
        <w:jc w:val="both"/>
      </w:pPr>
      <w:r w:rsidRPr="001B7745">
        <w:rPr>
          <w:b/>
          <w:bCs/>
        </w:rPr>
        <w:t xml:space="preserve">Key Insight: </w:t>
      </w:r>
      <w:r>
        <w:rPr>
          <w:color w:val="000000"/>
        </w:rPr>
        <w:t>The campaign subscription rate of 11.7% indicates that the majority of outreach efforts did not result in a positive outcome. This class imbalance is an important baseline against which all subsequent findings in this report are measured.</w:t>
      </w:r>
    </w:p>
    <w:p w14:paraId="05309AD2" w14:textId="77777777" w:rsidR="009A2FB3" w:rsidRDefault="006E2A62">
      <w:pPr>
        <w:pBdr>
          <w:left w:val="thick" w:sz="12" w:space="8" w:color="1B6B3A"/>
        </w:pBdr>
        <w:spacing w:before="100" w:after="100"/>
        <w:ind w:left="200"/>
        <w:jc w:val="both"/>
      </w:pPr>
      <w:r w:rsidRPr="001B7745">
        <w:rPr>
          <w:b/>
          <w:bCs/>
        </w:rPr>
        <w:t>Recommendation:</w:t>
      </w:r>
      <w:r>
        <w:rPr>
          <w:b/>
          <w:bCs/>
          <w:color w:val="1B6B3A"/>
        </w:rPr>
        <w:t xml:space="preserve"> </w:t>
      </w:r>
      <w:r>
        <w:rPr>
          <w:color w:val="000000"/>
        </w:rPr>
        <w:t>The bank should review its overall targeting strategy. The current approach of broad outreach yields a low conversion rate. The findings from this analysis can be used to identify higher-value customer segments and prioritize future campaigns more effectively.</w:t>
      </w:r>
    </w:p>
    <w:p w14:paraId="34B02CC0" w14:textId="77777777" w:rsidR="009A2FB3" w:rsidRPr="001B7745" w:rsidRDefault="006E2A62">
      <w:pPr>
        <w:pBdr>
          <w:bottom w:val="single" w:sz="6" w:space="4" w:color="1F4E79"/>
        </w:pBdr>
        <w:spacing w:before="320" w:after="120"/>
      </w:pPr>
      <w:r w:rsidRPr="001B7745">
        <w:rPr>
          <w:b/>
          <w:bCs/>
          <w:sz w:val="28"/>
          <w:szCs w:val="28"/>
        </w:rPr>
        <w:t>4. Business Questions and Findings</w:t>
      </w:r>
    </w:p>
    <w:p w14:paraId="65B1A002" w14:textId="77777777" w:rsidR="009A2FB3" w:rsidRPr="001B7745" w:rsidRDefault="006E2A62">
      <w:pPr>
        <w:spacing w:before="280" w:after="100"/>
      </w:pPr>
      <w:r w:rsidRPr="001B7745">
        <w:rPr>
          <w:b/>
          <w:bCs/>
          <w:sz w:val="24"/>
          <w:szCs w:val="24"/>
        </w:rPr>
        <w:t>4.1 Business Question 1: Who subscribes by job type and age?</w:t>
      </w:r>
    </w:p>
    <w:p w14:paraId="6A5459E5" w14:textId="77777777" w:rsidR="009A2FB3" w:rsidRDefault="006E2A62">
      <w:pPr>
        <w:spacing w:before="80" w:after="80"/>
        <w:jc w:val="both"/>
      </w:pPr>
      <w:r>
        <w:rPr>
          <w:color w:val="000000"/>
        </w:rPr>
        <w:t>The first business question examined whether a customer's job type and age have a relationship with their likelihood of subscribing to the term deposit.</w:t>
      </w:r>
    </w:p>
    <w:p w14:paraId="410998FB" w14:textId="77777777" w:rsidR="009A2FB3" w:rsidRPr="001B7745" w:rsidRDefault="006E2A62">
      <w:pPr>
        <w:spacing w:before="200" w:after="80"/>
      </w:pPr>
      <w:r w:rsidRPr="001B7745">
        <w:rPr>
          <w:b/>
          <w:bCs/>
          <w:sz w:val="22"/>
          <w:szCs w:val="22"/>
        </w:rPr>
        <w:t>4.1.1 Subscription Rate by Job Type</w:t>
      </w:r>
    </w:p>
    <w:p w14:paraId="283EB984" w14:textId="77777777" w:rsidR="009A2FB3" w:rsidRDefault="006E2A62">
      <w:pPr>
        <w:spacing w:before="80" w:after="80"/>
        <w:jc w:val="both"/>
      </w:pPr>
      <w:r>
        <w:rPr>
          <w:color w:val="000000"/>
        </w:rPr>
        <w:t>An analysis of subscription rates across all job categories revealed notable differences between groups. Students recorded the highest subscription rate at approximately 29%, which is nearly three times the overall campaign average of 11.7%. Retired customers followed closely at around 23%. Management professionals recorded a rate of approximately 14%, placing them slightly above the overall average.</w:t>
      </w:r>
    </w:p>
    <w:p w14:paraId="095FB8C0" w14:textId="77777777" w:rsidR="009A2FB3" w:rsidRDefault="006E2A62">
      <w:pPr>
        <w:spacing w:before="80" w:after="80"/>
        <w:jc w:val="both"/>
      </w:pPr>
      <w:r>
        <w:rPr>
          <w:color w:val="000000"/>
        </w:rPr>
        <w:t>At the lower end, blue-collar workers recorded a subscription rate of approximately 7%, and service workers followed at around 9%. Both groups sit well below the campaign average.</w:t>
      </w:r>
    </w:p>
    <w:p w14:paraId="383F4F47" w14:textId="77777777" w:rsidR="009A2FB3" w:rsidRPr="001B7745" w:rsidRDefault="006E2A62">
      <w:pPr>
        <w:spacing w:before="200" w:after="80"/>
      </w:pPr>
      <w:r w:rsidRPr="001B7745">
        <w:rPr>
          <w:b/>
          <w:bCs/>
          <w:sz w:val="22"/>
          <w:szCs w:val="22"/>
        </w:rPr>
        <w:t>4.1.2 Age Distribution by Subscription Outcome</w:t>
      </w:r>
    </w:p>
    <w:p w14:paraId="6FD1331A" w14:textId="77777777" w:rsidR="009A2FB3" w:rsidRDefault="006E2A62">
      <w:pPr>
        <w:spacing w:before="80" w:after="80"/>
        <w:jc w:val="both"/>
      </w:pPr>
      <w:r>
        <w:rPr>
          <w:color w:val="000000"/>
        </w:rPr>
        <w:t>The age histogram revealed that customers who subscribed are concentrated at two distinct ends of the age spectrum. Younger customers in the 20 to 30 age range and older customers aged 60 and above showed higher subscription activity. This pattern aligns with the job findings, as these age groups correspond closely to the student and retired categories respectively.</w:t>
      </w:r>
    </w:p>
    <w:p w14:paraId="47A26441" w14:textId="77777777" w:rsidR="009A2FB3" w:rsidRDefault="006E2A62">
      <w:pPr>
        <w:spacing w:before="80" w:after="80"/>
        <w:jc w:val="both"/>
      </w:pPr>
      <w:r>
        <w:rPr>
          <w:color w:val="000000"/>
        </w:rPr>
        <w:t>Customers in the middle age range of approximately 30 to 50 years showed the lowest subscription activity. This group is likely composed of working adults with existing financial commitments such as mortgages and personal loans, making them less inclined to commit funds to a term deposit.</w:t>
      </w:r>
    </w:p>
    <w:p w14:paraId="3BECFC89" w14:textId="77777777" w:rsidR="009A2FB3" w:rsidRDefault="006E2A62">
      <w:pPr>
        <w:pBdr>
          <w:left w:val="thick" w:sz="12" w:space="8" w:color="1F4E79"/>
        </w:pBdr>
        <w:spacing w:before="100" w:after="100"/>
        <w:ind w:left="200"/>
        <w:jc w:val="both"/>
      </w:pPr>
      <w:r w:rsidRPr="001B7745">
        <w:rPr>
          <w:b/>
          <w:bCs/>
        </w:rPr>
        <w:t xml:space="preserve">Key Insight: </w:t>
      </w:r>
      <w:r>
        <w:rPr>
          <w:color w:val="000000"/>
        </w:rPr>
        <w:t>Job type and age are closely linked predictors of subscription behavior. Students and retired customers represent the highest-value segments for this campaign, while blue-collar and middle-aged working customers are the least responsive.</w:t>
      </w:r>
    </w:p>
    <w:p w14:paraId="0DA0F554" w14:textId="77777777" w:rsidR="009A2FB3" w:rsidRDefault="006E2A62">
      <w:pPr>
        <w:pBdr>
          <w:left w:val="thick" w:sz="12" w:space="8" w:color="1B6B3A"/>
        </w:pBdr>
        <w:spacing w:before="100" w:after="100"/>
        <w:ind w:left="200"/>
        <w:jc w:val="both"/>
      </w:pPr>
      <w:r w:rsidRPr="001B7745">
        <w:rPr>
          <w:b/>
          <w:bCs/>
        </w:rPr>
        <w:t>Recommendation:</w:t>
      </w:r>
      <w:r>
        <w:rPr>
          <w:b/>
          <w:bCs/>
          <w:color w:val="1B6B3A"/>
        </w:rPr>
        <w:t xml:space="preserve"> </w:t>
      </w:r>
      <w:r>
        <w:rPr>
          <w:color w:val="000000"/>
        </w:rPr>
        <w:t>The bank should develop targeted campaign messaging tailored to students and retired customers. For students, this may involve partnerships with universities or youth-oriented financial products. For retired customers, messaging should emphasize financial security and long-term savings benefits.</w:t>
      </w:r>
    </w:p>
    <w:p w14:paraId="72F05E05" w14:textId="77777777" w:rsidR="009A2FB3" w:rsidRPr="001B7745" w:rsidRDefault="006E2A62">
      <w:pPr>
        <w:spacing w:before="280" w:after="100"/>
      </w:pPr>
      <w:r w:rsidRPr="001B7745">
        <w:rPr>
          <w:b/>
          <w:bCs/>
          <w:sz w:val="24"/>
          <w:szCs w:val="24"/>
        </w:rPr>
        <w:t>4.2 Business Question 2: Does the number of contacts affect subscription?</w:t>
      </w:r>
    </w:p>
    <w:p w14:paraId="0A53E31A" w14:textId="77777777" w:rsidR="009A2FB3" w:rsidRDefault="006E2A62">
      <w:pPr>
        <w:spacing w:before="80" w:after="80"/>
        <w:jc w:val="both"/>
      </w:pPr>
      <w:r>
        <w:rPr>
          <w:color w:val="000000"/>
        </w:rPr>
        <w:t>The second business question investigated whether contacting a customer more frequently during a campaign increases the likelihood of subscription.</w:t>
      </w:r>
    </w:p>
    <w:p w14:paraId="4F3C0488" w14:textId="77777777" w:rsidR="009A2FB3" w:rsidRPr="001B7745" w:rsidRDefault="006E2A62">
      <w:pPr>
        <w:spacing w:before="200" w:after="80"/>
      </w:pPr>
      <w:r w:rsidRPr="001B7745">
        <w:rPr>
          <w:b/>
          <w:bCs/>
          <w:sz w:val="22"/>
          <w:szCs w:val="22"/>
        </w:rPr>
        <w:t>4.2.1 Subscription Rate by Number of Contacts</w:t>
      </w:r>
    </w:p>
    <w:p w14:paraId="4C86B610" w14:textId="77777777" w:rsidR="009A2FB3" w:rsidRDefault="006E2A62">
      <w:pPr>
        <w:spacing w:before="80" w:after="80"/>
        <w:jc w:val="both"/>
      </w:pPr>
      <w:r>
        <w:rPr>
          <w:color w:val="000000"/>
        </w:rPr>
        <w:t xml:space="preserve">The analysis revealed a clear and consistent inverse relationship between the number of contacts made and the subscription rate achieved. Customers contacted only once during the campaign </w:t>
      </w:r>
      <w:r>
        <w:rPr>
          <w:color w:val="000000"/>
        </w:rPr>
        <w:lastRenderedPageBreak/>
        <w:t>recorded the highest subscription rate. As the number of contacts increased, the subscription rate declined steadily and significantly.</w:t>
      </w:r>
    </w:p>
    <w:p w14:paraId="670369CA" w14:textId="77777777" w:rsidR="009A2FB3" w:rsidRDefault="006E2A62">
      <w:pPr>
        <w:spacing w:before="80" w:after="80"/>
        <w:jc w:val="both"/>
      </w:pPr>
      <w:r>
        <w:rPr>
          <w:color w:val="000000"/>
        </w:rPr>
        <w:t>By the time a customer had been contacted four or more times, the subscription rate dropped well below the overall average. Customers contacted more than six times showed very minimal subscription activity.</w:t>
      </w:r>
    </w:p>
    <w:p w14:paraId="08FE4C65" w14:textId="77777777" w:rsidR="009A2FB3" w:rsidRPr="001B7745" w:rsidRDefault="006E2A62">
      <w:pPr>
        <w:spacing w:before="200" w:after="80"/>
      </w:pPr>
      <w:r w:rsidRPr="001B7745">
        <w:rPr>
          <w:b/>
          <w:bCs/>
          <w:sz w:val="22"/>
          <w:szCs w:val="22"/>
        </w:rPr>
        <w:t>4.2.2 Contact Frequency Distribution</w:t>
      </w:r>
    </w:p>
    <w:p w14:paraId="1EC56249" w14:textId="77777777" w:rsidR="009A2FB3" w:rsidRDefault="006E2A62">
      <w:pPr>
        <w:spacing w:before="80" w:after="80"/>
        <w:jc w:val="both"/>
      </w:pPr>
      <w:r>
        <w:rPr>
          <w:color w:val="000000"/>
        </w:rPr>
        <w:t>The histogram showing the distribution of contact frequency confirmed the inverse relationship observed in the bar chart. The vast majority of customers who subscribed were contacted only once or twice. The frequency distribution of non-subscribers was more spread out, with a larger proportion appearing in the higher contact count groups.</w:t>
      </w:r>
    </w:p>
    <w:p w14:paraId="155848B7" w14:textId="77777777" w:rsidR="009A2FB3" w:rsidRDefault="006E2A62">
      <w:pPr>
        <w:spacing w:before="80" w:after="80"/>
        <w:jc w:val="both"/>
      </w:pPr>
      <w:r>
        <w:rPr>
          <w:color w:val="000000"/>
        </w:rPr>
        <w:t>This inverse relationship between the two charts is significant. The bar chart shows the rate declining as contacts increase, while the histogram shows that subscribers are heavily concentrated at lower contact counts. Together, these two charts tell a consistent story: more contacts do not lead to more subscriptions. In fact, they suggest the opposite.</w:t>
      </w:r>
    </w:p>
    <w:p w14:paraId="76EA3ED0" w14:textId="77777777" w:rsidR="009A2FB3" w:rsidRDefault="006E2A62">
      <w:pPr>
        <w:pBdr>
          <w:left w:val="thick" w:sz="12" w:space="8" w:color="1F4E79"/>
        </w:pBdr>
        <w:spacing w:before="100" w:after="100"/>
        <w:ind w:left="200"/>
        <w:jc w:val="both"/>
      </w:pPr>
      <w:r w:rsidRPr="001B7745">
        <w:rPr>
          <w:b/>
          <w:bCs/>
        </w:rPr>
        <w:t xml:space="preserve">Key Insight: </w:t>
      </w:r>
      <w:r>
        <w:rPr>
          <w:color w:val="000000"/>
        </w:rPr>
        <w:t>There is a clear inverse relationship between the number of contacts and the subscription rate. The more times a customer is contacted, the less likely they are to subscribe. The first contact consistently produces the best outcome.</w:t>
      </w:r>
    </w:p>
    <w:p w14:paraId="1378A375" w14:textId="77777777" w:rsidR="009A2FB3" w:rsidRDefault="006E2A62">
      <w:pPr>
        <w:pBdr>
          <w:left w:val="thick" w:sz="12" w:space="8" w:color="1B6B3A"/>
        </w:pBdr>
        <w:spacing w:before="100" w:after="100"/>
        <w:ind w:left="200"/>
        <w:jc w:val="both"/>
      </w:pPr>
      <w:r w:rsidRPr="001B7745">
        <w:rPr>
          <w:b/>
          <w:bCs/>
        </w:rPr>
        <w:t>Recommendation:</w:t>
      </w:r>
      <w:r>
        <w:rPr>
          <w:b/>
          <w:bCs/>
          <w:color w:val="1B6B3A"/>
        </w:rPr>
        <w:t xml:space="preserve"> </w:t>
      </w:r>
      <w:r>
        <w:rPr>
          <w:color w:val="000000"/>
        </w:rPr>
        <w:t>The bank should establish a maximum contact threshold of two to three attempts per customer per campaign. Beyond this point, continued outreach is unlikely to produce a subscription and represents an inefficient use of resources. Redirecting those efforts toward new customers would likely yield better results.</w:t>
      </w:r>
    </w:p>
    <w:p w14:paraId="16237694" w14:textId="77777777" w:rsidR="009A2FB3" w:rsidRPr="001B7745" w:rsidRDefault="006E2A62">
      <w:pPr>
        <w:spacing w:before="280" w:after="100"/>
      </w:pPr>
      <w:r w:rsidRPr="001B7745">
        <w:rPr>
          <w:b/>
          <w:bCs/>
          <w:sz w:val="24"/>
          <w:szCs w:val="24"/>
        </w:rPr>
        <w:t>4.3 Business Question 3: Does call duration influence subscription?</w:t>
      </w:r>
    </w:p>
    <w:p w14:paraId="6988D2A5" w14:textId="77777777" w:rsidR="009A2FB3" w:rsidRDefault="006E2A62">
      <w:pPr>
        <w:spacing w:before="80" w:after="80"/>
        <w:jc w:val="both"/>
      </w:pPr>
      <w:r>
        <w:rPr>
          <w:color w:val="000000"/>
        </w:rPr>
        <w:t>The third business question explored whether the length of the phone call has a relationship with the likelihood of a customer subscribing.</w:t>
      </w:r>
    </w:p>
    <w:p w14:paraId="4105FDB3" w14:textId="77777777" w:rsidR="009A2FB3" w:rsidRPr="001B7745" w:rsidRDefault="006E2A62">
      <w:pPr>
        <w:spacing w:before="200" w:after="80"/>
      </w:pPr>
      <w:r w:rsidRPr="001B7745">
        <w:rPr>
          <w:b/>
          <w:bCs/>
          <w:sz w:val="22"/>
          <w:szCs w:val="22"/>
        </w:rPr>
        <w:t>4.3.1 Call Duration by Subscription Outcome</w:t>
      </w:r>
    </w:p>
    <w:p w14:paraId="1DE29C3D" w14:textId="77777777" w:rsidR="009A2FB3" w:rsidRDefault="006E2A62">
      <w:pPr>
        <w:spacing w:before="80" w:after="80"/>
        <w:jc w:val="both"/>
      </w:pPr>
      <w:r>
        <w:rPr>
          <w:color w:val="000000"/>
        </w:rPr>
        <w:t>The box plot comparing call duration between subscribers and non-subscribers revealed a significant difference. Customers who subscribed had a median call duration of approximately 537 seconds, equivalent to around 9 minutes. Customers who did not subscribe had a median call duration of approximately 220 seconds, or just under 4 minutes.</w:t>
      </w:r>
    </w:p>
    <w:p w14:paraId="19908C55" w14:textId="77777777" w:rsidR="009A2FB3" w:rsidRDefault="006E2A62">
      <w:pPr>
        <w:spacing w:before="80" w:after="80"/>
        <w:jc w:val="both"/>
      </w:pPr>
      <w:r>
        <w:rPr>
          <w:color w:val="000000"/>
        </w:rPr>
        <w:t>This means that on average, calls that resulted in a subscription were more than twice as long as calls that did not. The distribution for subscribers was also more spread out, indicating that some subscriber calls lasted considerably longer as conversations developed.</w:t>
      </w:r>
    </w:p>
    <w:p w14:paraId="596446E2" w14:textId="77777777" w:rsidR="009A2FB3" w:rsidRPr="001B7745" w:rsidRDefault="006E2A62">
      <w:pPr>
        <w:spacing w:before="200" w:after="80"/>
      </w:pPr>
      <w:r w:rsidRPr="001B7745">
        <w:rPr>
          <w:b/>
          <w:bCs/>
          <w:sz w:val="22"/>
          <w:szCs w:val="22"/>
        </w:rPr>
        <w:t>4.3.2 Duration Distribution: Subscribed vs Not Subscribed</w:t>
      </w:r>
    </w:p>
    <w:p w14:paraId="77003A2B" w14:textId="77777777" w:rsidR="009A2FB3" w:rsidRDefault="006E2A62">
      <w:pPr>
        <w:spacing w:before="80" w:after="80"/>
        <w:jc w:val="both"/>
      </w:pPr>
      <w:r>
        <w:rPr>
          <w:color w:val="000000"/>
        </w:rPr>
        <w:t>The histogram of call duration distributions further confirmed this pattern. The bars representing non-subscribers were concentrated heavily at the lower end of the duration scale, indicating that most unsuccessful calls ended quickly. The bars representing subscribers were distributed further to the right, showing that productive calls lasted considerably longer.</w:t>
      </w:r>
    </w:p>
    <w:p w14:paraId="5EC47D4E" w14:textId="77777777" w:rsidR="009A2FB3" w:rsidRDefault="006E2A62">
      <w:pPr>
        <w:pBdr>
          <w:left w:val="thick" w:sz="12" w:space="8" w:color="1F4E79"/>
        </w:pBdr>
        <w:spacing w:before="100" w:after="100"/>
        <w:ind w:left="200"/>
        <w:jc w:val="both"/>
      </w:pPr>
      <w:r w:rsidRPr="001B7745">
        <w:rPr>
          <w:b/>
          <w:bCs/>
        </w:rPr>
        <w:t xml:space="preserve">Key Insight: </w:t>
      </w:r>
      <w:r>
        <w:rPr>
          <w:color w:val="000000"/>
        </w:rPr>
        <w:t>Call duration is a strong indicator of subscription likelihood. Longer calls are consistently associated with positive subscription outcomes, suggesting that customer engagement during the call plays a significant role in the final decision.</w:t>
      </w:r>
    </w:p>
    <w:p w14:paraId="3307F294" w14:textId="77777777" w:rsidR="009A2FB3" w:rsidRDefault="006E2A62">
      <w:pPr>
        <w:pBdr>
          <w:left w:val="thick" w:sz="12" w:space="8" w:color="1B6B3A"/>
        </w:pBdr>
        <w:spacing w:before="100" w:after="100"/>
        <w:ind w:left="200"/>
        <w:jc w:val="both"/>
      </w:pPr>
      <w:r w:rsidRPr="001B7745">
        <w:rPr>
          <w:b/>
          <w:bCs/>
        </w:rPr>
        <w:t xml:space="preserve">Recommendation: </w:t>
      </w:r>
      <w:r>
        <w:rPr>
          <w:color w:val="000000"/>
        </w:rPr>
        <w:t>The bank should focus on improving the quality and depth of conversations rather than the volume of calls made. Agent training should emphasize active listening, addressing customer concerns, and building rapport during the call. A more engaged customer is more likely to stay on the call longer and ultimately subscribe.</w:t>
      </w:r>
    </w:p>
    <w:p w14:paraId="52F1D80E" w14:textId="77777777" w:rsidR="009A2FB3" w:rsidRPr="001B7745" w:rsidRDefault="006E2A62">
      <w:pPr>
        <w:spacing w:before="280" w:after="100"/>
      </w:pPr>
      <w:r w:rsidRPr="001B7745">
        <w:rPr>
          <w:b/>
          <w:bCs/>
          <w:sz w:val="24"/>
          <w:szCs w:val="24"/>
        </w:rPr>
        <w:lastRenderedPageBreak/>
        <w:t>4.4 Business Question 4: Which months produce the highest subscription rates?</w:t>
      </w:r>
    </w:p>
    <w:p w14:paraId="22FA6515" w14:textId="77777777" w:rsidR="009A2FB3" w:rsidRDefault="006E2A62">
      <w:pPr>
        <w:spacing w:before="80" w:after="80"/>
        <w:jc w:val="both"/>
      </w:pPr>
      <w:r>
        <w:rPr>
          <w:color w:val="000000"/>
        </w:rPr>
        <w:t>The fourth business question examined whether the month in which a customer is contacted affects the likelihood of subscription, and whether call volume by month is aligned with performance.</w:t>
      </w:r>
    </w:p>
    <w:p w14:paraId="7B04A1DB" w14:textId="77777777" w:rsidR="009A2FB3" w:rsidRPr="001B7745" w:rsidRDefault="006E2A62">
      <w:pPr>
        <w:spacing w:before="200" w:after="80"/>
      </w:pPr>
      <w:r w:rsidRPr="001B7745">
        <w:rPr>
          <w:b/>
          <w:bCs/>
          <w:sz w:val="22"/>
          <w:szCs w:val="22"/>
        </w:rPr>
        <w:t>4.4.1 Subscription Rate by Month</w:t>
      </w:r>
    </w:p>
    <w:p w14:paraId="7BC2367B" w14:textId="77777777" w:rsidR="009A2FB3" w:rsidRDefault="006E2A62">
      <w:pPr>
        <w:spacing w:before="80" w:after="80"/>
        <w:jc w:val="both"/>
      </w:pPr>
      <w:r>
        <w:rPr>
          <w:color w:val="000000"/>
        </w:rPr>
        <w:t>The monthly subscription rate analysis revealed that March, September, October, and December recorded the highest subscription rates, all of which were well above the overall campaign average. March recorded the highest rate of all months analyzed.</w:t>
      </w:r>
    </w:p>
    <w:p w14:paraId="64B10A7C" w14:textId="77777777" w:rsidR="009A2FB3" w:rsidRDefault="006E2A62">
      <w:pPr>
        <w:spacing w:before="80" w:after="80"/>
        <w:jc w:val="both"/>
      </w:pPr>
      <w:r>
        <w:rPr>
          <w:color w:val="000000"/>
        </w:rPr>
        <w:t>May, which is the month with the highest volume of calls in the entire dataset at over 13,000 contacts, recorded a subscription rate that fell below the overall campaign average. This is a significant finding that points to a misalignment between where the bank is investing its campaign resources and where the best results are being achieved.</w:t>
      </w:r>
    </w:p>
    <w:p w14:paraId="76EC3659" w14:textId="77777777" w:rsidR="009A2FB3" w:rsidRPr="001B7745" w:rsidRDefault="006E2A62">
      <w:pPr>
        <w:spacing w:before="200" w:after="80"/>
      </w:pPr>
      <w:r w:rsidRPr="001B7745">
        <w:rPr>
          <w:b/>
          <w:bCs/>
          <w:sz w:val="22"/>
          <w:szCs w:val="22"/>
        </w:rPr>
        <w:t>4.4.2 The Inverse Relationship Between Call Volume and Subscription Rate</w:t>
      </w:r>
    </w:p>
    <w:p w14:paraId="5EEDE579" w14:textId="77777777" w:rsidR="009A2FB3" w:rsidRDefault="006E2A62">
      <w:pPr>
        <w:spacing w:before="80" w:after="80"/>
        <w:jc w:val="both"/>
      </w:pPr>
      <w:r>
        <w:rPr>
          <w:color w:val="000000"/>
        </w:rPr>
        <w:t>A closer examination of the two charts reveals a clear inverse relationship between the number of calls made in a given month and the subscription rate achieved in that same month. The months where the bank made the most calls, particularly May, June, July, and August, consistently recorded lower subscription rates. Conversely, the months where call volumes were lower, such as March, September, October, and December, recorded the highest subscription rates.</w:t>
      </w:r>
    </w:p>
    <w:p w14:paraId="67893795" w14:textId="77777777" w:rsidR="009A2FB3" w:rsidRDefault="006E2A62">
      <w:pPr>
        <w:spacing w:before="80" w:after="80"/>
        <w:jc w:val="both"/>
      </w:pPr>
      <w:r>
        <w:rPr>
          <w:color w:val="000000"/>
        </w:rPr>
        <w:t>This inverse relationship suggests that the quality of outreach, or the receptiveness of customers at particular times, is more important than the volume of calls made. Months with fewer calls appear to produce more focused and effective contacts, resulting in higher conversion rates. The bank's current approach of concentrating the majority of its calls in the middle of the year does not appear to be supported by the performance data.</w:t>
      </w:r>
    </w:p>
    <w:p w14:paraId="16264D29" w14:textId="77777777" w:rsidR="009A2FB3" w:rsidRDefault="006E2A62">
      <w:pPr>
        <w:pBdr>
          <w:left w:val="thick" w:sz="12" w:space="8" w:color="1F4E79"/>
        </w:pBdr>
        <w:spacing w:before="100" w:after="100"/>
        <w:ind w:left="200"/>
        <w:jc w:val="both"/>
      </w:pPr>
      <w:r w:rsidRPr="001B7745">
        <w:rPr>
          <w:b/>
          <w:bCs/>
        </w:rPr>
        <w:t xml:space="preserve">Key Insight: </w:t>
      </w:r>
      <w:r>
        <w:rPr>
          <w:color w:val="000000"/>
        </w:rPr>
        <w:t>There is a clear inverse relationship between monthly call volume and subscription rate. The months where the bank makes the most calls produce the lowest subscription rates, while months with fewer calls consistently outperform. This challenges the assumption that more outreach leads to better results.</w:t>
      </w:r>
    </w:p>
    <w:p w14:paraId="566AE54D" w14:textId="77777777" w:rsidR="009A2FB3" w:rsidRDefault="006E2A62">
      <w:pPr>
        <w:pBdr>
          <w:left w:val="thick" w:sz="12" w:space="8" w:color="1B6B3A"/>
        </w:pBdr>
        <w:spacing w:before="100" w:after="100"/>
        <w:ind w:left="200"/>
        <w:jc w:val="both"/>
      </w:pPr>
      <w:r w:rsidRPr="001B7745">
        <w:rPr>
          <w:b/>
          <w:bCs/>
        </w:rPr>
        <w:t>Recommendation:</w:t>
      </w:r>
      <w:r>
        <w:rPr>
          <w:b/>
          <w:bCs/>
          <w:color w:val="1B6B3A"/>
        </w:rPr>
        <w:t xml:space="preserve"> </w:t>
      </w:r>
      <w:r>
        <w:rPr>
          <w:color w:val="000000"/>
        </w:rPr>
        <w:t>The bank should redistribute its campaign effort across the calendar year, increasing activity in March, September, October, and December while reducing the concentration of calls in May, June, and July. A leaner and more strategically timed campaign is likely to outperform the current high-volume approach.</w:t>
      </w:r>
    </w:p>
    <w:p w14:paraId="5DEB98C8" w14:textId="77777777" w:rsidR="009A2FB3" w:rsidRPr="001B7745" w:rsidRDefault="006E2A62">
      <w:pPr>
        <w:spacing w:before="280" w:after="100"/>
      </w:pPr>
      <w:r w:rsidRPr="001B7745">
        <w:rPr>
          <w:b/>
          <w:bCs/>
          <w:sz w:val="24"/>
          <w:szCs w:val="24"/>
        </w:rPr>
        <w:t>4.5 Business Question 5: Does previous campaign outcome affect subscription?</w:t>
      </w:r>
    </w:p>
    <w:p w14:paraId="32511A62" w14:textId="77777777" w:rsidR="009A2FB3" w:rsidRDefault="006E2A62">
      <w:pPr>
        <w:spacing w:before="80" w:after="80"/>
        <w:jc w:val="both"/>
      </w:pPr>
      <w:r>
        <w:rPr>
          <w:color w:val="000000"/>
        </w:rPr>
        <w:t>The fifth business question examined whether a customer's outcome from a previous campaign is a predictor of their likelihood to subscribe in the current campaign.</w:t>
      </w:r>
    </w:p>
    <w:p w14:paraId="6C6DE064" w14:textId="77777777" w:rsidR="009A2FB3" w:rsidRPr="001B7745" w:rsidRDefault="006E2A62">
      <w:pPr>
        <w:spacing w:before="200" w:after="80"/>
      </w:pPr>
      <w:r w:rsidRPr="001B7745">
        <w:rPr>
          <w:b/>
          <w:bCs/>
          <w:sz w:val="22"/>
          <w:szCs w:val="22"/>
        </w:rPr>
        <w:t>4.5.1 Subscription Rate by Previous Campaign Outcome</w:t>
      </w:r>
    </w:p>
    <w:p w14:paraId="4E463E69" w14:textId="77777777" w:rsidR="009A2FB3" w:rsidRDefault="006E2A62">
      <w:pPr>
        <w:spacing w:before="80" w:after="80"/>
        <w:jc w:val="both"/>
      </w:pPr>
      <w:r>
        <w:rPr>
          <w:color w:val="000000"/>
        </w:rPr>
        <w:t>The analysis produced the most striking finding of the entire report. Customers who had a successful outcome in a previous campaign, meaning they had subscribed before, recorded a subscription rate of 64.7% in the current campaign. This is nearly six times higher than the overall campaign average of 11.7%.</w:t>
      </w:r>
    </w:p>
    <w:p w14:paraId="77D51324" w14:textId="77777777" w:rsidR="009A2FB3" w:rsidRDefault="006E2A62">
      <w:pPr>
        <w:spacing w:before="80" w:after="80"/>
        <w:jc w:val="both"/>
      </w:pPr>
      <w:r>
        <w:rPr>
          <w:color w:val="000000"/>
        </w:rPr>
        <w:t>Customers whose previous outcome was recorded as a failure still performed slightly above the overall average at approximately 13%. Customers with an unknown previous outcome, which is the largest group at 36,959 individuals, performed at a rate close to the overall average, suggesting that no prior contact history neither helps nor hurts significantly.</w:t>
      </w:r>
    </w:p>
    <w:p w14:paraId="444C337B" w14:textId="77777777" w:rsidR="009A2FB3" w:rsidRPr="001B7745" w:rsidRDefault="006E2A62">
      <w:pPr>
        <w:spacing w:before="200" w:after="80"/>
      </w:pPr>
      <w:r w:rsidRPr="001B7745">
        <w:rPr>
          <w:b/>
          <w:bCs/>
          <w:sz w:val="22"/>
          <w:szCs w:val="22"/>
        </w:rPr>
        <w:t>4.5.2 Subscription Proportion by Previous Outcome</w:t>
      </w:r>
    </w:p>
    <w:p w14:paraId="3A5FC2A3" w14:textId="77777777" w:rsidR="009A2FB3" w:rsidRDefault="006E2A62">
      <w:pPr>
        <w:spacing w:before="80" w:after="80"/>
        <w:jc w:val="both"/>
      </w:pPr>
      <w:r>
        <w:rPr>
          <w:color w:val="000000"/>
        </w:rPr>
        <w:lastRenderedPageBreak/>
        <w:t>The grouped bar chart confirmed that the success group stands clearly apart from all other groups in terms of subscription proportion. The contrast between the success group at 64.7% and the unknown group at approximately 11% illustrates just how powerful prior positive engagement is as a predictor of future behavior.</w:t>
      </w:r>
    </w:p>
    <w:p w14:paraId="06BAAF99" w14:textId="77777777" w:rsidR="009A2FB3" w:rsidRDefault="006E2A62">
      <w:pPr>
        <w:pBdr>
          <w:left w:val="thick" w:sz="12" w:space="8" w:color="1F4E79"/>
        </w:pBdr>
        <w:spacing w:before="100" w:after="100"/>
        <w:ind w:left="200"/>
        <w:jc w:val="both"/>
      </w:pPr>
      <w:r w:rsidRPr="001B7745">
        <w:rPr>
          <w:b/>
          <w:bCs/>
        </w:rPr>
        <w:t xml:space="preserve">Key Insight: </w:t>
      </w:r>
      <w:r>
        <w:rPr>
          <w:color w:val="000000"/>
        </w:rPr>
        <w:t>Previous campaign success is the strongest predictor of subscription identified in this analysis. A customer who said yes before is nearly six times more likely to say yes again, making this group the highest-value segment the bank can target.</w:t>
      </w:r>
    </w:p>
    <w:p w14:paraId="42EF45E4" w14:textId="77777777" w:rsidR="009A2FB3" w:rsidRDefault="006E2A62">
      <w:pPr>
        <w:pBdr>
          <w:left w:val="thick" w:sz="12" w:space="8" w:color="1B6B3A"/>
        </w:pBdr>
        <w:spacing w:before="100" w:after="100"/>
        <w:ind w:left="200"/>
        <w:jc w:val="both"/>
      </w:pPr>
      <w:r w:rsidRPr="001B7745">
        <w:rPr>
          <w:b/>
          <w:bCs/>
        </w:rPr>
        <w:t>Recommendation</w:t>
      </w:r>
      <w:r>
        <w:rPr>
          <w:b/>
          <w:bCs/>
          <w:color w:val="1B6B3A"/>
        </w:rPr>
        <w:t xml:space="preserve">: </w:t>
      </w:r>
      <w:r>
        <w:rPr>
          <w:color w:val="000000"/>
        </w:rPr>
        <w:t>The bank should maintain a well-organized and up-to-date customer database that tracks previous campaign outcomes. Customers with a prior successful subscription should be contacted first at the start of any new campaign. Building a loyalty or re-engagement strategy around this segment, such as offering preferential rates or early access to new products, could further increase conversion rates within this high-value group.</w:t>
      </w:r>
    </w:p>
    <w:p w14:paraId="70591657" w14:textId="77777777" w:rsidR="009A2FB3" w:rsidRPr="001B7745" w:rsidRDefault="006E2A62">
      <w:pPr>
        <w:pBdr>
          <w:bottom w:val="single" w:sz="6" w:space="4" w:color="1F4E79"/>
        </w:pBdr>
        <w:spacing w:before="320" w:after="120"/>
      </w:pPr>
      <w:r w:rsidRPr="001B7745">
        <w:rPr>
          <w:b/>
          <w:bCs/>
          <w:sz w:val="28"/>
          <w:szCs w:val="28"/>
        </w:rPr>
        <w:t>5. Summary of Key Findings</w:t>
      </w:r>
    </w:p>
    <w:p w14:paraId="24BAF1A2" w14:textId="77777777" w:rsidR="009A2FB3" w:rsidRDefault="006E2A62">
      <w:pPr>
        <w:spacing w:before="80" w:after="80"/>
        <w:jc w:val="both"/>
      </w:pPr>
      <w:r>
        <w:rPr>
          <w:color w:val="000000"/>
        </w:rPr>
        <w:t>The following table summarizes the five business questions, key findings, and recommendations from this analysis:</w:t>
      </w:r>
    </w:p>
    <w:p w14:paraId="32D4883A" w14:textId="77777777" w:rsidR="009A2FB3" w:rsidRDefault="009A2FB3">
      <w:pPr>
        <w:spacing w:before="60"/>
      </w:pPr>
    </w:p>
    <w:p w14:paraId="1E7AF1A3" w14:textId="77777777" w:rsidR="009A2FB3" w:rsidRDefault="006E2A62">
      <w:pPr>
        <w:spacing w:before="100" w:after="40"/>
      </w:pPr>
      <w:r w:rsidRPr="001B7745">
        <w:rPr>
          <w:b/>
          <w:bCs/>
        </w:rPr>
        <w:t>Business Question 1</w:t>
      </w:r>
    </w:p>
    <w:p w14:paraId="6D94C883" w14:textId="77777777" w:rsidR="009A2FB3" w:rsidRDefault="006E2A62">
      <w:pPr>
        <w:pStyle w:val="ListParagraph"/>
        <w:numPr>
          <w:ilvl w:val="0"/>
          <w:numId w:val="2"/>
        </w:numPr>
        <w:spacing w:before="40" w:after="40"/>
      </w:pPr>
      <w:r>
        <w:rPr>
          <w:color w:val="000000"/>
        </w:rPr>
        <w:t>Students and retired customers have the highest subscription rates at 29% and 23% respectively, well above the 11.7% overall average.</w:t>
      </w:r>
    </w:p>
    <w:p w14:paraId="7FDD42AC" w14:textId="77777777" w:rsidR="009A2FB3" w:rsidRDefault="006E2A62">
      <w:pPr>
        <w:pStyle w:val="ListParagraph"/>
        <w:numPr>
          <w:ilvl w:val="0"/>
          <w:numId w:val="2"/>
        </w:numPr>
        <w:spacing w:before="40" w:after="40"/>
      </w:pPr>
      <w:r>
        <w:rPr>
          <w:color w:val="000000"/>
        </w:rPr>
        <w:t>Middle-aged blue-collar and service workers are the least likely to subscribe.</w:t>
      </w:r>
    </w:p>
    <w:p w14:paraId="6653AEB4" w14:textId="77777777" w:rsidR="009A2FB3" w:rsidRPr="001B7745" w:rsidRDefault="006E2A62">
      <w:pPr>
        <w:spacing w:before="100" w:after="40"/>
      </w:pPr>
      <w:r w:rsidRPr="001B7745">
        <w:rPr>
          <w:b/>
          <w:bCs/>
        </w:rPr>
        <w:t>Business Question 2</w:t>
      </w:r>
    </w:p>
    <w:p w14:paraId="336210B9" w14:textId="77777777" w:rsidR="009A2FB3" w:rsidRDefault="006E2A62">
      <w:pPr>
        <w:pStyle w:val="ListParagraph"/>
        <w:numPr>
          <w:ilvl w:val="0"/>
          <w:numId w:val="2"/>
        </w:numPr>
        <w:spacing w:before="40" w:after="40"/>
      </w:pPr>
      <w:r>
        <w:rPr>
          <w:color w:val="000000"/>
        </w:rPr>
        <w:t>There is a clear inverse relationship between the number of contacts and the subscription rate. The first contact produces the best outcome.</w:t>
      </w:r>
    </w:p>
    <w:p w14:paraId="5428612C" w14:textId="77777777" w:rsidR="009A2FB3" w:rsidRDefault="006E2A62">
      <w:pPr>
        <w:pStyle w:val="ListParagraph"/>
        <w:numPr>
          <w:ilvl w:val="0"/>
          <w:numId w:val="2"/>
        </w:numPr>
        <w:spacing w:before="40" w:after="40"/>
      </w:pPr>
      <w:r>
        <w:rPr>
          <w:color w:val="000000"/>
        </w:rPr>
        <w:t>Contacting a customer more than three times yields minimal returns.</w:t>
      </w:r>
    </w:p>
    <w:p w14:paraId="2C24B844" w14:textId="77777777" w:rsidR="009A2FB3" w:rsidRPr="001B7745" w:rsidRDefault="006E2A62">
      <w:pPr>
        <w:spacing w:before="100" w:after="40"/>
      </w:pPr>
      <w:r w:rsidRPr="001B7745">
        <w:rPr>
          <w:b/>
          <w:bCs/>
        </w:rPr>
        <w:t>Business Question 3</w:t>
      </w:r>
    </w:p>
    <w:p w14:paraId="17BDD608" w14:textId="77777777" w:rsidR="009A2FB3" w:rsidRDefault="006E2A62">
      <w:pPr>
        <w:pStyle w:val="ListParagraph"/>
        <w:numPr>
          <w:ilvl w:val="0"/>
          <w:numId w:val="2"/>
        </w:numPr>
        <w:spacing w:before="40" w:after="40"/>
      </w:pPr>
      <w:r>
        <w:rPr>
          <w:color w:val="000000"/>
        </w:rPr>
        <w:t>Customers who subscribed had a median call duration of 537 seconds compared to 220 seconds for non-subscribers.</w:t>
      </w:r>
    </w:p>
    <w:p w14:paraId="68C8B5C3" w14:textId="77777777" w:rsidR="009A2FB3" w:rsidRDefault="006E2A62">
      <w:pPr>
        <w:pStyle w:val="ListParagraph"/>
        <w:numPr>
          <w:ilvl w:val="0"/>
          <w:numId w:val="2"/>
        </w:numPr>
        <w:spacing w:before="40" w:after="40"/>
      </w:pPr>
      <w:r>
        <w:rPr>
          <w:color w:val="000000"/>
        </w:rPr>
        <w:t>Longer, more engaged calls are strongly associated with positive subscription outcomes.</w:t>
      </w:r>
    </w:p>
    <w:p w14:paraId="76F1F744" w14:textId="77777777" w:rsidR="009A2FB3" w:rsidRPr="001B7745" w:rsidRDefault="006E2A62">
      <w:pPr>
        <w:spacing w:before="100" w:after="40"/>
      </w:pPr>
      <w:r w:rsidRPr="001B7745">
        <w:rPr>
          <w:b/>
          <w:bCs/>
        </w:rPr>
        <w:t>Business Question 4</w:t>
      </w:r>
    </w:p>
    <w:p w14:paraId="3BA7EE74" w14:textId="77777777" w:rsidR="009A2FB3" w:rsidRDefault="006E2A62">
      <w:pPr>
        <w:pStyle w:val="ListParagraph"/>
        <w:numPr>
          <w:ilvl w:val="0"/>
          <w:numId w:val="2"/>
        </w:numPr>
        <w:spacing w:before="40" w:after="40"/>
      </w:pPr>
      <w:r>
        <w:rPr>
          <w:color w:val="000000"/>
        </w:rPr>
        <w:t>An inverse relationship exists between monthly call volume and subscription rate. Months with fewer calls such as March, September, October, and December consistently outperform high-volume months.</w:t>
      </w:r>
    </w:p>
    <w:p w14:paraId="3473B0A2" w14:textId="77777777" w:rsidR="009A2FB3" w:rsidRDefault="006E2A62">
      <w:pPr>
        <w:pStyle w:val="ListParagraph"/>
        <w:numPr>
          <w:ilvl w:val="0"/>
          <w:numId w:val="2"/>
        </w:numPr>
        <w:spacing w:before="40" w:after="40"/>
      </w:pPr>
      <w:r>
        <w:rPr>
          <w:color w:val="000000"/>
        </w:rPr>
        <w:t>May, the highest-volume month, records a below-average subscription rate.</w:t>
      </w:r>
    </w:p>
    <w:p w14:paraId="554BFE2F" w14:textId="77777777" w:rsidR="009A2FB3" w:rsidRPr="001B7745" w:rsidRDefault="006E2A62">
      <w:pPr>
        <w:spacing w:before="100" w:after="40"/>
      </w:pPr>
      <w:r w:rsidRPr="001B7745">
        <w:rPr>
          <w:b/>
          <w:bCs/>
        </w:rPr>
        <w:t>Business Question 5</w:t>
      </w:r>
    </w:p>
    <w:p w14:paraId="5F6327EA" w14:textId="77777777" w:rsidR="009A2FB3" w:rsidRDefault="006E2A62">
      <w:pPr>
        <w:pStyle w:val="ListParagraph"/>
        <w:numPr>
          <w:ilvl w:val="0"/>
          <w:numId w:val="2"/>
        </w:numPr>
        <w:spacing w:before="40" w:after="40"/>
      </w:pPr>
      <w:r>
        <w:rPr>
          <w:color w:val="000000"/>
        </w:rPr>
        <w:t>Previous campaign success is the strongest predictor of subscription at 64.7%, nearly six times the overall average.</w:t>
      </w:r>
    </w:p>
    <w:p w14:paraId="79FF29D9" w14:textId="77777777" w:rsidR="009A2FB3" w:rsidRDefault="006E2A62">
      <w:pPr>
        <w:pStyle w:val="ListParagraph"/>
        <w:numPr>
          <w:ilvl w:val="0"/>
          <w:numId w:val="2"/>
        </w:numPr>
        <w:spacing w:before="40" w:after="40"/>
      </w:pPr>
      <w:r>
        <w:rPr>
          <w:color w:val="000000"/>
        </w:rPr>
        <w:t>Re-engaging previously successful customers should be a top priority for future campaigns.</w:t>
      </w:r>
    </w:p>
    <w:p w14:paraId="4CF574F9" w14:textId="77777777" w:rsidR="009A2FB3" w:rsidRPr="001B7745" w:rsidRDefault="006E2A62">
      <w:pPr>
        <w:pBdr>
          <w:bottom w:val="single" w:sz="6" w:space="4" w:color="1F4E79"/>
        </w:pBdr>
        <w:spacing w:before="320" w:after="120"/>
      </w:pPr>
      <w:r w:rsidRPr="001B7745">
        <w:rPr>
          <w:b/>
          <w:bCs/>
          <w:sz w:val="28"/>
          <w:szCs w:val="28"/>
        </w:rPr>
        <w:t>6. Conclusion</w:t>
      </w:r>
    </w:p>
    <w:p w14:paraId="7F955A22" w14:textId="77777777" w:rsidR="009A2FB3" w:rsidRDefault="006E2A62">
      <w:pPr>
        <w:spacing w:before="80" w:after="80"/>
        <w:jc w:val="both"/>
      </w:pPr>
      <w:r>
        <w:rPr>
          <w:color w:val="000000"/>
        </w:rPr>
        <w:t>This analysis of the bank marketing campaign dataset has revealed five clear and actionable patterns that explain which customers are most likely to subscribe to a term deposit and under what conditions.</w:t>
      </w:r>
    </w:p>
    <w:p w14:paraId="1FAFB6DA" w14:textId="77777777" w:rsidR="009A2FB3" w:rsidRDefault="006E2A62">
      <w:pPr>
        <w:spacing w:before="80" w:after="80"/>
        <w:jc w:val="both"/>
      </w:pPr>
      <w:r>
        <w:rPr>
          <w:color w:val="000000"/>
        </w:rPr>
        <w:t xml:space="preserve">The overall subscription rate of 11.7% indicates that the current campaign approach is broad but not sufficiently targeted. The findings consistently point toward a common theme: quality outreach to the </w:t>
      </w:r>
      <w:r>
        <w:rPr>
          <w:color w:val="000000"/>
        </w:rPr>
        <w:lastRenderedPageBreak/>
        <w:t>right customers at the right time produces significantly better results than high-volume, undifferentiated contact.</w:t>
      </w:r>
    </w:p>
    <w:p w14:paraId="33067D46" w14:textId="77777777" w:rsidR="009A2FB3" w:rsidRDefault="006E2A62">
      <w:pPr>
        <w:spacing w:before="80" w:after="80"/>
        <w:jc w:val="both"/>
      </w:pPr>
      <w:r>
        <w:rPr>
          <w:color w:val="000000"/>
        </w:rPr>
        <w:t>Students, retired customers, and those with a previous successful subscription represent the highest-value segments. Shorter campaigns concentrated in high-performing months such as March, September, October, and December, with a maximum of two to three contact attempts per customer, and a focus on meaningful conversations rather than call volume, would likely produce a substantially higher conversion rate without a proportional increase in cost.</w:t>
      </w:r>
    </w:p>
    <w:p w14:paraId="1B00A320" w14:textId="77777777" w:rsidR="009A2FB3" w:rsidRDefault="006E2A62">
      <w:pPr>
        <w:spacing w:before="80" w:after="80"/>
        <w:jc w:val="both"/>
      </w:pPr>
      <w:r>
        <w:rPr>
          <w:color w:val="000000"/>
        </w:rPr>
        <w:t>The insights from this report provide a practical foundation for redesigning the bank's telemarketing strategy to be more data-driven, efficient, and customer-centered.</w:t>
      </w:r>
    </w:p>
    <w:p w14:paraId="027EBB0D" w14:textId="77777777" w:rsidR="009A2FB3" w:rsidRDefault="009A2FB3">
      <w:pPr>
        <w:spacing w:before="60"/>
      </w:pPr>
    </w:p>
    <w:p w14:paraId="25500613" w14:textId="15501ACA" w:rsidR="009A2FB3" w:rsidRPr="001B7745" w:rsidRDefault="009A2FB3" w:rsidP="001B7745">
      <w:pPr>
        <w:spacing w:before="60"/>
      </w:pPr>
    </w:p>
    <w:sectPr w:rsidR="009A2FB3" w:rsidRPr="001B77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10402"/>
    <w:multiLevelType w:val="hybridMultilevel"/>
    <w:tmpl w:val="C02CD3FE"/>
    <w:lvl w:ilvl="0" w:tplc="6B5E7D86">
      <w:start w:val="1"/>
      <w:numFmt w:val="bullet"/>
      <w:lvlText w:val="●"/>
      <w:lvlJc w:val="left"/>
      <w:pPr>
        <w:ind w:left="720" w:hanging="360"/>
      </w:pPr>
    </w:lvl>
    <w:lvl w:ilvl="1" w:tplc="EE20CBA0">
      <w:start w:val="1"/>
      <w:numFmt w:val="bullet"/>
      <w:lvlText w:val="○"/>
      <w:lvlJc w:val="left"/>
      <w:pPr>
        <w:ind w:left="1440" w:hanging="360"/>
      </w:pPr>
    </w:lvl>
    <w:lvl w:ilvl="2" w:tplc="31C6E114">
      <w:start w:val="1"/>
      <w:numFmt w:val="bullet"/>
      <w:lvlText w:val="■"/>
      <w:lvlJc w:val="left"/>
      <w:pPr>
        <w:ind w:left="2160" w:hanging="360"/>
      </w:pPr>
    </w:lvl>
    <w:lvl w:ilvl="3" w:tplc="3BEE6AF2">
      <w:start w:val="1"/>
      <w:numFmt w:val="bullet"/>
      <w:lvlText w:val="●"/>
      <w:lvlJc w:val="left"/>
      <w:pPr>
        <w:ind w:left="2880" w:hanging="360"/>
      </w:pPr>
    </w:lvl>
    <w:lvl w:ilvl="4" w:tplc="5DD887A6">
      <w:start w:val="1"/>
      <w:numFmt w:val="bullet"/>
      <w:lvlText w:val="○"/>
      <w:lvlJc w:val="left"/>
      <w:pPr>
        <w:ind w:left="3600" w:hanging="360"/>
      </w:pPr>
    </w:lvl>
    <w:lvl w:ilvl="5" w:tplc="77EE64E0">
      <w:start w:val="1"/>
      <w:numFmt w:val="bullet"/>
      <w:lvlText w:val="■"/>
      <w:lvlJc w:val="left"/>
      <w:pPr>
        <w:ind w:left="4320" w:hanging="360"/>
      </w:pPr>
    </w:lvl>
    <w:lvl w:ilvl="6" w:tplc="5072A2F2">
      <w:start w:val="1"/>
      <w:numFmt w:val="bullet"/>
      <w:lvlText w:val="●"/>
      <w:lvlJc w:val="left"/>
      <w:pPr>
        <w:ind w:left="5040" w:hanging="360"/>
      </w:pPr>
    </w:lvl>
    <w:lvl w:ilvl="7" w:tplc="D144A20E">
      <w:start w:val="1"/>
      <w:numFmt w:val="bullet"/>
      <w:lvlText w:val="●"/>
      <w:lvlJc w:val="left"/>
      <w:pPr>
        <w:ind w:left="5760" w:hanging="360"/>
      </w:pPr>
    </w:lvl>
    <w:lvl w:ilvl="8" w:tplc="8E7E2216">
      <w:start w:val="1"/>
      <w:numFmt w:val="bullet"/>
      <w:lvlText w:val="●"/>
      <w:lvlJc w:val="left"/>
      <w:pPr>
        <w:ind w:left="6480" w:hanging="360"/>
      </w:pPr>
    </w:lvl>
  </w:abstractNum>
  <w:abstractNum w:abstractNumId="1" w15:restartNumberingAfterBreak="0">
    <w:nsid w:val="7D184CED"/>
    <w:multiLevelType w:val="hybridMultilevel"/>
    <w:tmpl w:val="C5DE58B0"/>
    <w:lvl w:ilvl="0" w:tplc="AA68C73E">
      <w:start w:val="1"/>
      <w:numFmt w:val="bullet"/>
      <w:lvlText w:val="•"/>
      <w:lvlJc w:val="left"/>
      <w:pPr>
        <w:ind w:left="460" w:hanging="260"/>
      </w:pPr>
    </w:lvl>
    <w:lvl w:ilvl="1" w:tplc="509CCC42">
      <w:numFmt w:val="decimal"/>
      <w:lvlText w:val=""/>
      <w:lvlJc w:val="left"/>
    </w:lvl>
    <w:lvl w:ilvl="2" w:tplc="8C8EB70A">
      <w:numFmt w:val="decimal"/>
      <w:lvlText w:val=""/>
      <w:lvlJc w:val="left"/>
    </w:lvl>
    <w:lvl w:ilvl="3" w:tplc="A18E36AA">
      <w:numFmt w:val="decimal"/>
      <w:lvlText w:val=""/>
      <w:lvlJc w:val="left"/>
    </w:lvl>
    <w:lvl w:ilvl="4" w:tplc="9412F4EE">
      <w:numFmt w:val="decimal"/>
      <w:lvlText w:val=""/>
      <w:lvlJc w:val="left"/>
    </w:lvl>
    <w:lvl w:ilvl="5" w:tplc="CEB80D08">
      <w:numFmt w:val="decimal"/>
      <w:lvlText w:val=""/>
      <w:lvlJc w:val="left"/>
    </w:lvl>
    <w:lvl w:ilvl="6" w:tplc="345ADFAE">
      <w:numFmt w:val="decimal"/>
      <w:lvlText w:val=""/>
      <w:lvlJc w:val="left"/>
    </w:lvl>
    <w:lvl w:ilvl="7" w:tplc="CF964B1E">
      <w:numFmt w:val="decimal"/>
      <w:lvlText w:val=""/>
      <w:lvlJc w:val="left"/>
    </w:lvl>
    <w:lvl w:ilvl="8" w:tplc="1B26E27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FB3"/>
    <w:rsid w:val="001B7745"/>
    <w:rsid w:val="00276B79"/>
    <w:rsid w:val="006E2A62"/>
    <w:rsid w:val="009A2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6E94"/>
  <w15:docId w15:val="{23920F61-0455-41A9-9172-40738F6DA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7</Pages>
  <Words>2508</Words>
  <Characters>14300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AgriConnect</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Abigail Bantang</cp:lastModifiedBy>
  <cp:revision>1</cp:revision>
  <dcterms:created xsi:type="dcterms:W3CDTF">2026-06-20T20:05:00Z</dcterms:created>
  <dcterms:modified xsi:type="dcterms:W3CDTF">2026-06-21T14:02:00Z</dcterms:modified>
</cp:coreProperties>
</file>