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0A25A6">
      <w:r>
        <w:t xml:space="preserve">Respond Aim 1 </w:t>
      </w:r>
      <w:r w:rsidR="00F21881">
        <w:t xml:space="preserve">Aggressive PCa </w:t>
      </w:r>
      <w:r>
        <w:t>Outcome definitions</w:t>
      </w:r>
    </w:p>
    <w:p w:rsidR="000A25A6" w:rsidRDefault="000A25A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9"/>
        <w:gridCol w:w="2510"/>
        <w:gridCol w:w="2510"/>
        <w:gridCol w:w="2909"/>
        <w:gridCol w:w="2512"/>
      </w:tblGrid>
      <w:tr w:rsidR="000A25A6" w:rsidRPr="007612F8" w:rsidTr="00891DBC">
        <w:tc>
          <w:tcPr>
            <w:tcW w:w="969" w:type="pct"/>
          </w:tcPr>
          <w:p w:rsidR="000A25A6" w:rsidRPr="007612F8" w:rsidRDefault="000A25A6">
            <w:pPr>
              <w:rPr>
                <w:b/>
              </w:rPr>
            </w:pPr>
            <w:r w:rsidRPr="007612F8">
              <w:rPr>
                <w:b/>
              </w:rPr>
              <w:t>Outcome</w:t>
            </w:r>
          </w:p>
        </w:tc>
        <w:tc>
          <w:tcPr>
            <w:tcW w:w="969" w:type="pct"/>
          </w:tcPr>
          <w:p w:rsidR="000A25A6" w:rsidRPr="007612F8" w:rsidRDefault="000A25A6">
            <w:pPr>
              <w:rPr>
                <w:b/>
              </w:rPr>
            </w:pPr>
            <w:r w:rsidRPr="007612F8">
              <w:rPr>
                <w:b/>
              </w:rPr>
              <w:t>Registries</w:t>
            </w:r>
          </w:p>
        </w:tc>
        <w:tc>
          <w:tcPr>
            <w:tcW w:w="969" w:type="pct"/>
          </w:tcPr>
          <w:p w:rsidR="000A25A6" w:rsidRPr="007612F8" w:rsidRDefault="000A25A6">
            <w:pPr>
              <w:rPr>
                <w:b/>
              </w:rPr>
            </w:pPr>
            <w:r w:rsidRPr="007612F8">
              <w:rPr>
                <w:b/>
              </w:rPr>
              <w:t>Years of diagnosis</w:t>
            </w:r>
          </w:p>
        </w:tc>
        <w:tc>
          <w:tcPr>
            <w:tcW w:w="1123" w:type="pct"/>
          </w:tcPr>
          <w:p w:rsidR="000A25A6" w:rsidRPr="007612F8" w:rsidRDefault="000A25A6">
            <w:pPr>
              <w:rPr>
                <w:b/>
              </w:rPr>
            </w:pPr>
            <w:r w:rsidRPr="007612F8">
              <w:rPr>
                <w:b/>
              </w:rPr>
              <w:t>Variables</w:t>
            </w:r>
          </w:p>
        </w:tc>
        <w:tc>
          <w:tcPr>
            <w:tcW w:w="970" w:type="pct"/>
          </w:tcPr>
          <w:p w:rsidR="000A25A6" w:rsidRPr="007612F8" w:rsidRDefault="000A25A6">
            <w:pPr>
              <w:rPr>
                <w:b/>
              </w:rPr>
            </w:pPr>
            <w:r w:rsidRPr="007612F8">
              <w:rPr>
                <w:b/>
              </w:rPr>
              <w:t>Comments</w:t>
            </w:r>
          </w:p>
        </w:tc>
      </w:tr>
      <w:tr w:rsidR="00342403" w:rsidTr="00891DBC">
        <w:tc>
          <w:tcPr>
            <w:tcW w:w="969" w:type="pct"/>
            <w:vMerge w:val="restart"/>
          </w:tcPr>
          <w:p w:rsidR="00342403" w:rsidRPr="007612F8" w:rsidRDefault="00342403">
            <w:pPr>
              <w:rPr>
                <w:b/>
              </w:rPr>
            </w:pPr>
            <w:r w:rsidRPr="007612F8">
              <w:rPr>
                <w:b/>
              </w:rPr>
              <w:t>Advanced stage (not confined to the prostate)</w:t>
            </w:r>
          </w:p>
        </w:tc>
        <w:tc>
          <w:tcPr>
            <w:tcW w:w="969" w:type="pct"/>
            <w:vMerge w:val="restart"/>
          </w:tcPr>
          <w:p w:rsidR="00342403" w:rsidRDefault="00342403">
            <w:r>
              <w:t>CA, GA, LA, MI, NJ, TX</w:t>
            </w:r>
          </w:p>
        </w:tc>
        <w:tc>
          <w:tcPr>
            <w:tcW w:w="969" w:type="pct"/>
          </w:tcPr>
          <w:p w:rsidR="00342403" w:rsidRDefault="00342403" w:rsidP="00342403">
            <w:r>
              <w:t>2000</w:t>
            </w:r>
          </w:p>
        </w:tc>
        <w:tc>
          <w:tcPr>
            <w:tcW w:w="1123" w:type="pct"/>
          </w:tcPr>
          <w:p w:rsidR="00342403" w:rsidRDefault="00342403">
            <w:r>
              <w:t>seerSummaryStage1977</w:t>
            </w:r>
          </w:p>
          <w:p w:rsidR="00342403" w:rsidRDefault="00342403" w:rsidP="00342403"/>
        </w:tc>
        <w:tc>
          <w:tcPr>
            <w:tcW w:w="970" w:type="pct"/>
            <w:vMerge w:val="restart"/>
          </w:tcPr>
          <w:p w:rsidR="00EA6A4D" w:rsidRDefault="00EA6A4D">
            <w:r>
              <w:t>Only outcome can assess for all registries and all years</w:t>
            </w:r>
          </w:p>
          <w:p w:rsidR="00EA6A4D" w:rsidRDefault="00EA6A4D"/>
          <w:p w:rsidR="00342403" w:rsidRDefault="00342403" w:rsidP="00CD375D"/>
        </w:tc>
      </w:tr>
      <w:tr w:rsidR="00342403" w:rsidTr="00891DBC"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</w:tcPr>
          <w:p w:rsidR="00342403" w:rsidRDefault="00342403">
            <w:r>
              <w:t>2001-2003</w:t>
            </w:r>
          </w:p>
        </w:tc>
        <w:tc>
          <w:tcPr>
            <w:tcW w:w="1123" w:type="pct"/>
          </w:tcPr>
          <w:p w:rsidR="00342403" w:rsidRDefault="00342403" w:rsidP="00342403">
            <w:r>
              <w:t>seerSummaryStage2000</w:t>
            </w:r>
          </w:p>
          <w:p w:rsidR="00342403" w:rsidRDefault="00342403"/>
        </w:tc>
        <w:tc>
          <w:tcPr>
            <w:tcW w:w="970" w:type="pct"/>
            <w:vMerge/>
          </w:tcPr>
          <w:p w:rsidR="00342403" w:rsidRDefault="00342403"/>
        </w:tc>
      </w:tr>
      <w:tr w:rsidR="00342403" w:rsidTr="00891DBC"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</w:tcPr>
          <w:p w:rsidR="00342403" w:rsidRDefault="00342403">
            <w:r>
              <w:t>2004-2013</w:t>
            </w:r>
          </w:p>
        </w:tc>
        <w:tc>
          <w:tcPr>
            <w:tcW w:w="1123" w:type="pct"/>
          </w:tcPr>
          <w:p w:rsidR="00342403" w:rsidRDefault="00342403">
            <w:r>
              <w:t>derivedSs2000</w:t>
            </w:r>
          </w:p>
        </w:tc>
        <w:tc>
          <w:tcPr>
            <w:tcW w:w="970" w:type="pct"/>
            <w:vMerge/>
          </w:tcPr>
          <w:p w:rsidR="00342403" w:rsidRDefault="00342403"/>
        </w:tc>
      </w:tr>
      <w:tr w:rsidR="00891DBC" w:rsidTr="007612F8">
        <w:tc>
          <w:tcPr>
            <w:tcW w:w="5000" w:type="pct"/>
            <w:gridSpan w:val="5"/>
            <w:shd w:val="clear" w:color="auto" w:fill="D9D9D9" w:themeFill="background1" w:themeFillShade="D9"/>
          </w:tcPr>
          <w:p w:rsidR="00891DBC" w:rsidRDefault="00891DBC"/>
        </w:tc>
      </w:tr>
      <w:tr w:rsidR="00342403" w:rsidTr="00891DBC">
        <w:tc>
          <w:tcPr>
            <w:tcW w:w="969" w:type="pct"/>
            <w:vMerge w:val="restart"/>
          </w:tcPr>
          <w:p w:rsidR="00342403" w:rsidRPr="007612F8" w:rsidRDefault="00342403">
            <w:pPr>
              <w:rPr>
                <w:b/>
              </w:rPr>
            </w:pPr>
            <w:r w:rsidRPr="007612F8">
              <w:rPr>
                <w:b/>
              </w:rPr>
              <w:t>High grade (Gleason 8-10)</w:t>
            </w:r>
          </w:p>
        </w:tc>
        <w:tc>
          <w:tcPr>
            <w:tcW w:w="969" w:type="pct"/>
          </w:tcPr>
          <w:p w:rsidR="00342403" w:rsidRDefault="00342403">
            <w:r>
              <w:t>CA, GA, LA, MI, NJ, TX</w:t>
            </w:r>
          </w:p>
        </w:tc>
        <w:tc>
          <w:tcPr>
            <w:tcW w:w="969" w:type="pct"/>
          </w:tcPr>
          <w:p w:rsidR="00342403" w:rsidRDefault="00342403" w:rsidP="005E6F95">
            <w:r>
              <w:t>2000-2002</w:t>
            </w:r>
          </w:p>
        </w:tc>
        <w:tc>
          <w:tcPr>
            <w:tcW w:w="1123" w:type="pct"/>
          </w:tcPr>
          <w:p w:rsidR="00342403" w:rsidRDefault="00342403">
            <w:r>
              <w:t xml:space="preserve">Grade </w:t>
            </w:r>
          </w:p>
          <w:p w:rsidR="00342403" w:rsidRDefault="00342403"/>
        </w:tc>
        <w:tc>
          <w:tcPr>
            <w:tcW w:w="970" w:type="pct"/>
            <w:vMerge w:val="restart"/>
          </w:tcPr>
          <w:p w:rsidR="00342403" w:rsidRDefault="00342403" w:rsidP="00BA19E2">
            <w:r>
              <w:t>Use path &gt; bx hierarchy.  Need to check SSF 10 and 8 even in earlier years because may be populated instead of SSF 6 depending on when case abstracted</w:t>
            </w:r>
          </w:p>
        </w:tc>
      </w:tr>
      <w:tr w:rsidR="00342403" w:rsidTr="00891DBC"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</w:tcPr>
          <w:p w:rsidR="00342403" w:rsidRDefault="00342403">
            <w:r>
              <w:t>CA, GA, LA, MI, NJ</w:t>
            </w:r>
          </w:p>
        </w:tc>
        <w:tc>
          <w:tcPr>
            <w:tcW w:w="969" w:type="pct"/>
          </w:tcPr>
          <w:p w:rsidR="00342403" w:rsidRDefault="00342403">
            <w:r>
              <w:t>2004-2013</w:t>
            </w:r>
          </w:p>
        </w:tc>
        <w:tc>
          <w:tcPr>
            <w:tcW w:w="1123" w:type="pct"/>
          </w:tcPr>
          <w:p w:rsidR="00342403" w:rsidRDefault="00342403" w:rsidP="005E6F95">
            <w:r>
              <w:t xml:space="preserve">Cssitespecificfactor6 </w:t>
            </w:r>
          </w:p>
          <w:p w:rsidR="00342403" w:rsidRDefault="00342403" w:rsidP="005E6F95">
            <w:r>
              <w:t>csSiteSpecificfactor10</w:t>
            </w:r>
          </w:p>
          <w:p w:rsidR="00342403" w:rsidRDefault="00342403" w:rsidP="005E6F95">
            <w:r>
              <w:t>csSitespecificFactor8</w:t>
            </w:r>
          </w:p>
        </w:tc>
        <w:tc>
          <w:tcPr>
            <w:tcW w:w="970" w:type="pct"/>
            <w:vMerge/>
          </w:tcPr>
          <w:p w:rsidR="00342403" w:rsidRDefault="00342403"/>
        </w:tc>
      </w:tr>
      <w:tr w:rsidR="00342403" w:rsidTr="00891DBC"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</w:tcPr>
          <w:p w:rsidR="00342403" w:rsidRDefault="00342403">
            <w:r>
              <w:t>TX</w:t>
            </w:r>
          </w:p>
        </w:tc>
        <w:tc>
          <w:tcPr>
            <w:tcW w:w="969" w:type="pct"/>
          </w:tcPr>
          <w:p w:rsidR="00342403" w:rsidRDefault="00342403">
            <w:r>
              <w:t>2011-2013</w:t>
            </w:r>
          </w:p>
        </w:tc>
        <w:tc>
          <w:tcPr>
            <w:tcW w:w="1123" w:type="pct"/>
          </w:tcPr>
          <w:p w:rsidR="00342403" w:rsidRDefault="00342403" w:rsidP="005E6F95">
            <w:r>
              <w:t>csSiteSpecificfactor10</w:t>
            </w:r>
          </w:p>
          <w:p w:rsidR="00342403" w:rsidRDefault="00342403" w:rsidP="005E6F95">
            <w:r>
              <w:t>csSitespecificFactor8</w:t>
            </w:r>
          </w:p>
        </w:tc>
        <w:tc>
          <w:tcPr>
            <w:tcW w:w="970" w:type="pct"/>
            <w:vMerge/>
          </w:tcPr>
          <w:p w:rsidR="00342403" w:rsidRDefault="00342403"/>
        </w:tc>
      </w:tr>
      <w:tr w:rsidR="00891DBC" w:rsidTr="007612F8">
        <w:tc>
          <w:tcPr>
            <w:tcW w:w="5000" w:type="pct"/>
            <w:gridSpan w:val="5"/>
            <w:shd w:val="clear" w:color="auto" w:fill="D9D9D9" w:themeFill="background1" w:themeFillShade="D9"/>
          </w:tcPr>
          <w:p w:rsidR="00891DBC" w:rsidRDefault="00891DBC"/>
        </w:tc>
      </w:tr>
      <w:tr w:rsidR="00342403" w:rsidTr="00891DBC">
        <w:tc>
          <w:tcPr>
            <w:tcW w:w="969" w:type="pct"/>
            <w:vMerge w:val="restart"/>
          </w:tcPr>
          <w:p w:rsidR="00342403" w:rsidRPr="007612F8" w:rsidRDefault="00342403" w:rsidP="00133F25">
            <w:pPr>
              <w:rPr>
                <w:b/>
              </w:rPr>
            </w:pPr>
            <w:r w:rsidRPr="007612F8">
              <w:rPr>
                <w:b/>
              </w:rPr>
              <w:t>Combined risk grouping (M1,N1,T3/T4, Gleason 8-10, or PSA &gt;20</w:t>
            </w:r>
            <w:r w:rsidR="007612F8">
              <w:rPr>
                <w:b/>
              </w:rPr>
              <w:t xml:space="preserve"> </w:t>
            </w:r>
            <w:r w:rsidRPr="007612F8">
              <w:rPr>
                <w:b/>
              </w:rPr>
              <w:t>ng/ml)</w:t>
            </w:r>
          </w:p>
        </w:tc>
        <w:tc>
          <w:tcPr>
            <w:tcW w:w="969" w:type="pct"/>
            <w:vMerge w:val="restart"/>
          </w:tcPr>
          <w:p w:rsidR="00342403" w:rsidRDefault="00342403">
            <w:r>
              <w:t>CA, GA, LA, MI, NJ</w:t>
            </w:r>
          </w:p>
          <w:p w:rsidR="00342403" w:rsidRDefault="00342403" w:rsidP="006569CD"/>
        </w:tc>
        <w:tc>
          <w:tcPr>
            <w:tcW w:w="969" w:type="pct"/>
          </w:tcPr>
          <w:p w:rsidR="00342403" w:rsidRDefault="00342403">
            <w:r>
              <w:t>2004-2009</w:t>
            </w:r>
          </w:p>
        </w:tc>
        <w:tc>
          <w:tcPr>
            <w:tcW w:w="1123" w:type="pct"/>
          </w:tcPr>
          <w:p w:rsidR="00342403" w:rsidRDefault="00342403">
            <w:r>
              <w:t>Derivedajcc6T</w:t>
            </w:r>
          </w:p>
          <w:p w:rsidR="00342403" w:rsidRDefault="00342403" w:rsidP="0000663C">
            <w:r>
              <w:t>derivedAjcc6N</w:t>
            </w:r>
          </w:p>
          <w:p w:rsidR="00342403" w:rsidRDefault="00342403" w:rsidP="0000663C">
            <w:r>
              <w:t>derivedAjcc6M</w:t>
            </w:r>
          </w:p>
          <w:p w:rsidR="00342403" w:rsidRDefault="00342403" w:rsidP="0000663C">
            <w:r>
              <w:t xml:space="preserve">Cssitespecificfactor6 </w:t>
            </w:r>
          </w:p>
          <w:p w:rsidR="00342403" w:rsidRDefault="00342403" w:rsidP="0000663C">
            <w:r>
              <w:t>csSiteSpecificfactor10</w:t>
            </w:r>
          </w:p>
          <w:p w:rsidR="00342403" w:rsidRDefault="00342403" w:rsidP="0000663C">
            <w:r>
              <w:t>csSitespecificFactor8</w:t>
            </w:r>
          </w:p>
          <w:p w:rsidR="00342403" w:rsidRDefault="00342403" w:rsidP="0000663C">
            <w:r>
              <w:t xml:space="preserve">csSitespecificFactor1 </w:t>
            </w:r>
          </w:p>
        </w:tc>
        <w:tc>
          <w:tcPr>
            <w:tcW w:w="970" w:type="pct"/>
            <w:vMerge w:val="restart"/>
          </w:tcPr>
          <w:p w:rsidR="00342403" w:rsidRDefault="00342403" w:rsidP="0000663C">
            <w:r>
              <w:t xml:space="preserve">Using path&gt;bx hierarchy for all variables because of registry data collection limitations.  Therefore </w:t>
            </w:r>
            <w:r w:rsidR="00A16FDC">
              <w:t>can use</w:t>
            </w:r>
            <w:r>
              <w:t xml:space="preserve"> derived AJCC items </w:t>
            </w:r>
          </w:p>
          <w:p w:rsidR="00342403" w:rsidRDefault="00342403" w:rsidP="0000663C"/>
          <w:p w:rsidR="00342403" w:rsidRDefault="00342403" w:rsidP="0000663C">
            <w:r>
              <w:t>PSA completeness for TX &lt; other registries</w:t>
            </w:r>
          </w:p>
        </w:tc>
      </w:tr>
      <w:tr w:rsidR="00342403" w:rsidTr="00891DBC"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</w:tcPr>
          <w:p w:rsidR="00342403" w:rsidRDefault="00342403">
            <w:r>
              <w:t>2010-2013</w:t>
            </w:r>
          </w:p>
        </w:tc>
        <w:tc>
          <w:tcPr>
            <w:tcW w:w="1123" w:type="pct"/>
          </w:tcPr>
          <w:p w:rsidR="00342403" w:rsidRDefault="00342403" w:rsidP="0000663C">
            <w:r>
              <w:t>Derivedajcc7T</w:t>
            </w:r>
          </w:p>
          <w:p w:rsidR="00342403" w:rsidRDefault="00342403" w:rsidP="0000663C">
            <w:r>
              <w:t>derivedAjcc7N</w:t>
            </w:r>
          </w:p>
          <w:p w:rsidR="00342403" w:rsidRDefault="00342403" w:rsidP="0000663C">
            <w:r>
              <w:t>derivedAjcc7M</w:t>
            </w:r>
          </w:p>
          <w:p w:rsidR="00342403" w:rsidRDefault="00342403" w:rsidP="0000663C">
            <w:r>
              <w:t>csSiteSpecificfactor10</w:t>
            </w:r>
          </w:p>
          <w:p w:rsidR="00342403" w:rsidRDefault="00342403" w:rsidP="0000663C">
            <w:r>
              <w:t>csSitespecificFactor8</w:t>
            </w:r>
          </w:p>
          <w:p w:rsidR="00342403" w:rsidRDefault="00342403" w:rsidP="0000663C">
            <w:r>
              <w:t>csSitespecificFactor1</w:t>
            </w:r>
          </w:p>
        </w:tc>
        <w:tc>
          <w:tcPr>
            <w:tcW w:w="970" w:type="pct"/>
            <w:vMerge/>
          </w:tcPr>
          <w:p w:rsidR="00342403" w:rsidRDefault="00342403"/>
        </w:tc>
      </w:tr>
      <w:tr w:rsidR="00342403" w:rsidTr="00891DBC">
        <w:tc>
          <w:tcPr>
            <w:tcW w:w="969" w:type="pct"/>
            <w:vMerge/>
          </w:tcPr>
          <w:p w:rsidR="00342403" w:rsidRDefault="00342403"/>
        </w:tc>
        <w:tc>
          <w:tcPr>
            <w:tcW w:w="969" w:type="pct"/>
          </w:tcPr>
          <w:p w:rsidR="00342403" w:rsidRDefault="00342403">
            <w:r>
              <w:t>TX</w:t>
            </w:r>
          </w:p>
        </w:tc>
        <w:tc>
          <w:tcPr>
            <w:tcW w:w="969" w:type="pct"/>
          </w:tcPr>
          <w:p w:rsidR="00342403" w:rsidRDefault="00342403">
            <w:r>
              <w:t>2011-2013</w:t>
            </w:r>
          </w:p>
        </w:tc>
        <w:tc>
          <w:tcPr>
            <w:tcW w:w="1123" w:type="pct"/>
          </w:tcPr>
          <w:p w:rsidR="00342403" w:rsidRDefault="00342403" w:rsidP="0000663C">
            <w:r>
              <w:t>Derivedajcc7T</w:t>
            </w:r>
          </w:p>
          <w:p w:rsidR="00342403" w:rsidRDefault="00342403" w:rsidP="0000663C">
            <w:r>
              <w:t>derivedAjcc7N</w:t>
            </w:r>
          </w:p>
          <w:p w:rsidR="00342403" w:rsidRDefault="00342403" w:rsidP="0000663C">
            <w:r>
              <w:t>derivedAjcc7M</w:t>
            </w:r>
          </w:p>
          <w:p w:rsidR="00342403" w:rsidRDefault="00342403" w:rsidP="0000663C">
            <w:r>
              <w:t>csSiteSpecificfactor10</w:t>
            </w:r>
          </w:p>
          <w:p w:rsidR="00342403" w:rsidRDefault="00342403" w:rsidP="0000663C">
            <w:r>
              <w:lastRenderedPageBreak/>
              <w:t>csSitespecificFactor8</w:t>
            </w:r>
          </w:p>
          <w:p w:rsidR="00342403" w:rsidRDefault="00342403" w:rsidP="0000663C">
            <w:r>
              <w:t>csSitespecificFactor1</w:t>
            </w:r>
          </w:p>
        </w:tc>
        <w:tc>
          <w:tcPr>
            <w:tcW w:w="970" w:type="pct"/>
            <w:vMerge/>
          </w:tcPr>
          <w:p w:rsidR="00342403" w:rsidRDefault="00342403"/>
        </w:tc>
      </w:tr>
      <w:tr w:rsidR="00891DBC" w:rsidTr="007612F8">
        <w:tc>
          <w:tcPr>
            <w:tcW w:w="5000" w:type="pct"/>
            <w:gridSpan w:val="5"/>
            <w:shd w:val="clear" w:color="auto" w:fill="D9D9D9" w:themeFill="background1" w:themeFillShade="D9"/>
          </w:tcPr>
          <w:p w:rsidR="00891DBC" w:rsidRDefault="00891DBC"/>
        </w:tc>
      </w:tr>
      <w:tr w:rsidR="00342403" w:rsidTr="00891DBC">
        <w:tc>
          <w:tcPr>
            <w:tcW w:w="969" w:type="pct"/>
            <w:vMerge w:val="restart"/>
          </w:tcPr>
          <w:p w:rsidR="00342403" w:rsidRPr="007612F8" w:rsidRDefault="00342403" w:rsidP="00A65625">
            <w:pPr>
              <w:rPr>
                <w:b/>
              </w:rPr>
            </w:pPr>
            <w:r w:rsidRPr="007612F8">
              <w:rPr>
                <w:b/>
              </w:rPr>
              <w:t>Combined risk grouping, not considering PSA</w:t>
            </w:r>
          </w:p>
          <w:p w:rsidR="00342403" w:rsidRDefault="00342403" w:rsidP="00133F25">
            <w:r w:rsidRPr="007612F8">
              <w:rPr>
                <w:b/>
              </w:rPr>
              <w:t>(M1,N1,T3/T4, or Gleason 8-10)</w:t>
            </w:r>
          </w:p>
        </w:tc>
        <w:tc>
          <w:tcPr>
            <w:tcW w:w="969" w:type="pct"/>
            <w:vMerge w:val="restart"/>
          </w:tcPr>
          <w:p w:rsidR="00342403" w:rsidRDefault="00342403" w:rsidP="00A65625">
            <w:r>
              <w:t>CA, GA, LA, MI, NJ</w:t>
            </w:r>
          </w:p>
        </w:tc>
        <w:tc>
          <w:tcPr>
            <w:tcW w:w="969" w:type="pct"/>
          </w:tcPr>
          <w:p w:rsidR="00342403" w:rsidRDefault="00342403" w:rsidP="00A65625">
            <w:r>
              <w:t>2004-2009</w:t>
            </w:r>
          </w:p>
        </w:tc>
        <w:tc>
          <w:tcPr>
            <w:tcW w:w="1123" w:type="pct"/>
          </w:tcPr>
          <w:p w:rsidR="00342403" w:rsidRDefault="00342403" w:rsidP="00A65625">
            <w:r>
              <w:t>Derivedajcc6T</w:t>
            </w:r>
          </w:p>
          <w:p w:rsidR="00342403" w:rsidRDefault="00342403" w:rsidP="00A65625">
            <w:r>
              <w:t>derivedAjcc6N</w:t>
            </w:r>
          </w:p>
          <w:p w:rsidR="00342403" w:rsidRDefault="00342403" w:rsidP="00A65625">
            <w:r>
              <w:t>derivedAjcc6M</w:t>
            </w:r>
          </w:p>
          <w:p w:rsidR="00342403" w:rsidRDefault="00342403" w:rsidP="00A65625">
            <w:r>
              <w:t xml:space="preserve">Cssitespecificfactor6 </w:t>
            </w:r>
          </w:p>
          <w:p w:rsidR="00342403" w:rsidRDefault="00342403" w:rsidP="00A65625">
            <w:r>
              <w:t>csSiteSpecificfactor10</w:t>
            </w:r>
          </w:p>
          <w:p w:rsidR="00342403" w:rsidRDefault="00342403" w:rsidP="00A65625">
            <w:r>
              <w:t>csSitespecificFactor8</w:t>
            </w:r>
          </w:p>
        </w:tc>
        <w:tc>
          <w:tcPr>
            <w:tcW w:w="970" w:type="pct"/>
            <w:vMerge w:val="restart"/>
          </w:tcPr>
          <w:p w:rsidR="00342403" w:rsidRDefault="00342403" w:rsidP="00A65625">
            <w:r>
              <w:t xml:space="preserve">Using path&gt;bx hierarchy for all variables because of registry data collection limitations.  Therefore </w:t>
            </w:r>
            <w:r w:rsidR="00A16FDC">
              <w:t xml:space="preserve">can </w:t>
            </w:r>
            <w:r>
              <w:t>us</w:t>
            </w:r>
            <w:r w:rsidR="00A16FDC">
              <w:t>e</w:t>
            </w:r>
            <w:r>
              <w:t xml:space="preserve"> derived AJCC items </w:t>
            </w:r>
          </w:p>
          <w:p w:rsidR="00342403" w:rsidRDefault="00342403" w:rsidP="00A65625"/>
          <w:p w:rsidR="00342403" w:rsidRDefault="00342403" w:rsidP="00A65625"/>
        </w:tc>
      </w:tr>
      <w:tr w:rsidR="00342403" w:rsidTr="00891DBC">
        <w:tc>
          <w:tcPr>
            <w:tcW w:w="969" w:type="pct"/>
            <w:vMerge/>
          </w:tcPr>
          <w:p w:rsidR="00342403" w:rsidRDefault="00342403" w:rsidP="00A65625"/>
        </w:tc>
        <w:tc>
          <w:tcPr>
            <w:tcW w:w="969" w:type="pct"/>
            <w:vMerge/>
          </w:tcPr>
          <w:p w:rsidR="00342403" w:rsidRDefault="00342403" w:rsidP="00A65625"/>
        </w:tc>
        <w:tc>
          <w:tcPr>
            <w:tcW w:w="969" w:type="pct"/>
          </w:tcPr>
          <w:p w:rsidR="00342403" w:rsidRDefault="00342403" w:rsidP="00A65625">
            <w:r>
              <w:t>2010-2013</w:t>
            </w:r>
          </w:p>
        </w:tc>
        <w:tc>
          <w:tcPr>
            <w:tcW w:w="1123" w:type="pct"/>
          </w:tcPr>
          <w:p w:rsidR="00342403" w:rsidRDefault="00342403" w:rsidP="00A65625">
            <w:r>
              <w:t>Derivedajcc7T</w:t>
            </w:r>
          </w:p>
          <w:p w:rsidR="00342403" w:rsidRDefault="00342403" w:rsidP="00A65625">
            <w:r>
              <w:t>derivedAjcc7N</w:t>
            </w:r>
          </w:p>
          <w:p w:rsidR="00342403" w:rsidRDefault="00342403" w:rsidP="00A65625">
            <w:r>
              <w:t>derivedAjcc7M</w:t>
            </w:r>
          </w:p>
          <w:p w:rsidR="00342403" w:rsidRDefault="00342403" w:rsidP="00A65625">
            <w:r>
              <w:t>csSiteSpecificfactor10</w:t>
            </w:r>
          </w:p>
          <w:p w:rsidR="00342403" w:rsidRDefault="00342403" w:rsidP="00A65625">
            <w:r>
              <w:t>csSitespecificFactor8</w:t>
            </w:r>
          </w:p>
        </w:tc>
        <w:tc>
          <w:tcPr>
            <w:tcW w:w="970" w:type="pct"/>
            <w:vMerge/>
          </w:tcPr>
          <w:p w:rsidR="00342403" w:rsidRDefault="00342403" w:rsidP="00A65625"/>
        </w:tc>
      </w:tr>
      <w:tr w:rsidR="00342403" w:rsidTr="00891DBC">
        <w:tc>
          <w:tcPr>
            <w:tcW w:w="969" w:type="pct"/>
            <w:vMerge/>
          </w:tcPr>
          <w:p w:rsidR="00342403" w:rsidRDefault="00342403" w:rsidP="00A65625"/>
        </w:tc>
        <w:tc>
          <w:tcPr>
            <w:tcW w:w="969" w:type="pct"/>
          </w:tcPr>
          <w:p w:rsidR="00342403" w:rsidRDefault="00342403" w:rsidP="00A65625">
            <w:r>
              <w:t>TX</w:t>
            </w:r>
          </w:p>
        </w:tc>
        <w:tc>
          <w:tcPr>
            <w:tcW w:w="969" w:type="pct"/>
          </w:tcPr>
          <w:p w:rsidR="00342403" w:rsidRDefault="00342403" w:rsidP="00A65625">
            <w:r>
              <w:t>2011-2013</w:t>
            </w:r>
          </w:p>
        </w:tc>
        <w:tc>
          <w:tcPr>
            <w:tcW w:w="1123" w:type="pct"/>
          </w:tcPr>
          <w:p w:rsidR="00342403" w:rsidRDefault="00342403" w:rsidP="00A65625">
            <w:r>
              <w:t>Derivedajcc7T</w:t>
            </w:r>
          </w:p>
          <w:p w:rsidR="00342403" w:rsidRDefault="00342403" w:rsidP="00A65625">
            <w:r>
              <w:t>derivedAjcc7N</w:t>
            </w:r>
          </w:p>
          <w:p w:rsidR="00342403" w:rsidRDefault="00342403" w:rsidP="00A65625">
            <w:r>
              <w:t>derivedAjcc7M</w:t>
            </w:r>
          </w:p>
          <w:p w:rsidR="00342403" w:rsidRDefault="00342403" w:rsidP="00A65625">
            <w:r>
              <w:t>csSiteSpecificfactor10</w:t>
            </w:r>
          </w:p>
          <w:p w:rsidR="00342403" w:rsidRDefault="00342403" w:rsidP="00A65625">
            <w:r>
              <w:t>csSitespecificFactor8</w:t>
            </w:r>
          </w:p>
        </w:tc>
        <w:tc>
          <w:tcPr>
            <w:tcW w:w="970" w:type="pct"/>
            <w:vMerge/>
          </w:tcPr>
          <w:p w:rsidR="00342403" w:rsidRDefault="00342403" w:rsidP="00A65625"/>
        </w:tc>
      </w:tr>
    </w:tbl>
    <w:p w:rsidR="000A25A6" w:rsidRDefault="000A25A6"/>
    <w:p w:rsidR="00133F25" w:rsidRDefault="00133F25"/>
    <w:p w:rsidR="00891DBC" w:rsidRPr="007612F8" w:rsidRDefault="00891DBC">
      <w:pPr>
        <w:rPr>
          <w:b/>
        </w:rPr>
      </w:pPr>
      <w:r w:rsidRPr="007612F8">
        <w:rPr>
          <w:b/>
        </w:rPr>
        <w:t>Notes:</w:t>
      </w:r>
    </w:p>
    <w:p w:rsidR="00891DBC" w:rsidRPr="00794822" w:rsidRDefault="00F21881">
      <w:pPr>
        <w:rPr>
          <w:u w:val="single"/>
        </w:rPr>
      </w:pPr>
      <w:r w:rsidRPr="00794822">
        <w:rPr>
          <w:u w:val="single"/>
        </w:rPr>
        <w:t>Advanced stage</w:t>
      </w:r>
    </w:p>
    <w:p w:rsidR="00F21881" w:rsidRDefault="00F21881" w:rsidP="00F21881">
      <w:pPr>
        <w:pStyle w:val="ListParagraph"/>
        <w:numPr>
          <w:ilvl w:val="0"/>
          <w:numId w:val="24"/>
        </w:numPr>
      </w:pPr>
      <w:r>
        <w:t>TX did not collect EOD extension and lymph node involvement 2000-2003</w:t>
      </w:r>
    </w:p>
    <w:p w:rsidR="00F21881" w:rsidRDefault="00F21881" w:rsidP="00F21881">
      <w:pPr>
        <w:pStyle w:val="ListParagraph"/>
        <w:numPr>
          <w:ilvl w:val="0"/>
          <w:numId w:val="24"/>
        </w:numPr>
      </w:pPr>
      <w:r>
        <w:t>When comparing the SEER summary stage- based definition to a definition based on tumor extension (path&gt;clinical), lymph node involvement, and metastasis</w:t>
      </w:r>
      <w:r w:rsidR="007C2A87">
        <w:t>,</w:t>
      </w:r>
      <w:r>
        <w:t xml:space="preserve"> overall agreement for advanced stage high 98%.  99% of advanced stage identified by extension was also identified by summary stage. 89% of advanced stage identified by summary stage was also identified by extension.</w:t>
      </w:r>
    </w:p>
    <w:p w:rsidR="00F21881" w:rsidRDefault="00F21881" w:rsidP="00F21881">
      <w:pPr>
        <w:pStyle w:val="ListParagraph"/>
        <w:numPr>
          <w:ilvl w:val="1"/>
          <w:numId w:val="24"/>
        </w:numPr>
      </w:pPr>
      <w:r>
        <w:t xml:space="preserve">Disagreement is disproportionately coming from years 2000-2003.  </w:t>
      </w:r>
    </w:p>
    <w:p w:rsidR="00F21881" w:rsidRDefault="00F21881" w:rsidP="00F21881">
      <w:pPr>
        <w:pStyle w:val="ListParagraph"/>
        <w:numPr>
          <w:ilvl w:val="0"/>
          <w:numId w:val="24"/>
        </w:numPr>
      </w:pPr>
      <w:r>
        <w:t>When compared to using lymph node involvement, metastases, and clinical extension</w:t>
      </w:r>
      <w:r w:rsidR="006522A1">
        <w:t>,</w:t>
      </w:r>
      <w:r>
        <w:t xml:space="preserve"> agreement is lower at 92%.  While 98% of advanced stage identified by clinical extension was also identified by summary stage only 5</w:t>
      </w:r>
      <w:r w:rsidR="00EA6A4D">
        <w:t>0</w:t>
      </w:r>
      <w:r>
        <w:t>% of advanced summary stage was identified using clinical extension.</w:t>
      </w:r>
    </w:p>
    <w:p w:rsidR="006522A1" w:rsidRDefault="006522A1" w:rsidP="006522A1">
      <w:pPr>
        <w:ind w:left="360"/>
      </w:pPr>
    </w:p>
    <w:p w:rsidR="006522A1" w:rsidRPr="00794822" w:rsidRDefault="006522A1" w:rsidP="006522A1">
      <w:pPr>
        <w:rPr>
          <w:u w:val="single"/>
        </w:rPr>
      </w:pPr>
      <w:r w:rsidRPr="00794822">
        <w:rPr>
          <w:u w:val="single"/>
        </w:rPr>
        <w:t>High grade</w:t>
      </w:r>
    </w:p>
    <w:p w:rsidR="00BF407E" w:rsidRDefault="00BF407E" w:rsidP="00BF407E">
      <w:pPr>
        <w:pStyle w:val="ListParagraph"/>
        <w:numPr>
          <w:ilvl w:val="0"/>
          <w:numId w:val="25"/>
        </w:numPr>
      </w:pPr>
      <w:r>
        <w:t>Requires use of grade and site-specific factors</w:t>
      </w:r>
    </w:p>
    <w:p w:rsidR="00E67FEC" w:rsidRDefault="00E67FEC" w:rsidP="004B32C7">
      <w:pPr>
        <w:pStyle w:val="ListParagraph"/>
        <w:numPr>
          <w:ilvl w:val="0"/>
          <w:numId w:val="25"/>
        </w:numPr>
      </w:pPr>
      <w:r>
        <w:lastRenderedPageBreak/>
        <w:t>Grade definition not consistent throughout entire time span</w:t>
      </w:r>
    </w:p>
    <w:p w:rsidR="006522A1" w:rsidRDefault="004B32C7" w:rsidP="004B32C7">
      <w:pPr>
        <w:pStyle w:val="ListParagraph"/>
        <w:numPr>
          <w:ilvl w:val="0"/>
          <w:numId w:val="25"/>
        </w:numPr>
      </w:pPr>
      <w:r w:rsidRPr="004B32C7">
        <w:t>Completeness of grade variable is higher than completeness of site specific factors necessary for Gleason score determination.  Larger proportion of population would be included in years 2000-200</w:t>
      </w:r>
      <w:r w:rsidR="002E4693">
        <w:t>2</w:t>
      </w:r>
      <w:r w:rsidRPr="004B32C7">
        <w:t xml:space="preserve"> compared to 2004-2013</w:t>
      </w:r>
    </w:p>
    <w:p w:rsidR="003174BE" w:rsidRDefault="004B32C7" w:rsidP="004B32C7">
      <w:pPr>
        <w:pStyle w:val="ListParagraph"/>
        <w:numPr>
          <w:ilvl w:val="0"/>
          <w:numId w:val="25"/>
        </w:numPr>
      </w:pPr>
      <w:r>
        <w:t xml:space="preserve">Excluding 2003 altogether because of misclassification. </w:t>
      </w:r>
    </w:p>
    <w:p w:rsidR="004B32C7" w:rsidRDefault="004B32C7" w:rsidP="003174BE">
      <w:pPr>
        <w:pStyle w:val="ListParagraph"/>
        <w:numPr>
          <w:ilvl w:val="1"/>
          <w:numId w:val="25"/>
        </w:numPr>
      </w:pPr>
      <w:r>
        <w:t xml:space="preserve">In 2003 intermediate and high grade are collapsed. Proportion of intermediate disease which will by definition be included in the “high grade” outcome </w:t>
      </w:r>
      <w:r w:rsidR="007C2A87">
        <w:t xml:space="preserve">if using grade variable 2003+ </w:t>
      </w:r>
      <w:r>
        <w:t>is much larger than proportion of high grade disease</w:t>
      </w:r>
      <w:r w:rsidR="00AA453C">
        <w:t>. For years where both Gleason 8-10 and Grade 3/4 can be compared, % of grade 3/4 much higher than %Gleason 8-10</w:t>
      </w:r>
    </w:p>
    <w:p w:rsidR="00AA453C" w:rsidRDefault="00D64149" w:rsidP="003174BE">
      <w:pPr>
        <w:pStyle w:val="ListParagraph"/>
        <w:numPr>
          <w:ilvl w:val="2"/>
          <w:numId w:val="25"/>
        </w:numPr>
      </w:pPr>
      <w:r>
        <w:t>Using grade 3/4 ~45-59% would be classified as “high”</w:t>
      </w:r>
    </w:p>
    <w:p w:rsidR="00D64149" w:rsidRDefault="00D64149" w:rsidP="003174BE">
      <w:pPr>
        <w:pStyle w:val="ListParagraph"/>
        <w:numPr>
          <w:ilvl w:val="2"/>
          <w:numId w:val="25"/>
        </w:numPr>
      </w:pPr>
      <w:r>
        <w:t>Using Gleason score 8-10  ~14-18% are classified as “high”</w:t>
      </w:r>
    </w:p>
    <w:p w:rsidR="002E4693" w:rsidRDefault="002E4693" w:rsidP="004B32C7">
      <w:pPr>
        <w:pStyle w:val="ListParagraph"/>
        <w:numPr>
          <w:ilvl w:val="0"/>
          <w:numId w:val="25"/>
        </w:numPr>
      </w:pPr>
      <w:r>
        <w:t>E</w:t>
      </w:r>
      <w:r w:rsidR="004B32C7">
        <w:t>xcluding Texas from 2003- 2010 for same reason</w:t>
      </w:r>
      <w:r w:rsidRPr="002E4693">
        <w:t xml:space="preserve"> </w:t>
      </w:r>
    </w:p>
    <w:p w:rsidR="004B32C7" w:rsidRDefault="002E4693" w:rsidP="002E4693">
      <w:pPr>
        <w:pStyle w:val="ListParagraph"/>
        <w:numPr>
          <w:ilvl w:val="1"/>
          <w:numId w:val="25"/>
        </w:numPr>
      </w:pPr>
      <w:r>
        <w:t>Texas did not collect site-specific factors from 2004-2010</w:t>
      </w:r>
      <w:r w:rsidR="003174BE">
        <w:t xml:space="preserve"> and would require using grade variable with high misclassification</w:t>
      </w:r>
    </w:p>
    <w:p w:rsidR="004B32C7" w:rsidRDefault="00E67FEC" w:rsidP="004B32C7">
      <w:pPr>
        <w:pStyle w:val="ListParagraph"/>
        <w:numPr>
          <w:ilvl w:val="0"/>
          <w:numId w:val="25"/>
        </w:numPr>
      </w:pPr>
      <w:r>
        <w:t xml:space="preserve">Discrepancy in source of grade between grade variable and </w:t>
      </w:r>
      <w:r w:rsidR="008C62B9">
        <w:t xml:space="preserve">combined </w:t>
      </w:r>
      <w:r>
        <w:t>SSF</w:t>
      </w:r>
      <w:r w:rsidR="008C62B9">
        <w:t xml:space="preserve"> variables</w:t>
      </w:r>
      <w:r>
        <w:t>. Highest in any specimen</w:t>
      </w:r>
      <w:r w:rsidR="007C2A87">
        <w:t xml:space="preserve"> (grade)</w:t>
      </w:r>
      <w:r>
        <w:t xml:space="preserve"> vs largest specimen</w:t>
      </w:r>
      <w:r w:rsidR="007C2A87">
        <w:t xml:space="preserve"> (SSF hierarchy)</w:t>
      </w:r>
    </w:p>
    <w:p w:rsidR="00F21881" w:rsidRDefault="00F21881"/>
    <w:p w:rsidR="0015533E" w:rsidRPr="00794822" w:rsidRDefault="0015533E">
      <w:pPr>
        <w:rPr>
          <w:u w:val="single"/>
        </w:rPr>
      </w:pPr>
      <w:r w:rsidRPr="00794822">
        <w:rPr>
          <w:u w:val="single"/>
        </w:rPr>
        <w:t>Combined outcomes</w:t>
      </w:r>
    </w:p>
    <w:p w:rsidR="0015533E" w:rsidRDefault="0015533E" w:rsidP="0015533E">
      <w:pPr>
        <w:pStyle w:val="ListParagraph"/>
        <w:numPr>
          <w:ilvl w:val="0"/>
          <w:numId w:val="26"/>
        </w:numPr>
      </w:pPr>
      <w:r>
        <w:t>Limit to 2004-2013 because of availability of PSA and Gleason score</w:t>
      </w:r>
    </w:p>
    <w:p w:rsidR="000C0FB5" w:rsidRDefault="000C0FB5" w:rsidP="0015533E">
      <w:pPr>
        <w:pStyle w:val="ListParagraph"/>
        <w:numPr>
          <w:ilvl w:val="0"/>
          <w:numId w:val="26"/>
        </w:numPr>
      </w:pPr>
      <w:r>
        <w:t xml:space="preserve">TX did not collect SSF 2004-2010 and is therefore excluded from those years. </w:t>
      </w:r>
      <w:r w:rsidR="007C2A87">
        <w:t>TX o</w:t>
      </w:r>
      <w:r>
        <w:t>nly contributes 3 years of data to this outcome</w:t>
      </w:r>
    </w:p>
    <w:p w:rsidR="0015533E" w:rsidRDefault="0015533E" w:rsidP="0015533E">
      <w:pPr>
        <w:pStyle w:val="ListParagraph"/>
        <w:numPr>
          <w:ilvl w:val="0"/>
          <w:numId w:val="26"/>
        </w:numPr>
      </w:pPr>
      <w:r>
        <w:t>Using path &gt; clinical hierarchy</w:t>
      </w:r>
      <w:r w:rsidR="000C0FB5">
        <w:t>. For years 2004-2009 cannot distinguish path and bx Gleason.</w:t>
      </w:r>
    </w:p>
    <w:p w:rsidR="008C62B9" w:rsidRDefault="008C62B9" w:rsidP="0015533E">
      <w:pPr>
        <w:pStyle w:val="ListParagraph"/>
        <w:numPr>
          <w:ilvl w:val="0"/>
          <w:numId w:val="26"/>
        </w:numPr>
      </w:pPr>
      <w:r>
        <w:t>For simplicity using derived AJCC rather than the CS path extension, CS clinical extension, lymph node, and mets at dx fields.  Results should be the same with the path&gt;clinical hierarchy as long as histology is in AJCC inclusion</w:t>
      </w:r>
      <w:r w:rsidR="007C2A87">
        <w:t xml:space="preserve"> list</w:t>
      </w:r>
    </w:p>
    <w:p w:rsidR="000C0FB5" w:rsidRDefault="000C0FB5" w:rsidP="0015533E">
      <w:pPr>
        <w:pStyle w:val="ListParagraph"/>
        <w:numPr>
          <w:ilvl w:val="0"/>
          <w:numId w:val="26"/>
        </w:numPr>
      </w:pPr>
      <w:r>
        <w:t>Note that NCCN groups use clinical T stage</w:t>
      </w:r>
      <w:r w:rsidR="007C2A87">
        <w:t xml:space="preserve">. </w:t>
      </w:r>
    </w:p>
    <w:p w:rsidR="0015533E" w:rsidRDefault="0015533E" w:rsidP="0015533E">
      <w:pPr>
        <w:pStyle w:val="ListParagraph"/>
        <w:numPr>
          <w:ilvl w:val="0"/>
          <w:numId w:val="26"/>
        </w:numPr>
      </w:pPr>
      <w:r>
        <w:t>Because TX had much higher % of unknown PSA, doing version of outcome that does not consider PSA value</w:t>
      </w:r>
    </w:p>
    <w:p w:rsidR="0015533E" w:rsidRDefault="0015533E" w:rsidP="0015533E"/>
    <w:p w:rsidR="0015533E" w:rsidRDefault="0015533E" w:rsidP="0015533E"/>
    <w:p w:rsidR="0015533E" w:rsidRPr="00794822" w:rsidRDefault="0015533E" w:rsidP="0015533E">
      <w:r w:rsidRPr="00794822">
        <w:rPr>
          <w:u w:val="single"/>
        </w:rPr>
        <w:t>Other</w:t>
      </w:r>
      <w:r w:rsidR="00794822" w:rsidRPr="00794822">
        <w:rPr>
          <w:u w:val="single"/>
        </w:rPr>
        <w:t xml:space="preserve"> considerations</w:t>
      </w:r>
      <w:r w:rsidRPr="00794822">
        <w:t xml:space="preserve"> </w:t>
      </w:r>
    </w:p>
    <w:p w:rsidR="0015533E" w:rsidRDefault="0015533E" w:rsidP="0015533E">
      <w:pPr>
        <w:pStyle w:val="ListParagraph"/>
        <w:numPr>
          <w:ilvl w:val="0"/>
          <w:numId w:val="26"/>
        </w:numPr>
      </w:pPr>
      <w:r>
        <w:t>Using the path takes precedence over clinical hierarchy because majority of data we have was collected that way</w:t>
      </w:r>
    </w:p>
    <w:p w:rsidR="0015533E" w:rsidRDefault="0015533E" w:rsidP="0015533E">
      <w:pPr>
        <w:pStyle w:val="ListParagraph"/>
        <w:numPr>
          <w:ilvl w:val="0"/>
          <w:numId w:val="26"/>
        </w:numPr>
      </w:pPr>
      <w:r>
        <w:t>Creates bias because path data available only for men who had prostatectomy</w:t>
      </w:r>
    </w:p>
    <w:p w:rsidR="00F704AE" w:rsidRDefault="00F704AE" w:rsidP="00F704AE">
      <w:pPr>
        <w:pStyle w:val="ListParagraph"/>
        <w:numPr>
          <w:ilvl w:val="1"/>
          <w:numId w:val="26"/>
        </w:numPr>
      </w:pPr>
      <w:r>
        <w:t>Sensitivity analyses using clinical stage</w:t>
      </w:r>
      <w:bookmarkStart w:id="0" w:name="_GoBack"/>
      <w:bookmarkEnd w:id="0"/>
    </w:p>
    <w:sectPr w:rsidR="00F704AE" w:rsidSect="005E6F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834A08"/>
    <w:multiLevelType w:val="hybridMultilevel"/>
    <w:tmpl w:val="BF0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354EB6"/>
    <w:multiLevelType w:val="hybridMultilevel"/>
    <w:tmpl w:val="8B42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94EEE"/>
    <w:multiLevelType w:val="hybridMultilevel"/>
    <w:tmpl w:val="A7CA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8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A6"/>
    <w:rsid w:val="0000663C"/>
    <w:rsid w:val="00076FE8"/>
    <w:rsid w:val="000A25A6"/>
    <w:rsid w:val="000C0FB5"/>
    <w:rsid w:val="00133F25"/>
    <w:rsid w:val="0015533E"/>
    <w:rsid w:val="001E5822"/>
    <w:rsid w:val="002E4693"/>
    <w:rsid w:val="003174BE"/>
    <w:rsid w:val="00342403"/>
    <w:rsid w:val="003A2509"/>
    <w:rsid w:val="004764B9"/>
    <w:rsid w:val="004B32C7"/>
    <w:rsid w:val="004B38D0"/>
    <w:rsid w:val="005E6F95"/>
    <w:rsid w:val="00645252"/>
    <w:rsid w:val="006522A1"/>
    <w:rsid w:val="006D3D74"/>
    <w:rsid w:val="007612F8"/>
    <w:rsid w:val="00794822"/>
    <w:rsid w:val="007C2A87"/>
    <w:rsid w:val="0083569A"/>
    <w:rsid w:val="00891DBC"/>
    <w:rsid w:val="008C62B9"/>
    <w:rsid w:val="00A16FDC"/>
    <w:rsid w:val="00A9204E"/>
    <w:rsid w:val="00AA453C"/>
    <w:rsid w:val="00BF407E"/>
    <w:rsid w:val="00CC3E67"/>
    <w:rsid w:val="00CD375D"/>
    <w:rsid w:val="00D64149"/>
    <w:rsid w:val="00E67FEC"/>
    <w:rsid w:val="00EA6A4D"/>
    <w:rsid w:val="00F21881"/>
    <w:rsid w:val="00F7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7256"/>
  <w15:chartTrackingRefBased/>
  <w15:docId w15:val="{914A6BBB-D10D-49A8-9B1E-C0A12EB6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0A2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21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ichtensztaj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4873beb7-5857-4685-be1f-d57550cc96cc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169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Lichtensztajn, Daphne Y</dc:creator>
  <cp:keywords/>
  <dc:description/>
  <cp:lastModifiedBy>Lichtensztajn, Daphne Y</cp:lastModifiedBy>
  <cp:revision>19</cp:revision>
  <dcterms:created xsi:type="dcterms:W3CDTF">2020-08-13T16:16:00Z</dcterms:created>
  <dcterms:modified xsi:type="dcterms:W3CDTF">2020-08-26T23:13:00Z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