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20" w:before="240" w:line="300" w:lineRule="auto"/>
        <w:jc w:val="left"/>
        <w:outlineLvl w:val="0"/>
      </w:pPr>
      <w:r>
        <w:rPr>
          <w:rFonts w:ascii="SimSun" w:cs="SimSun" w:eastAsia="SimSun" w:hAnsi="SimSun"/>
          <w:b/>
          <w:bCs/>
          <w:color w:val="000000"/>
          <w:sz w:val="28"/>
          <w:szCs w:val="28"/>
        </w:rPr>
        <w:t xml:space="preserve">目录</w:t>
      </w:r>
    </w:p>
    <w:p>
      <w:pPr>
        <w:spacing w:after="60" w:before="60" w:line="300" w:lineRule="auto"/>
        <w:ind w:firstLine="480"/>
        <w:jc w:val="both"/>
      </w:pPr>
      <w:r>
        <w:rPr>
          <w:rFonts w:ascii="SimSun" w:cs="SimSun" w:eastAsia="SimSun" w:hAnsi="SimSun"/>
          <w:b w:val="false"/>
          <w:bCs w:val="false"/>
          <w:color w:val="000000"/>
          <w:sz w:val="24"/>
          <w:szCs w:val="24"/>
        </w:rPr>
        <w:t xml:space="preserve">（请右键点击此处 → 更新域，或全选后按 F9 更新目录）</w:t>
      </w:r>
    </w:p>
    <w:p>
      <w:r>
        <w:br w:type="page"/>
      </w:r>
    </w:p>
    <w:p>
      <w:pPr>
        <w:spacing w:after="120" w:before="240" w:line="300" w:lineRule="auto"/>
        <w:jc w:val="left"/>
        <w:outlineLvl w:val="0"/>
      </w:pPr>
      <w:r>
        <w:rPr>
          <w:rFonts w:ascii="SimSun" w:cs="SimSun" w:eastAsia="SimSun" w:hAnsi="SimSun"/>
          <w:b/>
          <w:bCs/>
          <w:color w:val="000000"/>
          <w:sz w:val="28"/>
          <w:szCs w:val="28"/>
        </w:rPr>
        <w:t xml:space="preserve">2.6.2.1 概要</w:t>
      </w:r>
    </w:p>
    <w:p>
      <w:pPr>
        <w:spacing w:after="60" w:before="60" w:line="300" w:lineRule="auto"/>
        <w:ind w:firstLine="480"/>
        <w:jc w:val="both"/>
      </w:pPr>
      <w:r>
        <w:rPr>
          <w:rFonts w:ascii="SimSun" w:cs="SimSun" w:eastAsia="SimSun" w:hAnsi="SimSun"/>
          <w:b w:val="false"/>
          <w:bCs w:val="false"/>
          <w:color w:val="000000"/>
          <w:sz w:val="24"/>
          <w:szCs w:val="24"/>
        </w:rPr>
        <w:t xml:space="preserve">ART001注射液为脂质纳米颗粒（LNP）注射液，活性成分为Cas9 mRNA和单一引导RNA（sgRNA），主要辅料为胆固醇、磷脂DSPC、PEG脂质体和阳离子脂质体所组成的脂质纳米颗粒（LNP）等。ART001注射液通过LNP递送系统靶向肝脏，将Cas9 mRNA和sgRNA递送至肝细胞内，在细胞质中翻译出Cas9蛋白并与sgRNA形成核糖核蛋白复合体，进而进入细胞核靶向切割转甲状腺素蛋白（TTR）基因，导致TTR基因发生插入或缺失突变，从而抑制TTR蛋白的表达和分泌。单次静脉给药后，可实现对肝脏TTR基因的持久编辑，显著降低血清中TTR蛋白水平。</w:t>
      </w:r>
    </w:p>
    <w:p>
      <w:pPr>
        <w:spacing w:after="60" w:before="60" w:line="300" w:lineRule="auto"/>
        <w:ind w:firstLine="480"/>
        <w:jc w:val="both"/>
      </w:pPr>
      <w:r>
        <w:rPr>
          <w:rFonts w:ascii="SimSun" w:cs="SimSun" w:eastAsia="SimSun" w:hAnsi="SimSun"/>
          <w:b w:val="false"/>
          <w:bCs w:val="false"/>
          <w:color w:val="000000"/>
          <w:sz w:val="24"/>
          <w:szCs w:val="24"/>
        </w:rPr>
        <w:t xml:space="preserve">对ART001注射液进行了一系列体内和体外非临床药理学研究，这些研究包括：HepG2细胞系中先导sgRNA的编辑效率及其浓度依赖关系、人原代肝细胞中先导sgRNA的编辑效率、Huh7细胞系和人原代肝细胞中ART001注射液及原液的编辑效率和蛋白敲降效率研究、原代人肝细胞和人肝细胞系中ART001注射液及sgRNA的脱靶编辑研究、ART001-066在CD-1小鼠中的体内药效学试验、突变型TTR人源化小鼠中的体内药效学筛选试验、野生型TTR人源化小鼠中的体内药效学试验、ART001-S在食蟹猴中的LNP配方筛选试验、ART001注射液在野生型TTR人源化小鼠中的体内药效学试验、ART001注射液在人源化小鼠中的长期药效试验、ART001注射液在雄性TTR人源化小鼠中的生殖编辑检测试验、ART001-S注射液在食蟹猴中的药效及药代动力学试验、ART001-S注射液在食蟹猴不同组织中的编辑分布研究，以及ART001-S注射液在食蟹猴中的安全药理学试验。</w:t>
      </w:r>
    </w:p>
    <w:p>
      <w:pPr>
        <w:spacing w:after="60" w:before="60" w:line="300" w:lineRule="auto"/>
        <w:ind w:firstLine="480"/>
        <w:jc w:val="both"/>
      </w:pPr>
      <w:r>
        <w:rPr>
          <w:rFonts w:ascii="SimSun" w:cs="SimSun" w:eastAsia="SimSun" w:hAnsi="SimSun"/>
          <w:b w:val="false"/>
          <w:bCs w:val="false"/>
          <w:color w:val="000000"/>
          <w:sz w:val="24"/>
          <w:szCs w:val="24"/>
        </w:rPr>
        <w:t xml:space="preserve">非临床药理学研究的主要结果包括：</w:t>
      </w:r>
    </w:p>
    <w:p>
      <w:pPr>
        <w:spacing w:after="60" w:before="60" w:line="300" w:lineRule="auto"/>
        <w:ind w:firstLine="480"/>
        <w:jc w:val="both"/>
      </w:pPr>
      <w:r>
        <w:rPr>
          <w:rFonts w:ascii="SimSun" w:cs="SimSun" w:eastAsia="SimSun" w:hAnsi="SimSun"/>
          <w:b w:val="false"/>
          <w:bCs w:val="false"/>
          <w:color w:val="000000"/>
          <w:sz w:val="24"/>
          <w:szCs w:val="24"/>
        </w:rPr>
        <w:t xml:space="preserve">主要药效学：</w:t>
      </w:r>
    </w:p>
    <w:p>
      <w:pPr>
        <w:spacing w:after="60" w:before="60" w:line="300" w:lineRule="auto"/>
        <w:ind w:firstLine="480"/>
        <w:jc w:val="both"/>
      </w:pPr>
      <w:r>
        <w:rPr>
          <w:rFonts w:ascii="SimSun" w:cs="SimSun" w:eastAsia="SimSun" w:hAnsi="SimSun"/>
          <w:b w:val="false"/>
          <w:bCs w:val="false"/>
          <w:color w:val="000000"/>
          <w:sz w:val="24"/>
          <w:szCs w:val="24"/>
        </w:rPr>
        <w:t xml:space="preserve">1)	在HepG2细胞系中，先导sgRNA的编辑效率随浓度增加而升高，呈现类Sigmoid曲线特征，其中ART001-064表现出最高的体外活性，EC50为0.08 nM，最大编辑效率达94%。</w:t>
      </w:r>
    </w:p>
    <w:p>
      <w:pPr>
        <w:spacing w:after="60" w:before="60" w:line="300" w:lineRule="auto"/>
        <w:ind w:firstLine="480"/>
        <w:jc w:val="both"/>
      </w:pPr>
      <w:r>
        <w:rPr>
          <w:rFonts w:ascii="SimSun" w:cs="SimSun" w:eastAsia="SimSun" w:hAnsi="SimSun"/>
          <w:b w:val="false"/>
          <w:bCs w:val="false"/>
          <w:color w:val="000000"/>
          <w:sz w:val="24"/>
          <w:szCs w:val="24"/>
        </w:rPr>
        <w:t xml:space="preserve">2)	在人原代肝细胞（PHH）中，ART001-064展现出优异的在靶编辑效率，接近临床对照水平；经碱基修饰后的ART001-091在维持高在靶编辑效率的同时，显著降低了脱靶风险，被选定为候选sgRNA。</w:t>
      </w:r>
    </w:p>
    <w:p>
      <w:pPr>
        <w:spacing w:after="60" w:before="60" w:line="300" w:lineRule="auto"/>
        <w:ind w:firstLine="480"/>
        <w:jc w:val="both"/>
      </w:pPr>
      <w:r>
        <w:rPr>
          <w:rFonts w:ascii="SimSun" w:cs="SimSun" w:eastAsia="SimSun" w:hAnsi="SimSun"/>
          <w:b w:val="false"/>
          <w:bCs w:val="false"/>
          <w:color w:val="000000"/>
          <w:sz w:val="24"/>
          <w:szCs w:val="24"/>
        </w:rPr>
        <w:t xml:space="preserve">3)	在Huh7细胞和PHH中，ART001注射液、ART001 mRNA原液和ART001 sgRNA原液均能显著编辑靶基因，引起TTR mRNA和蛋白表达水平显著下降，且编辑效率与活性成分浓度呈正相关，最高编辑效率分别达90.4%和78.7%。</w:t>
      </w:r>
    </w:p>
    <w:p>
      <w:pPr>
        <w:spacing w:after="60" w:before="60" w:line="300" w:lineRule="auto"/>
        <w:ind w:firstLine="480"/>
        <w:jc w:val="both"/>
      </w:pPr>
      <w:r>
        <w:rPr>
          <w:rFonts w:ascii="SimSun" w:cs="SimSun" w:eastAsia="SimSun" w:hAnsi="SimSun"/>
          <w:b w:val="false"/>
          <w:bCs w:val="false"/>
          <w:color w:val="000000"/>
          <w:sz w:val="24"/>
          <w:szCs w:val="24"/>
        </w:rPr>
        <w:t xml:space="preserve">4)	在CD-1小鼠中，单次静脉给予鼠源替代产品ART001-066后，血清TTR蛋白水平随时间逐渐降低，在第7天达到99%的敲降幅度并维持稳定，肝脏TTR基因编辑效率呈现明显的剂量依赖性。</w:t>
      </w:r>
    </w:p>
    <w:p>
      <w:pPr>
        <w:spacing w:after="60" w:before="60" w:line="300" w:lineRule="auto"/>
        <w:ind w:firstLine="480"/>
        <w:jc w:val="both"/>
      </w:pPr>
      <w:r>
        <w:rPr>
          <w:rFonts w:ascii="SimSun" w:cs="SimSun" w:eastAsia="SimSun" w:hAnsi="SimSun"/>
          <w:b w:val="false"/>
          <w:bCs w:val="false"/>
          <w:color w:val="000000"/>
          <w:sz w:val="24"/>
          <w:szCs w:val="24"/>
        </w:rPr>
        <w:t xml:space="preserve">5)	在突变型TTR（V50M）人源化小鼠中，ART001-064及优化后的ART001-091可持续并显著地敲降血清人TTR蛋白，在1 mg/kg剂量下维持超过1年的90%以上蛋白敲降效果。</w:t>
      </w:r>
    </w:p>
    <w:p>
      <w:pPr>
        <w:spacing w:after="60" w:before="60" w:line="300" w:lineRule="auto"/>
        <w:ind w:firstLine="480"/>
        <w:jc w:val="both"/>
      </w:pPr>
      <w:r>
        <w:rPr>
          <w:rFonts w:ascii="SimSun" w:cs="SimSun" w:eastAsia="SimSun" w:hAnsi="SimSun"/>
          <w:b w:val="false"/>
          <w:bCs w:val="false"/>
          <w:color w:val="000000"/>
          <w:sz w:val="24"/>
          <w:szCs w:val="24"/>
        </w:rPr>
        <w:t xml:space="preserve">6)	在野生型TTR人源化小鼠中，ART001注射液单次静脉给药后呈现明显的剂量效应关系，在0.3 mg/kg剂量下，血清人TTR蛋白敲低率达96.3%，肝脏基因编辑效率达61%。</w:t>
      </w:r>
    </w:p>
    <w:p>
      <w:pPr>
        <w:spacing w:after="60" w:before="60" w:line="300" w:lineRule="auto"/>
        <w:ind w:firstLine="480"/>
        <w:jc w:val="both"/>
      </w:pPr>
      <w:r>
        <w:rPr>
          <w:rFonts w:ascii="SimSun" w:cs="SimSun" w:eastAsia="SimSun" w:hAnsi="SimSun"/>
          <w:b w:val="false"/>
          <w:bCs w:val="false"/>
          <w:color w:val="000000"/>
          <w:sz w:val="24"/>
          <w:szCs w:val="24"/>
        </w:rPr>
        <w:t xml:space="preserve">7)	在食蟹猴中，LNP配方筛选试验显示LNP配方5具备较好的编辑效率和安全性，被选为递送系统候选物；ART001-S注射液在食蟹猴体内单次静脉输注后，血清TTR蛋白敲降率及肝脏基因编辑效率均随剂量增加而提高，并在第28天达到最大效应。</w:t>
      </w:r>
    </w:p>
    <w:p>
      <w:pPr>
        <w:spacing w:after="60" w:before="60" w:line="300" w:lineRule="auto"/>
        <w:ind w:firstLine="480"/>
        <w:jc w:val="both"/>
      </w:pPr>
      <w:r>
        <w:rPr>
          <w:rFonts w:ascii="SimSun" w:cs="SimSun" w:eastAsia="SimSun" w:hAnsi="SimSun"/>
          <w:b w:val="false"/>
          <w:bCs w:val="false"/>
          <w:color w:val="000000"/>
          <w:sz w:val="24"/>
          <w:szCs w:val="24"/>
        </w:rPr>
        <w:t xml:space="preserve">8)	在人源化小鼠长期药效试验中，ART001注射液单次静脉注射后，血清人TTR蛋白含量被敲降超过95%，且该药效在野生型和突变型小鼠中均维持至少5个月。</w:t>
      </w:r>
    </w:p>
    <w:p>
      <w:pPr>
        <w:spacing w:after="60" w:before="60" w:line="300" w:lineRule="auto"/>
        <w:ind w:firstLine="480"/>
        <w:jc w:val="both"/>
      </w:pPr>
      <w:r>
        <w:rPr>
          <w:rFonts w:ascii="SimSun" w:cs="SimSun" w:eastAsia="SimSun" w:hAnsi="SimSun"/>
          <w:b w:val="false"/>
          <w:bCs w:val="false"/>
          <w:color w:val="000000"/>
          <w:sz w:val="24"/>
          <w:szCs w:val="24"/>
        </w:rPr>
        <w:t xml:space="preserve">次要药效学：</w:t>
      </w:r>
    </w:p>
    <w:p>
      <w:pPr>
        <w:spacing w:after="60" w:before="60" w:line="300" w:lineRule="auto"/>
        <w:ind w:firstLine="480"/>
        <w:jc w:val="both"/>
      </w:pPr>
      <w:r>
        <w:rPr>
          <w:rFonts w:ascii="SimSun" w:cs="SimSun" w:eastAsia="SimSun" w:hAnsi="SimSun"/>
          <w:b w:val="false"/>
          <w:bCs w:val="false"/>
          <w:color w:val="000000"/>
          <w:sz w:val="24"/>
          <w:szCs w:val="24"/>
        </w:rPr>
        <w:t xml:space="preserve">1)	体外脱靶编辑评估显示，ART001 sgRNA在原代肝细胞中检测到的潜在脱靶位点均位于非功能区域，且在使用ART001注射液进行饱和编辑时，脱靶效率降至检测限以下；全外显子测序未发现具有生物学意义的外显子脱靶编辑，大片段染色体变异比例显著低于对照药物，染色体重组事件局限于非编码区。</w:t>
      </w:r>
    </w:p>
    <w:p>
      <w:pPr>
        <w:spacing w:after="60" w:before="60" w:line="300" w:lineRule="auto"/>
        <w:ind w:firstLine="480"/>
        <w:jc w:val="both"/>
      </w:pPr>
      <w:r>
        <w:rPr>
          <w:rFonts w:ascii="SimSun" w:cs="SimSun" w:eastAsia="SimSun" w:hAnsi="SimSun"/>
          <w:b w:val="false"/>
          <w:bCs w:val="false"/>
          <w:color w:val="000000"/>
          <w:sz w:val="24"/>
          <w:szCs w:val="24"/>
        </w:rPr>
        <w:t xml:space="preserve">2)	在雄性TTR人源化小鼠中，给予20倍于起效剂量的ART001注射液后，睾丸和精子中未检出TTR基因编辑信号，提示在雄性个体中的生殖编辑风险较小。</w:t>
      </w:r>
    </w:p>
    <w:p>
      <w:pPr>
        <w:spacing w:after="60" w:before="60" w:line="300" w:lineRule="auto"/>
        <w:ind w:firstLine="480"/>
        <w:jc w:val="both"/>
      </w:pPr>
      <w:r>
        <w:rPr>
          <w:rFonts w:ascii="SimSun" w:cs="SimSun" w:eastAsia="SimSun" w:hAnsi="SimSun"/>
          <w:b w:val="false"/>
          <w:bCs w:val="false"/>
          <w:color w:val="000000"/>
          <w:sz w:val="24"/>
          <w:szCs w:val="24"/>
        </w:rPr>
        <w:t xml:space="preserve">3)	在食蟹猴中，ART001-S注射液主要在肝脏、脾脏和肾上腺中实现高效且持久的TTR基因编辑，在非靶组织中，除少数组织在早期出现微量编辑外，绝大多数非靶组织（包括生殖器官、神经系统等）的编辑率均低于检测下限或随时间迅速降至检测下限以下。</w:t>
      </w:r>
    </w:p>
    <w:p>
      <w:pPr>
        <w:spacing w:after="60" w:before="60" w:line="300" w:lineRule="auto"/>
        <w:ind w:firstLine="480"/>
        <w:jc w:val="both"/>
      </w:pPr>
      <w:r>
        <w:rPr>
          <w:rFonts w:ascii="SimSun" w:cs="SimSun" w:eastAsia="SimSun" w:hAnsi="SimSun"/>
          <w:b w:val="false"/>
          <w:bCs w:val="false"/>
          <w:color w:val="000000"/>
          <w:sz w:val="24"/>
          <w:szCs w:val="24"/>
        </w:rPr>
        <w:t xml:space="preserve">安全药理学：</w:t>
      </w:r>
    </w:p>
    <w:p>
      <w:pPr>
        <w:spacing w:after="60" w:before="60" w:line="300" w:lineRule="auto"/>
        <w:ind w:firstLine="480"/>
        <w:jc w:val="both"/>
      </w:pPr>
      <w:r>
        <w:rPr>
          <w:rFonts w:ascii="SimSun" w:cs="SimSun" w:eastAsia="SimSun" w:hAnsi="SimSun"/>
          <w:b w:val="false"/>
          <w:bCs w:val="false"/>
          <w:color w:val="000000"/>
          <w:sz w:val="24"/>
          <w:szCs w:val="24"/>
        </w:rPr>
        <w:t xml:space="preserve">1)	在食蟹猴中进行的GLP安全药理学研究表明，单次静脉输注ART001-S注射液至4.5 mg/kg后，对心血管系统、呼吸系统和中枢神经系统均未见具有明确毒理学意义的不良影响；高剂量组出现的短暂胃纳差为轻微且可逆的反应，其他观察到的临床症状判定为与供试品无关。</w:t>
      </w:r>
    </w:p>
    <w:p>
      <w:pPr>
        <w:spacing w:after="60" w:before="60" w:line="300" w:lineRule="auto"/>
        <w:ind w:firstLine="480"/>
        <w:jc w:val="both"/>
      </w:pPr>
      <w:r>
        <w:rPr>
          <w:rFonts w:ascii="SimSun" w:cs="SimSun" w:eastAsia="SimSun" w:hAnsi="SimSun"/>
          <w:b w:val="false"/>
          <w:bCs w:val="false"/>
          <w:color w:val="000000"/>
          <w:sz w:val="24"/>
          <w:szCs w:val="24"/>
        </w:rPr>
        <w:t xml:space="preserve">综上所述，上述非临床药理学研究通过体外和体内多层次验证体系，提示ART001注射液具备高效、持久的肝脏TTR基因编辑和蛋白敲降能力。脱靶风险评估和组织分布研究结果支持其在既定研究条件下的特异性及安全性特征，生殖系统编辑风险较低。安全药理学研究在本试验条件下未见对主要生理系统的明确不良影响。这些研究结果可为ART001注射液进入临床研究提供参考依据，并提示在临床应用中需关注肝功能指标及凝血功能的变化。</w:t>
      </w:r>
    </w:p>
    <w:p>
      <w:pPr>
        <w:spacing w:after="120" w:before="240" w:line="300" w:lineRule="auto"/>
        <w:jc w:val="left"/>
        <w:outlineLvl w:val="0"/>
      </w:pPr>
      <w:r>
        <w:rPr>
          <w:rFonts w:ascii="SimSun" w:cs="SimSun" w:eastAsia="SimSun" w:hAnsi="SimSun"/>
          <w:b/>
          <w:bCs/>
          <w:color w:val="000000"/>
          <w:sz w:val="28"/>
          <w:szCs w:val="28"/>
        </w:rPr>
        <w:t xml:space="preserve">2.6.2.2 主要药效学</w:t>
      </w:r>
    </w:p>
    <w:p>
      <w:pPr>
        <w:spacing w:after="90" w:before="180" w:line="300" w:lineRule="auto"/>
        <w:jc w:val="left"/>
        <w:outlineLvl w:val="1"/>
      </w:pPr>
      <w:r>
        <w:rPr>
          <w:rFonts w:ascii="SimSun" w:cs="SimSun" w:eastAsia="SimSun" w:hAnsi="SimSun"/>
          <w:b/>
          <w:bCs/>
          <w:color w:val="000000"/>
          <w:sz w:val="24"/>
          <w:szCs w:val="24"/>
        </w:rPr>
        <w:t xml:space="preserve">2.6.2.2.1 体外药效学</w:t>
      </w:r>
    </w:p>
    <w:p>
      <w:pPr>
        <w:spacing w:after="60" w:before="120" w:line="300" w:lineRule="auto"/>
        <w:jc w:val="left"/>
        <w:outlineLvl w:val="4"/>
      </w:pPr>
      <w:r>
        <w:rPr>
          <w:rFonts w:ascii="SimSun" w:cs="SimSun" w:eastAsia="SimSun" w:hAnsi="SimSun"/>
          <w:b/>
          <w:bCs/>
          <w:color w:val="000000"/>
          <w:sz w:val="24"/>
          <w:szCs w:val="24"/>
        </w:rPr>
        <w:t xml:space="preserve">2.6.2.2.1.1 HepG2细胞系中先导sgRNA的编辑效率及其浓度依赖关系 (ART001-0P-09V01)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本研究采用人肝癌细胞系 HepG2 作为体外评价模型，该细胞系增殖速度快且具备肝实质细胞关键特性，可用于模拟 sgRNA 在体内的真实活性。试验依据 FDA《Human Gene Therapy Products Incorporating Human Genome Editing》、EMA 相关基因治疗产品指导原则及中国 NMPA《基因治疗产品非临床研究与评价技术指导原则（试行）》进行设计。首先通过生物信息学在人标准基因组 Hg38 上预测靶向 TTR 基因外显子的 Cas9 sgRNA 的在靶及脱靶编辑效率，并综合考虑人群基因组多态性（SNP）及已知 ATTR 致病突变对靶向区域的影响，筛选出候选 sgRNA。将粉末状 sgRNA 用 Tris-EDTA 缓冲液（TE Buffer）溶解至 100 pmol/μL，保存于 -20°C 并避免反复冻融。将筛选后的 sgRNA 与 spCas9 蛋白融合形成核糖核蛋白（RNP）复合体，通过电转染方式导入 HepG2 细胞中。转染后，利用 Sanger 测序技术检测细胞基因组中 TTR 基因的编辑效率，以评估各候选 sgRNA 的活性及浓度依赖关系。</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 HepG2 细胞系中，各候选 sgRNA 的编辑效率随浓度增加而升高，编辑-浓度关系曲线呈现类 Sigmoid 函数特征（见图 1）。各 sgRNA 的半数有效浓度（EC50）及最大编辑效率数据分别汇总于表 1 和表 2。其中，ART001-064 表现出最优的体外活性，其 EC50 为 0.08 nM，最大编辑效率达到 94%，均优于其他先导 sgRNA。</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体外药效学评价结果显示，ART001-064 在 HepG2 细胞中具有最高的编辑效价和最大编辑效率。基于其优异的体外活性表现，ART001-064 被选定为候选 sgRNA，支持进入后续开发阶段。</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数据详见图2.6.2-1和表2.6.2-1、表2.6.2-2。</w:t>
      </w:r>
    </w:p>
    <w:p>
      <w:pPr>
        <w:spacing w:after="120" w:before="60" w:line="300" w:lineRule="auto"/>
        <w:jc w:val="center"/>
      </w:pPr>
      <w:r>
        <w:rPr>
          <w:rFonts w:ascii="SimSun" w:cs="SimSun" w:eastAsia="SimSun" w:hAnsi="SimSun"/>
          <w:b/>
          <w:bCs/>
          <w:color w:val="000000"/>
          <w:sz w:val="21"/>
          <w:szCs w:val="21"/>
        </w:rPr>
        <w:t xml:space="preserve">图2.6.2-1 HepG2细胞中各sgRNA浓度依赖效应曲线</w:t>
      </w:r>
    </w:p>
    <w:p>
      <w:pPr>
        <w:spacing w:after="60" w:before="120" w:line="300" w:lineRule="auto"/>
        <w:jc w:val="center"/>
      </w:pPr>
      <w:r>
        <w:rPr>
          <w:rFonts w:ascii="SimSun" w:cs="SimSun" w:eastAsia="SimSun" w:hAnsi="SimSun"/>
          <w:b/>
          <w:bCs/>
          <w:color w:val="000000"/>
          <w:sz w:val="21"/>
          <w:szCs w:val="21"/>
        </w:rPr>
        <w:t xml:space="preserve">表2.6.2-1 HepG2 细胞中各 sgRNA 的 EC50</w:t>
      </w:r>
    </w:p>
    <w:p>
      <w:pPr>
        <w:spacing w:after="60" w:before="120" w:line="300" w:lineRule="auto"/>
        <w:jc w:val="center"/>
      </w:pPr>
      <w:r>
        <w:rPr>
          <w:rFonts w:ascii="SimSun" w:cs="SimSun" w:eastAsia="SimSun" w:hAnsi="SimSun"/>
          <w:b/>
          <w:bCs/>
          <w:color w:val="000000"/>
          <w:sz w:val="21"/>
          <w:szCs w:val="21"/>
        </w:rPr>
        <w:t xml:space="preserve">表2.6.2-2 HepG2 细胞中各 sgRNA 的最大编辑效率</w:t>
      </w:r>
    </w:p>
    <w:p>
      <w:pPr>
        <w:spacing w:after="60" w:before="120" w:line="300" w:lineRule="auto"/>
        <w:jc w:val="left"/>
        <w:outlineLvl w:val="4"/>
      </w:pPr>
      <w:r>
        <w:rPr>
          <w:rFonts w:ascii="SimSun" w:cs="SimSun" w:eastAsia="SimSun" w:hAnsi="SimSun"/>
          <w:b/>
          <w:bCs/>
          <w:color w:val="000000"/>
          <w:sz w:val="24"/>
          <w:szCs w:val="24"/>
        </w:rPr>
        <w:t xml:space="preserve">2.6.2.2.1.2 人原代肝细胞中先导 sgRNA 的编辑效率 (ART001-0P-10V01)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人原代肝细胞（PHH）作为体外药效学评价模型。PHH细胞来源于人体肝脏组织，属于原代细胞，能最大程度展现肝实质细胞的关键生化和生理特性，且其靶基因编码序列与人体内肝细胞一致，相较于细胞系模型，在药物评价中更具指导意义。通过利用不同供体来源的PHH进行平行实验，可从多维度综合评价sgRNA在人群中的普遍活性，为候选分子的筛选提供数据支持。</w:t>
      </w:r>
    </w:p>
    <w:p>
      <w:pPr>
        <w:spacing w:after="60" w:before="60" w:line="300" w:lineRule="auto"/>
        <w:ind w:firstLine="480"/>
        <w:jc w:val="both"/>
      </w:pPr>
      <w:r>
        <w:rPr>
          <w:rFonts w:ascii="SimSun" w:cs="SimSun" w:eastAsia="SimSun" w:hAnsi="SimSun"/>
          <w:b w:val="false"/>
          <w:bCs w:val="false"/>
          <w:color w:val="000000"/>
          <w:sz w:val="24"/>
          <w:szCs w:val="24"/>
        </w:rPr>
        <w:t xml:space="preserve">实验设计将先导sgRNA（Lead sgRNA）与spCas9 mRNA复合物，通过脂质体转染方法导入PHH细胞中。转染后，收集细胞基因组DNA，利用Sanger测序、下一代测序（NGS）或PacBio测序技术检测目标位点的编辑情况，从而评估各sgRNA的在靶编辑效率及脱靶编辑能力。此外，针对特定序列（如ART001-064），通过将其spacer序列中的核糖核酸U碱基替换为脱氧核糖核酸T碱基，构建修饰后的sgRNA（如ART001-091、ART001-092），以进一步评价序列修饰对编辑效率及脱靶效应的影响。</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人原代肝细胞（PHH）模型中，先导sgRNA均表现出显著的编辑活性。其中，ART001-064在两种供体来源的PHH中表现最优，在Hu8409细胞中编辑效率达到76%，且整体编辑水平接近阳性对照NTLA-2001（见表1）。对ART001-064进行碱基修饰后得到的ART001-091，在Hu8409重复实验中的编辑效率分别为50.1%和49.7%，与ART001-064相当。在脱靶效应方面，通过多重扩增子测序检测发现，ART001-091和ART001-092的脱靶编辑情况较ART001-064进一步改善。在80 ng饱和剂量下，ART001-091和ART001-092的第一脱靶位点编辑效率从0.57%降至0.12%，接近检测限（0.1%），显著优于对照gRNA NTLA-2001（9.52%）。针对第二脱靶位点，ART001-092在40 ng剂量下仍高于检测线，而ART001-091在此浓度下未检测到脱靶编辑，显示出更佳的安全性特征（见表2）。</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-064在人原代肝细胞中展现出优异的在靶编辑效率，优于其他先导分子并接近临床对照水平。经序列修饰后的ART001-091在维持高在靶编辑效率的同时，显著降低了脱靶风险，特别是在低剂量下表现出更高的特异性。综合在靶活性与脱靶安全性数据，优选ART001-091作为候选sgRNA进入后续开发，并以其序列模板生产ART001 sgRNA原液。</w:t>
      </w:r>
    </w:p>
    <w:p>
      <w:pPr>
        <w:spacing w:after="60" w:before="60" w:line="300" w:lineRule="auto"/>
        <w:ind w:firstLine="480"/>
        <w:jc w:val="both"/>
      </w:pPr>
      <w:r>
        <w:rPr>
          <w:rFonts w:ascii="SimSun" w:cs="SimSun" w:eastAsia="SimSun" w:hAnsi="SimSun"/>
          <w:b w:val="false"/>
          <w:bCs w:val="false"/>
          <w:color w:val="000000"/>
          <w:sz w:val="24"/>
          <w:szCs w:val="24"/>
        </w:rPr>
        <w:t xml:space="preserve">数据详见表2.6.2-3、表2.6.2-4。</w:t>
      </w:r>
    </w:p>
    <w:p>
      <w:pPr>
        <w:spacing w:after="60" w:before="120" w:line="300" w:lineRule="auto"/>
        <w:jc w:val="center"/>
      </w:pPr>
      <w:r>
        <w:rPr>
          <w:rFonts w:ascii="SimSun" w:cs="SimSun" w:eastAsia="SimSun" w:hAnsi="SimSun"/>
          <w:b/>
          <w:bCs/>
          <w:color w:val="000000"/>
          <w:sz w:val="21"/>
          <w:szCs w:val="21"/>
        </w:rPr>
        <w:t xml:space="preserve">表2.6.2-3 脂质体转染的 PHH 细胞中各 sgRNA 的编辑效率(%)</w:t>
      </w:r>
    </w:p>
    <w:p>
      <w:pPr>
        <w:spacing w:after="60" w:before="120" w:line="300" w:lineRule="auto"/>
        <w:jc w:val="center"/>
      </w:pPr>
      <w:r>
        <w:rPr>
          <w:rFonts w:ascii="SimSun" w:cs="SimSun" w:eastAsia="SimSun" w:hAnsi="SimSun"/>
          <w:b/>
          <w:bCs/>
          <w:color w:val="000000"/>
          <w:sz w:val="21"/>
          <w:szCs w:val="21"/>
        </w:rPr>
        <w:t xml:space="preserve">表2.6.2-4 脂质体转染的 PHH 细胞中的排名前 2 脱靶位点的编辑效率(%)</w:t>
      </w:r>
    </w:p>
    <w:p>
      <w:pPr>
        <w:spacing w:after="60" w:before="120" w:line="300" w:lineRule="auto"/>
        <w:jc w:val="left"/>
        <w:outlineLvl w:val="4"/>
      </w:pPr>
      <w:r>
        <w:rPr>
          <w:rFonts w:ascii="SimSun" w:cs="SimSun" w:eastAsia="SimSun" w:hAnsi="SimSun"/>
          <w:b/>
          <w:bCs/>
          <w:color w:val="000000"/>
          <w:sz w:val="24"/>
          <w:szCs w:val="24"/>
        </w:rPr>
        <w:t xml:space="preserve">2.6.2.2.1.3 Huh7细胞系和人原代肝细胞中ART001注射液、ART001 mRNA原液和ART001 sgRNA原液的编辑效率、蛋白敲降效率及其浓度依赖关系的研究 (ART001-0P-13V01)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本研究选用 Huh7 人肝癌细胞系和人原代肝细胞（PHH）作为体外药效学评价模型。Huh7 细胞具有靶基因编码序列与人体内肝细胞一致、表达水平较高及转染效率高等特点，适用于初步评价 ART001 注射液的编辑效率和敲降效率；PHH 作为最接近人体内肝细胞的体外系统，其基因组更接近正常人基因组，且在离体培养期间能维持 TTR 蛋白的表达和分泌特性，适合用于评估 ART001 注射液在基因组水平的在靶编辑及其对 TTR mRNA 和蛋白的敲降效果。</w:t>
      </w:r>
    </w:p>
    <w:p>
      <w:pPr>
        <w:spacing w:after="60" w:before="60" w:line="300" w:lineRule="auto"/>
        <w:ind w:firstLine="480"/>
        <w:jc w:val="both"/>
      </w:pPr>
      <w:r>
        <w:rPr>
          <w:rFonts w:ascii="SimSun" w:cs="SimSun" w:eastAsia="SimSun" w:hAnsi="SimSun"/>
          <w:b w:val="false"/>
          <w:bCs w:val="false"/>
          <w:color w:val="000000"/>
          <w:sz w:val="24"/>
          <w:szCs w:val="24"/>
        </w:rPr>
        <w:t xml:space="preserve">实验设置三个部分：实验一将不同浓度的 ART001 注射液转染 Huh7 细胞；实验二使用脂质体 RNAiMAX 转染试剂，将 ART001 mRNA 原液和 ART001 sgRNA 原液转染 PHH 细胞；实验三将不同浓度的 ART001 注射液转染 PHH 细胞。其中，实验二使用的 ART001 mRNA 原液为 non-GMP 批次，经体积排除色谱质检确认纯度达到 92%，符合实验标准。</w:t>
      </w:r>
    </w:p>
    <w:p>
      <w:pPr>
        <w:spacing w:after="60" w:before="60" w:line="300" w:lineRule="auto"/>
        <w:ind w:firstLine="480"/>
        <w:jc w:val="both"/>
      </w:pPr>
      <w:r>
        <w:rPr>
          <w:rFonts w:ascii="SimSun" w:cs="SimSun" w:eastAsia="SimSun" w:hAnsi="SimSun"/>
          <w:b w:val="false"/>
          <w:bCs w:val="false"/>
          <w:color w:val="000000"/>
          <w:sz w:val="24"/>
          <w:szCs w:val="24"/>
        </w:rPr>
        <w:t xml:space="preserve">转染 72 h 后，收集细胞样本进行终点检测。基因组 DNA 提取采用 QuickExtract DNA Extract Solution 试剂盒，通过 NEBNext® Q5® Hot Start HiFi PCR Master Mix 对 TTR 靶向区域进行第一轮扩增，扩增引物接头上带有用于区分不同孔样本的序列标签（barcode）。扩增产物经磁珠纯化后，进行 NGS 双端测序。测序数据经 fastp 质控后，使用改进的 CRISPResso2 软件进行分析，以获取各实验组的 sgRNA 编辑效率数据。同时，采用 RNeasy Plus Mini Kit 提取细胞 RNA，根据 QuantiTect SYBR Green PCR 试剂盒说明书进行逆转录和 PCR 扩增，通过 qRT-PCR 检测 TTR 靶基因 mRNA 表达水平。此外，利用 ELISA 法检测 TTR 蛋白表达水平，以综合评估 ART001 的蛋白敲降效率及其浓度依赖关系。</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 Huh7 细胞中，ART001 注射液表现出显著的浓度依赖性编辑活性。随着活性成分 sgRNA 浓度的增加，靶基因编辑效率由低至高升高，范围介于 4.1% 至 90.4% 之间，最高编辑效率达 90.4%。编辑效率-浓度关系曲线以及 mRNA 表达水平-浓度关系曲线均呈现类 Sigmoid 函数特征（见图 1）。相应的，TTR mRNA 和蛋白表达水平随编辑效率的增加而显著下降。具体的编辑效率 EC50 及 EC90 数值见表 1。</w:t>
      </w:r>
    </w:p>
    <w:p>
      <w:pPr>
        <w:spacing w:after="60" w:before="60" w:line="300" w:lineRule="auto"/>
        <w:ind w:firstLine="480"/>
        <w:jc w:val="both"/>
      </w:pPr>
      <w:r>
        <w:rPr>
          <w:rFonts w:ascii="SimSun" w:cs="SimSun" w:eastAsia="SimSun" w:hAnsi="SimSun"/>
          <w:b w:val="false"/>
          <w:bCs w:val="false"/>
          <w:color w:val="000000"/>
          <w:sz w:val="24"/>
          <w:szCs w:val="24"/>
        </w:rPr>
        <w:t xml:space="preserve">在人原代肝细胞（PHH）中，通过脂质体 RNAiMAX 转染 ART001 mRNA 原液和 ART001 sgRNA 原液，同样观察到显著的浓度依赖性编辑效应。随着活性成分 sgRNA 浓度的增加，靶基因编辑效率相应升高，最高达 78.7%。在此条件下，TTR 蛋白和 mRNA 表达水平最低分别降至 24% 和 28%。编辑效率-浓度关系曲线及 mRNA 表达水平-浓度关系曲线均呈现类 Sigmoid 函数特征（见图 2）。编辑效率 EC50 及 EC90 数值见表 1。对最高剂量组编辑造成的基因序列突变进行分析，统计占比排名前十的 indel 序列见表 2。</w:t>
      </w:r>
    </w:p>
    <w:p>
      <w:pPr>
        <w:spacing w:after="60" w:before="60" w:line="300" w:lineRule="auto"/>
        <w:ind w:firstLine="480"/>
        <w:jc w:val="both"/>
      </w:pPr>
      <w:r>
        <w:rPr>
          <w:rFonts w:ascii="SimSun" w:cs="SimSun" w:eastAsia="SimSun" w:hAnsi="SimSun"/>
          <w:b w:val="false"/>
          <w:bCs w:val="false"/>
          <w:color w:val="000000"/>
          <w:sz w:val="24"/>
          <w:szCs w:val="24"/>
        </w:rPr>
        <w:t xml:space="preserve">此外，在 2 个不同供者的 PHH 中，ART001 注射液也显示出良好的浓度依赖性编辑活性。随着浓度增加，靶基因编辑效率相应升高，最高编辑效率分别为 71.2% 和 56.8%。相应的 TTR 蛋白表达水平最低分别降至 15% 和 24%（见图 3）。编辑效率 EC50 及 EC90 数值见表 1。对最高剂量组编辑造成的基因序列突变进行分析，统计占比排名前十的 indel 序列见表 3。</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 注射液在 Huh7 细胞和人原代肝细胞（PHH）中均能显著编辑靶基因，并引起靶基因 mRNA 和蛋白表达水平的显著下降，且编辑效率与活性成分浓度呈正相关。通过脂质体转染的 ART001 mRNA 原液和 ART001 sgRNA 原液在 PHH 中亦能显著编辑靶基因，并导致靶基因 mRNA 和蛋白表达水平显著下降。上述体外主要药效学结果证实了 ART001 及其组分在肝细胞模型中具有高效的基因编辑和蛋白敲降活性，支持候选药物的进一步筛选与后续推进。</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数据详见图2.6.2-2、图2.6.2-3、图2.6.2-4、表2.6.2-5、表2.6.2-6、表2.6.2-7。</w:t>
      </w:r>
    </w:p>
    <w:p>
      <w:pPr>
        <w:spacing w:after="120" w:before="60" w:line="300" w:lineRule="auto"/>
        <w:jc w:val="center"/>
      </w:pPr>
      <w:r>
        <w:rPr>
          <w:rFonts w:ascii="SimSun" w:cs="SimSun" w:eastAsia="SimSun" w:hAnsi="SimSun"/>
          <w:b/>
          <w:bCs/>
          <w:color w:val="000000"/>
          <w:sz w:val="21"/>
          <w:szCs w:val="21"/>
        </w:rPr>
        <w:t xml:space="preserve">图2.6.2-2 PHH中ART001sgRNA原液和ART001mRNA原液编辑效率、mRNA及蛋白敲降的浓度依赖效应曲线</w:t>
      </w:r>
    </w:p>
    <w:p>
      <w:pPr>
        <w:spacing w:after="60" w:before="120" w:line="300" w:lineRule="auto"/>
        <w:jc w:val="center"/>
      </w:pPr>
      <w:r>
        <w:rPr>
          <w:rFonts w:ascii="SimSun" w:cs="SimSun" w:eastAsia="SimSun" w:hAnsi="SimSun"/>
          <w:b/>
          <w:bCs/>
          <w:color w:val="000000"/>
          <w:sz w:val="21"/>
          <w:szCs w:val="21"/>
        </w:rPr>
        <w:t xml:space="preserve">表2.6.2-5 Huh7 细胞和 PHH 细胞中 ART001 注射液或原液的编辑效率的 EC50 及 EC90</w:t>
      </w:r>
    </w:p>
    <w:p>
      <w:pPr>
        <w:spacing w:after="60" w:before="120" w:line="300" w:lineRule="auto"/>
        <w:jc w:val="center"/>
      </w:pPr>
      <w:r>
        <w:rPr>
          <w:rFonts w:ascii="SimSun" w:cs="SimSun" w:eastAsia="SimSun" w:hAnsi="SimSun"/>
          <w:b/>
          <w:bCs/>
          <w:color w:val="000000"/>
          <w:sz w:val="21"/>
          <w:szCs w:val="21"/>
        </w:rPr>
        <w:t xml:space="preserve">表2.6.2-6 PHH中ART001sgRNA原液和ART001mRNA原液编辑后排名前十的indel序列</w:t>
      </w:r>
    </w:p>
    <w:p>
      <w:pPr>
        <w:spacing w:after="120" w:before="60" w:line="300" w:lineRule="auto"/>
        <w:jc w:val="center"/>
      </w:pPr>
      <w:r>
        <w:rPr>
          <w:rFonts w:ascii="SimSun" w:cs="SimSun" w:eastAsia="SimSun" w:hAnsi="SimSun"/>
          <w:b/>
          <w:bCs/>
          <w:color w:val="000000"/>
          <w:sz w:val="21"/>
          <w:szCs w:val="21"/>
        </w:rPr>
        <w:t xml:space="preserve">图2.6.2-3 PHH中ART001sgRNA原液和ART001mRNA原液编辑效率、mRNA及蛋白敲降的浓度依赖效应曲线</w:t>
      </w:r>
    </w:p>
    <w:p>
      <w:pPr>
        <w:spacing w:after="60" w:before="120" w:line="300" w:lineRule="auto"/>
        <w:jc w:val="center"/>
      </w:pPr>
      <w:r>
        <w:rPr>
          <w:rFonts w:ascii="SimSun" w:cs="SimSun" w:eastAsia="SimSun" w:hAnsi="SimSun"/>
          <w:b/>
          <w:bCs/>
          <w:color w:val="000000"/>
          <w:sz w:val="21"/>
          <w:szCs w:val="21"/>
        </w:rPr>
        <w:t xml:space="preserve">表2.6.2-7 PHH 中 ART001 注射液编辑后排名前十的 indel 序列</w:t>
      </w:r>
    </w:p>
    <w:p>
      <w:pPr>
        <w:spacing w:after="120" w:before="60" w:line="300" w:lineRule="auto"/>
        <w:jc w:val="center"/>
      </w:pPr>
      <w:r>
        <w:rPr>
          <w:rFonts w:ascii="SimSun" w:cs="SimSun" w:eastAsia="SimSun" w:hAnsi="SimSun"/>
          <w:b/>
          <w:bCs/>
          <w:color w:val="000000"/>
          <w:sz w:val="21"/>
          <w:szCs w:val="21"/>
        </w:rPr>
        <w:t xml:space="preserve">图2.6.2-4 PHH中ART001注射液编辑后排名前十的indel序列</w:t>
      </w:r>
    </w:p>
    <w:p>
      <w:pPr>
        <w:spacing w:after="90" w:before="180" w:line="300" w:lineRule="auto"/>
        <w:jc w:val="left"/>
        <w:outlineLvl w:val="1"/>
      </w:pPr>
      <w:r>
        <w:rPr>
          <w:rFonts w:ascii="SimSun" w:cs="SimSun" w:eastAsia="SimSun" w:hAnsi="SimSun"/>
          <w:b/>
          <w:bCs/>
          <w:color w:val="000000"/>
          <w:sz w:val="24"/>
          <w:szCs w:val="24"/>
        </w:rPr>
        <w:t xml:space="preserve">2.6.2.2.2 体内药效学</w:t>
      </w:r>
    </w:p>
    <w:p>
      <w:pPr>
        <w:spacing w:after="60" w:before="120" w:line="300" w:lineRule="auto"/>
        <w:jc w:val="left"/>
        <w:outlineLvl w:val="4"/>
      </w:pPr>
      <w:r>
        <w:rPr>
          <w:rFonts w:ascii="SimSun" w:cs="SimSun" w:eastAsia="SimSun" w:hAnsi="SimSun"/>
          <w:b/>
          <w:bCs/>
          <w:color w:val="000000"/>
          <w:sz w:val="24"/>
          <w:szCs w:val="24"/>
        </w:rPr>
        <w:t xml:space="preserve">2.6.2.2.2.1 ART001-066（鼠源替代产品）：CD-1小鼠单次静脉给药的体内药效学试验 (ART001-0P-01V01)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本研究采用雌性 Crl:CD1(ICR) 小鼠（7~8 周龄，SPF 级）作为实验动物，共计 12 只，随机分为 4 组（G1-G4）。G1 组（3 只）作为溶媒对照组，尾静脉单次给予 ART-N；G2-G4 组分别为低、中、高剂量组，尾静脉单次给予供试品 ART001-066（鼠源替代产品），剂量分别为 0.3 mg/kg（ART-0.3，2 只）、1 mg/kg（ART-1，3 只）和 3 mg/kg（ART-3，4 只）。给药当天定义为第 0 天，给药后每天进行 2 次临床观察。</w:t>
      </w:r>
    </w:p>
    <w:p>
      <w:pPr>
        <w:spacing w:after="60" w:before="60" w:line="300" w:lineRule="auto"/>
        <w:ind w:firstLine="480"/>
        <w:jc w:val="both"/>
      </w:pPr>
      <w:r>
        <w:rPr>
          <w:rFonts w:ascii="SimSun" w:cs="SimSun" w:eastAsia="SimSun" w:hAnsi="SimSun"/>
          <w:b w:val="false"/>
          <w:bCs w:val="false"/>
          <w:color w:val="000000"/>
          <w:sz w:val="24"/>
          <w:szCs w:val="24"/>
        </w:rPr>
        <w:t xml:space="preserve">主要药效终点包括血清 TTR 蛋白水平、肝脏 TTR 基因编辑效率及肝脏 TTR 蛋白表达。血清样本采集方案如下：G4 组在给药后 4、24、96、168 和 288 小时眼眶采集不抗凝血，制备血清用于 ELISA 测定 TTR 蛋白含量，以评估时间依赖性变化；G1-G4 组均在给药后第 7 天眼眶采集血清，用于 ELISA 测定 TTR 蛋白含量，以评估剂量依赖性变化。组织样本采集方案如下：所有组别小鼠在给药后第 12 天处死，取肝脏最大叶一部分提取基因组 DNA，通过 NGS 测序检测肝脏 TTR 基因编辑效率；另取一部分肝中叶进行免疫组化（IHC）检测肝脏内 TTR 蛋白表达水平。</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在时间依赖性研究中，CD-1小鼠单次尾静脉给予 3 mg/kg ART001-066 后，血清 TTR 蛋白水平随时间逐渐降低。给药后 24 小时，血清 TTR 蛋白较给药前显著降低；至第 7 天（168 小时），血清 TTR 蛋白达到最低水平，敲降幅度达 99%，并在此后直至第 12 天（288 小时）期间维持稳定（图1）。</w:t>
      </w:r>
    </w:p>
    <w:p>
      <w:pPr>
        <w:spacing w:after="60" w:before="60" w:line="300" w:lineRule="auto"/>
        <w:ind w:firstLine="480"/>
        <w:jc w:val="both"/>
      </w:pPr>
      <w:r>
        <w:rPr>
          <w:rFonts w:ascii="SimSun" w:cs="SimSun" w:eastAsia="SimSun" w:hAnsi="SimSun"/>
          <w:b w:val="false"/>
          <w:bCs w:val="false"/>
          <w:color w:val="000000"/>
          <w:sz w:val="24"/>
          <w:szCs w:val="24"/>
        </w:rPr>
        <w:t xml:space="preserve">在剂量依赖性研究中，不同剂量组（0.3、1 和 3 mg/kg）小鼠的血清 TTR 蛋白含量及肝脏 TTR 基因编辑效率均呈现明显的量效关系。与溶媒对照组相比，低、中、高剂量组给药后第 7 天血清 TTR 蛋白含量平均分别降低了 8%、83% 和 98%（正文表格1）；第 12 天肝脏 TTR 基因编辑效率分别达到 2%、65% 和 79%（图2）。肝脏组织免疫组化（IHC）检测结果与血清及基因编辑数据一致，显示肝细胞内的 TTR 蛋白表达随剂量升高而逐渐降低（图3）。试验期间临床观察显示，各组小鼠毛色光泽，进食饮水正常，活动未见异常，供试品对小鼠无明显毒性。</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CD-1小鼠经单次尾静脉注射 ART001-066 后，供试品呈剂量依赖性地编辑肝脏 TTR 基因，并显著敲降小鼠肝脏及血清中的 TTR 蛋白。该体内药效学结果证实了以 LNP 为递送系统的基因编辑产品在靶器官肝内的有效性，为后续在人源化 TTR 小鼠中验证临床拟用分子奠定了实验基础。</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数据详见图2.6.2-5、图2.6.2-6、图2.6.2-7。</w:t>
      </w:r>
    </w:p>
    <w:p>
      <w:pPr>
        <w:spacing w:after="120" w:before="60" w:line="300" w:lineRule="auto"/>
        <w:jc w:val="center"/>
      </w:pPr>
      <w:r>
        <w:rPr>
          <w:rFonts w:ascii="SimSun" w:cs="SimSun" w:eastAsia="SimSun" w:hAnsi="SimSun"/>
          <w:b/>
          <w:bCs/>
          <w:color w:val="000000"/>
          <w:sz w:val="21"/>
          <w:szCs w:val="21"/>
        </w:rPr>
        <w:t xml:space="preserve">图2.6.2-5 不同剂量ART001-066给药后血清中TTR蛋白含量随时间的变化</w:t>
      </w:r>
    </w:p>
    <w:p>
      <w:pPr>
        <w:spacing w:after="120" w:before="60" w:line="300" w:lineRule="auto"/>
        <w:jc w:val="center"/>
      </w:pPr>
      <w:r>
        <w:rPr>
          <w:rFonts w:ascii="SimSun" w:cs="SimSun" w:eastAsia="SimSun" w:hAnsi="SimSun"/>
          <w:b/>
          <w:bCs/>
          <w:color w:val="000000"/>
          <w:sz w:val="21"/>
          <w:szCs w:val="21"/>
        </w:rPr>
        <w:t xml:space="preserve">图2.6.2-6 不同剂量ART001-066给药后血清中TTR蛋白含量和基因编辑效率</w:t>
      </w:r>
    </w:p>
    <w:p>
      <w:pPr>
        <w:spacing w:after="120" w:before="60" w:line="300" w:lineRule="auto"/>
        <w:jc w:val="center"/>
      </w:pPr>
      <w:r>
        <w:rPr>
          <w:rFonts w:ascii="SimSun" w:cs="SimSun" w:eastAsia="SimSun" w:hAnsi="SimSun"/>
          <w:b/>
          <w:bCs/>
          <w:color w:val="000000"/>
          <w:sz w:val="21"/>
          <w:szCs w:val="21"/>
        </w:rPr>
        <w:t xml:space="preserve">图2.6.2-7 不同剂量给药12天后小鼠肝脏抗TTR蛋白的免疫组化结果</w:t>
      </w:r>
    </w:p>
    <w:p>
      <w:pPr>
        <w:spacing w:after="60" w:before="120" w:line="300" w:lineRule="auto"/>
        <w:jc w:val="left"/>
        <w:outlineLvl w:val="4"/>
      </w:pPr>
      <w:r>
        <w:rPr>
          <w:rFonts w:ascii="SimSun" w:cs="SimSun" w:eastAsia="SimSun" w:hAnsi="SimSun"/>
          <w:b/>
          <w:bCs/>
          <w:color w:val="000000"/>
          <w:sz w:val="24"/>
          <w:szCs w:val="24"/>
        </w:rPr>
        <w:t xml:space="preserve">2.6.2.2.2.2 突变型 TTR（V50M）人源化小鼠单次静脉给药的体内药效学筛选试验 (ART001-0P-02V01)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本研究采用突变型 TTR（V50M）人源化小鼠（B6-H11Alb-hTTR(V50M)）作为动物模型，评估几种人源 sgRNA（ART001-036、ART001-065、ART001-064、NTLA-2001、ART001-003 和 ART001-091）与 Cas9 mRNA 共装载于脂质纳米颗粒（LNP）后的体内药效。试验由 3 组独立试验组成，供试品经尾静脉单次注射给药，剂量代表总 RNA 剂量。第一组试验中，小鼠随机分为 4 组，分别给予 ART001-036、ART001-065、ART001-003 或 NTLA-2001，剂量均为 1mg/kg；给药当天定义为第 0 天，于第 0、3、5、7、40、99、199 天通过眼眶采集不抗凝血，室温静置 1 小时后，4°C 冷冻离心（3000 转/分钟，15 分钟）获得血清，保存于 -70°C，用于 ELISA 测定血清人 TTR 蛋白含量。第二组试验中，小鼠在给药前和给药后收集血清至 52 周，样本处理同上，用于 ELISA 测定血清人 TTR 含量。第三组试验中，小鼠分别给予 0.3mg/kg 和 0.6mg/kg 剂量的供试品，给药后第 7 天经 CO2 安乐死，采集心脏不抗凝血用于 ELISA 测定血清人 TTR 含量，并取肝最大叶部分组织提取全基因组 DNA，用于 NGS 测序以评估肝脏 TTR 基因编辑效率。</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第一组试验结果显示，在 1mg/kg 剂量下，ART001-036 给药后未显著降低血清 TTR 蛋白水平；ART001-065 与 NTLA-2001 药效相当，在给药后第 199 天维持约 65% 的蛋白敲降水平；ART001-064 药效最优，在给药后第 199 天维持约 80% 的蛋白敲降水平（图 1，表 1）。第二组试验结果显示，ART001-064 对血清 TTR 蛋白的敲降效果显著优于 ART001-003；在 1mg/kg 剂量条件下，ART001-064 引起 90% 以上的人 TTR 蛋白敲降，并维持超过 1 年（图 2，表 2）。第三组试验结果显示，ART001-064 与 ART001-091 在人源化小鼠中的药效无明显差异；与溶媒对照相比，在 0.3mg/kg 和 0.6mg/kg 剂量下，血清人 TTR 蛋白均被敲降超过 95%，肝脏 TTR 基因编辑效率均达到 60% 以上（图 3，表 3）。</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本项目设计的靶向人 TTR 基因的 sgRNA 活性分子 ART001-064 可持续并显著地敲降人源化小鼠 TTR 蛋白。ART001-064 经碱基优化后形成的 ART001-091 保持了同样的体内活性，因此 ART001-091 被确定为最终 sgRNA 候选物，用于后续试验和生产。</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数据详见图2.6.2-8、图2.6.2-9、图2.6.2-10、表2.6.2-8、表2.6.2-9、表2.6.2-10。</w:t>
      </w:r>
    </w:p>
    <w:p>
      <w:pPr>
        <w:spacing w:after="120" w:before="60" w:line="300" w:lineRule="auto"/>
        <w:jc w:val="center"/>
      </w:pPr>
      <w:r>
        <w:rPr>
          <w:rFonts w:ascii="SimSun" w:cs="SimSun" w:eastAsia="SimSun" w:hAnsi="SimSun"/>
          <w:b/>
          <w:bCs/>
          <w:color w:val="000000"/>
          <w:sz w:val="21"/>
          <w:szCs w:val="21"/>
        </w:rPr>
        <w:t xml:space="preserve">图2.6.2-8 B6-H11 Alb-hTTR(V50M)人源化小鼠血清中人 TTR 蛋白水平在单次给药后随时间的变化。（n=1）</w:t>
      </w:r>
    </w:p>
    <w:p>
      <w:pPr>
        <w:spacing w:after="60" w:before="120" w:line="300" w:lineRule="auto"/>
        <w:jc w:val="center"/>
      </w:pPr>
      <w:r>
        <w:rPr>
          <w:rFonts w:ascii="SimSun" w:cs="SimSun" w:eastAsia="SimSun" w:hAnsi="SimSun"/>
          <w:b/>
          <w:bCs/>
          <w:color w:val="000000"/>
          <w:sz w:val="21"/>
          <w:szCs w:val="21"/>
        </w:rPr>
        <w:t xml:space="preserve">表2.6.2-8 B6-H11 Alb-hTTR(V50M)人源化小鼠血清中人 TTR 蛋白水平在单次给药后随时间的变化</w:t>
      </w:r>
    </w:p>
    <w:p>
      <w:pPr>
        <w:spacing w:after="120" w:before="60" w:line="300" w:lineRule="auto"/>
        <w:jc w:val="center"/>
      </w:pPr>
      <w:r>
        <w:rPr>
          <w:rFonts w:ascii="SimSun" w:cs="SimSun" w:eastAsia="SimSun" w:hAnsi="SimSun"/>
          <w:b/>
          <w:bCs/>
          <w:color w:val="000000"/>
          <w:sz w:val="21"/>
          <w:szCs w:val="21"/>
        </w:rPr>
        <w:t xml:space="preserve">图2.6.2-9 C57BL/6J-Ttr(hTTRV50M)Mx人源化小鼠血清中人TTR蛋白水平在单次给药后随时间的变化。（n = 1）</w:t>
      </w:r>
    </w:p>
    <w:p>
      <w:pPr>
        <w:spacing w:after="60" w:before="120" w:line="300" w:lineRule="auto"/>
        <w:jc w:val="center"/>
      </w:pPr>
      <w:r>
        <w:rPr>
          <w:rFonts w:ascii="SimSun" w:cs="SimSun" w:eastAsia="SimSun" w:hAnsi="SimSun"/>
          <w:b/>
          <w:bCs/>
          <w:color w:val="000000"/>
          <w:sz w:val="21"/>
          <w:szCs w:val="21"/>
        </w:rPr>
        <w:t xml:space="preserve">表2.6.2-9 C57BL/6J-Ttr(hTTRV50M)Mx 人源化小鼠血清中人 TTR 蛋白水平在单次给药后随时间的变化</w:t>
      </w:r>
    </w:p>
    <w:p>
      <w:pPr>
        <w:spacing w:after="120" w:before="60" w:line="300" w:lineRule="auto"/>
        <w:jc w:val="center"/>
      </w:pPr>
      <w:r>
        <w:rPr>
          <w:rFonts w:ascii="SimSun" w:cs="SimSun" w:eastAsia="SimSun" w:hAnsi="SimSun"/>
          <w:b/>
          <w:bCs/>
          <w:color w:val="000000"/>
          <w:sz w:val="21"/>
          <w:szCs w:val="21"/>
        </w:rPr>
        <w:t xml:space="preserve">图2.6.2-10 单次给药7天后C57BL/6J-Ttm1(hTTRV50M)Smoc 人源化小鼠血清中人TTR蛋白含量下降百分比和肝脏TTR基因编辑效率。（Mean±SD，n=3）</w:t>
      </w:r>
    </w:p>
    <w:p>
      <w:pPr>
        <w:spacing w:after="60" w:before="120" w:line="300" w:lineRule="auto"/>
        <w:jc w:val="center"/>
      </w:pPr>
      <w:r>
        <w:rPr>
          <w:rFonts w:ascii="SimSun" w:cs="SimSun" w:eastAsia="SimSun" w:hAnsi="SimSun"/>
          <w:b/>
          <w:bCs/>
          <w:color w:val="000000"/>
          <w:sz w:val="21"/>
          <w:szCs w:val="21"/>
        </w:rPr>
        <w:t xml:space="preserve">表2.6.2-10 单次给予供试品 ART001-064 和 ART001-091 7 天后 C57BL/6J-Ttm1(hTTRV50M)Smoc 人源化小鼠血清中人 TTR 蛋白含量变化</w:t>
      </w:r>
    </w:p>
    <w:p>
      <w:pPr>
        <w:spacing w:after="60" w:before="120" w:line="300" w:lineRule="auto"/>
        <w:jc w:val="left"/>
        <w:outlineLvl w:val="4"/>
      </w:pPr>
      <w:r>
        <w:rPr>
          <w:rFonts w:ascii="SimSun" w:cs="SimSun" w:eastAsia="SimSun" w:hAnsi="SimSun"/>
          <w:b/>
          <w:bCs/>
          <w:color w:val="000000"/>
          <w:sz w:val="24"/>
          <w:szCs w:val="24"/>
        </w:rPr>
        <w:t xml:space="preserve">2.6.2.2.2.3 ART001 注射液：野生型 TTR 人源化小鼠单次静脉给药的体内药效学试验 (ART001-0P-03V01)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 C57BL/6J-Ttm1(hTTR)Smoc 野生型 TTR 人源化小鼠作为动物模型，评估 ART001 注射液单次静脉给药后的体内药效。实验动物饲养与管理遵循标准操作规程（SOP）及相关指南。给药制剂在 2-8°C 条件下融化后，于室温平衡约 30 分钟，随后用生理盐水配制，并在分发、转运及抽取过程中避免剧烈震荡，以确保制剂稳定性。</w:t>
      </w:r>
    </w:p>
    <w:p>
      <w:pPr>
        <w:spacing w:after="60" w:before="60" w:line="300" w:lineRule="auto"/>
        <w:ind w:firstLine="480"/>
        <w:jc w:val="both"/>
      </w:pPr>
      <w:r>
        <w:rPr>
          <w:rFonts w:ascii="SimSun" w:cs="SimSun" w:eastAsia="SimSun" w:hAnsi="SimSun"/>
          <w:b w:val="false"/>
          <w:bCs w:val="false"/>
          <w:color w:val="000000"/>
          <w:sz w:val="24"/>
          <w:szCs w:val="24"/>
        </w:rPr>
        <w:t xml:space="preserve">小鼠随机分为 6 组，分别经尾静脉单次给予溶媒对照或不同剂量的 ART001-DP（临床拟用样品），剂量分别为 0.025、0.05、0.1、0.2 和 0.3 mg/kg（剂量以总 RNA 量计）。给药当天定义为第 0 天，观察窗口设定为给药后第 7 天。在该时间点，各组动物经 CO2 安乐死，采集心脏不抗凝血，经室温静置及 4°C 冷冻离心后获取血清，用于 ELISA 测定血清人 TTR 蛋白水平；同时取肝脏大叶部分组织提取全基因组 DNA 进行测序，以测定肝脏 TTR 基因编辑效率。</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在野生型 TTR 人源化小鼠模型中，ART001 注射液单次静脉给药后呈现明显的剂量效应关系。如图 1 和表 2 所示，随着给药剂量从 0.025 mg/kg 递增至 0.3 mg/kg，小鼠血清中的人 TTR 蛋白含量逐渐降低，同时肝脏 TTR 基因编辑效率逐渐递增。在最高剂量组（0.3 mg/kg），血清人 TTR 蛋白敲低率达到 96.3%，肝脏基因编辑效率达到 61%，药效几乎达到饱和。此外，给药前后小鼠活动正常，精神状态良好，未观察到明显不良反应。</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临床拟用样品 ART001 注射液在野生型 TTR 人源化小鼠体内可剂量依赖性地编辑和敲降血清中的人 TTR 蛋白，证实了该药物的体内药效，为后续临床试验提供了药效学支持。</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数据详见图2.6.2-11、表2.6.2-11。</w:t>
      </w:r>
    </w:p>
    <w:p>
      <w:pPr>
        <w:spacing w:after="120" w:before="60" w:line="300" w:lineRule="auto"/>
        <w:jc w:val="center"/>
      </w:pPr>
      <w:r>
        <w:rPr>
          <w:rFonts w:ascii="SimSun" w:cs="SimSun" w:eastAsia="SimSun" w:hAnsi="SimSun"/>
          <w:b/>
          <w:bCs/>
          <w:color w:val="000000"/>
          <w:sz w:val="21"/>
          <w:szCs w:val="21"/>
        </w:rPr>
        <w:t xml:space="preserve">图2.6.2-11 人源化小鼠经ART001注射液单次静脉给药后血清中TTR蛋白水平和肝脏基因编辑效率。（Mean±SD，n=2-3）</w:t>
      </w:r>
    </w:p>
    <w:p>
      <w:pPr>
        <w:spacing w:after="60" w:before="120" w:line="300" w:lineRule="auto"/>
        <w:jc w:val="center"/>
      </w:pPr>
      <w:r>
        <w:rPr>
          <w:rFonts w:ascii="SimSun" w:cs="SimSun" w:eastAsia="SimSun" w:hAnsi="SimSun"/>
          <w:b/>
          <w:bCs/>
          <w:color w:val="000000"/>
          <w:sz w:val="21"/>
          <w:szCs w:val="21"/>
        </w:rPr>
        <w:t xml:space="preserve">表2.6.2-11 人源化小鼠经 ART001 注射液单次静脉给药后血清中 TTR 蛋白水平</w:t>
      </w:r>
    </w:p>
    <w:p>
      <w:pPr>
        <w:spacing w:after="60" w:before="120" w:line="300" w:lineRule="auto"/>
        <w:jc w:val="left"/>
        <w:outlineLvl w:val="4"/>
      </w:pPr>
      <w:r>
        <w:rPr>
          <w:rFonts w:ascii="SimSun" w:cs="SimSun" w:eastAsia="SimSun" w:hAnsi="SimSun"/>
          <w:b/>
          <w:bCs/>
          <w:color w:val="000000"/>
          <w:sz w:val="24"/>
          <w:szCs w:val="24"/>
        </w:rPr>
        <w:t xml:space="preserve">2.6.2.2.2.4 ART001-S（先导LNP配方）：食蟹猴单次静脉给药的体内概念验证和LNP配方筛选试验 (ART001-0P-04V01)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本研究采用食蟹猴作为动物模型，旨在评估不同LNP配方（携带Cas9 mRNA和靶向猴TTR基因的sgRNA）的体内递送效果并筛选最优配方。试验前，动物经检疫和驯化，饲养于符合标准的动物房环境中（温度18-26°C，相对湿度40%-70%，12小时明暗交替）。给药制剂从2-8°C取出，室温平衡约30分钟后，经精确抽取进行单次静脉输注。给药期间动物单笼饲养，给药后72小时至实验结束合笼饲养。主要药效终点为肝脏基因编辑效率，用于评估LNP配方的递送效率；同时通过临床观察及临床病理学指标（血液学和血清生化）初步评估供试品的安全性。</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 6mg/kg 剂量条件下，食蟹猴单次静脉输注 LNP 配方 1-4 后，第 14 天肝脏基因编辑效率分别为 11.5%、21%、62% 和 43%（图 1），其中 LNP 配方 3 表现出最优的递送效率。在 LNP 配方 3 基础上优化制备的 LNP 配方 5 与 LNP 配方 3 进行头对头比较，分别以 3mg/kg 和 4.5mg/kg 剂量单次静脉输注给药。结果显示，两种配方在食蟹猴肝脏中产生的编辑效率无显著差异。安全性方面，两种 LNP 配方在给药后 2-8 天均引起 ALT、AST、TBIL、CK 和 CRP 的可逆性升高，提示存在一过性肝损伤，但上述指标均在第 14 天恢复至正常范围。与 LNP 配方 3 相比，LNP 配方 5 引起的 AST、TBIL、CK 和 CRP 升高倍数明显降低，总体安全性更优（表 1）。</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经过筛选，LNP 配方 5 在食蟹猴中具备较好的编辑效率和安全性，被选为递送系统候选物，用于临床拟用样品的制备。</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数据详见图2.6.2-12、表2.6.2-12。</w:t>
      </w:r>
    </w:p>
    <w:p>
      <w:pPr>
        <w:spacing w:after="120" w:before="60" w:line="300" w:lineRule="auto"/>
        <w:jc w:val="center"/>
      </w:pPr>
      <w:r>
        <w:rPr>
          <w:rFonts w:ascii="SimSun" w:cs="SimSun" w:eastAsia="SimSun" w:hAnsi="SimSun"/>
          <w:b/>
          <w:bCs/>
          <w:color w:val="000000"/>
          <w:sz w:val="21"/>
          <w:szCs w:val="21"/>
        </w:rPr>
        <w:t xml:space="preserve">图2.6.2-12 食蟹猴接受ART001-S注射液（猴替代分子）单次给药后肝脏基因编辑的效果。（n=1）</w:t>
      </w:r>
    </w:p>
    <w:p>
      <w:pPr>
        <w:spacing w:after="60" w:before="120" w:line="300" w:lineRule="auto"/>
        <w:jc w:val="center"/>
      </w:pPr>
      <w:r>
        <w:rPr>
          <w:rFonts w:ascii="SimSun" w:cs="SimSun" w:eastAsia="SimSun" w:hAnsi="SimSun"/>
          <w:b/>
          <w:bCs/>
          <w:color w:val="000000"/>
          <w:sz w:val="21"/>
          <w:szCs w:val="21"/>
        </w:rPr>
        <w:t xml:space="preserve">表2.6.2-12 LNP 配方 3 和配方 5 的肝脏编辑效率和血清生化变化 (n=1)</w:t>
      </w:r>
    </w:p>
    <w:p>
      <w:pPr>
        <w:spacing w:after="60" w:before="120" w:line="300" w:lineRule="auto"/>
        <w:jc w:val="left"/>
        <w:outlineLvl w:val="4"/>
      </w:pPr>
      <w:r>
        <w:rPr>
          <w:rFonts w:ascii="SimSun" w:cs="SimSun" w:eastAsia="SimSun" w:hAnsi="SimSun"/>
          <w:b/>
          <w:bCs/>
          <w:color w:val="000000"/>
          <w:sz w:val="24"/>
          <w:szCs w:val="24"/>
        </w:rPr>
        <w:t xml:space="preserve">2.6.2.2.2.5 ART001 注射液：野生型 TTR 人源化小鼠体内药效学试验 (ART001-0P-05V01)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 C57BL/6J-Ttm1(hTTR)Smoc 野生型 TTR 人源化小鼠作为动物模型，共计 24 只（16 雄，8 雌），随机分为 4 组，每组 4 雄 2 雌。动物饲养与管理遵循实验动物饲养和使用指南及动物福利管理条例，并经机构动物伦理委员会批准（批准编号：2022006）。供试品 ART001 注射液经解冻、平衡后，用生理盐水稀释至所需浓度。各组小鼠分别单次静脉注射给予溶媒（生理盐水）或 0.03、0.1 和 0.3 mg/kg 的 ART001 注射液（剂量以总 RNA 量计）。给药当天定义为第 0 天，于试验第 7 天采集血清和肝脏组织。血清样本经离心处理后用于 ELISA 测定人 TTR 蛋白含量；肝脏组织提取全基因组 DNA 进行测序，以测定 TTR 基因编辑效率。</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在野生型 TTR 人源化小鼠模型中，ART001 注射液单次静脉给药后，呈现出明确的剂量依赖性药效。与给药前相比，在 0.03、0.1 和 0.3 mg/kg 剂量组，小鼠血清人 TTR 蛋白含量分别下降 42%、84.7% 和 97.2%。同时，肝脏 TTR 基因编辑效率随剂量增加而升高，在上述三个剂量组分别达到 26.0%、52.8% 和 63.9%。</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 注射液在野生型 TTR 人源化小鼠体内能够以剂量依赖的方式有效敲降人 TTR 蛋白，并实现相应的肝脏 TTR 基因编辑。该体内药效学结果进一步验证了 ART001 的药效作用，为后续临床试验提供了支持。</w:t>
      </w:r>
    </w:p>
    <w:p>
      <w:pPr>
        <w:spacing w:after="60" w:before="120" w:line="300" w:lineRule="auto"/>
        <w:jc w:val="left"/>
        <w:outlineLvl w:val="4"/>
      </w:pPr>
      <w:r>
        <w:rPr>
          <w:rFonts w:ascii="SimSun" w:cs="SimSun" w:eastAsia="SimSun" w:hAnsi="SimSun"/>
          <w:b/>
          <w:bCs/>
          <w:color w:val="000000"/>
          <w:sz w:val="24"/>
          <w:szCs w:val="24"/>
        </w:rPr>
        <w:t xml:space="preserve">2.6.2.2.2.6 ART001 注射液：人源化小鼠体内长期药效试验 (ART001-0P-07V01)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本研究采用野生型 C57BL/6J-Ttm1(hTTR)Smoc 和突变型 C57BL/6J-Ttr(hTTRV50M)Mx TTR 人源化小鼠作为动物模型，评估 ART001 注射液单次注射后的长期药效。动物饲养于 SPF 级动物房，IVC 笼架饲养，温度 20~26°C，湿度 40~70%，光照 12 小时明暗交替，随意饮食。供试品从 -80°C 冰箱取出，转移至 2-8°C 冰箱解冻，室温平衡约 30 分钟后，用生理盐水稀释至所需浓度。试验分为溶媒对照组和给药组，溶媒组给予生理盐水，给药组经静脉注射给予 0.3mg/kg 剂量的 ART001 注射液（剂量以总 RNA 量计）。给药当天定义为第 0 天，分别于给药前及给药后第 1、2、3 和 5 个月经后腿隐静脉采血。血液样本置于空白离心管中室温静置 0.5-1 小时，经 4°C 冷冻离心（6000 转/分钟，5 分钟）两次，获得约 20-50μl 血清，保存于 -70°C，用于 ELISA 测定血清人 TTR 蛋白含量。</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 0.3mg/kg 剂量下，野生型（C57BL/6J-Ttm1(hTTR)Smoc）和突变型（C57BL/6J-Ttm1(hTTRV50M)Mx）人源化小鼠经单次静脉注射 ART001 注射液后，血清中的人 TTR 蛋白含量均被敲降超过 95%，且该药效维持至少 5 个月（目前观察的最长时间），具体数据见图 1 和表 2。在给药前后观察期内，小鼠活动正常，精神状态良好，未发现明显不良反应。</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 注射液在野生型和突变型人源化小鼠中经单次静脉注射后，均能大幅敲降 TTR 蛋白并维持长期药效，为未来临床试验提供了药效学基础。</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数据详见图2.6.2-13、表2.6.2-13。</w:t>
      </w:r>
    </w:p>
    <w:p>
      <w:pPr>
        <w:spacing w:after="120" w:before="60" w:line="300" w:lineRule="auto"/>
        <w:jc w:val="center"/>
      </w:pPr>
      <w:r>
        <w:rPr>
          <w:rFonts w:ascii="SimSun" w:cs="SimSun" w:eastAsia="SimSun" w:hAnsi="SimSun"/>
          <w:b/>
          <w:bCs/>
          <w:color w:val="000000"/>
          <w:sz w:val="21"/>
          <w:szCs w:val="21"/>
        </w:rPr>
        <w:t xml:space="preserve">图2.6.2-13 人源化小鼠经单次尾静脉给药后的血清人TTR蛋白含量随时间的长期变化</w:t>
      </w:r>
    </w:p>
    <w:p>
      <w:pPr>
        <w:spacing w:after="60" w:before="120" w:line="300" w:lineRule="auto"/>
        <w:jc w:val="center"/>
      </w:pPr>
      <w:r>
        <w:rPr>
          <w:rFonts w:ascii="SimSun" w:cs="SimSun" w:eastAsia="SimSun" w:hAnsi="SimSun"/>
          <w:b/>
          <w:bCs/>
          <w:color w:val="000000"/>
          <w:sz w:val="21"/>
          <w:szCs w:val="21"/>
        </w:rPr>
        <w:t xml:space="preserve">表2.6.2-13 人源化小鼠经单次尾静脉给予 ART001 注射液后的 血清人 TTR 蛋白含量的长期变化</w:t>
      </w:r>
    </w:p>
    <w:p>
      <w:pPr>
        <w:spacing w:after="60" w:before="120" w:line="300" w:lineRule="auto"/>
        <w:jc w:val="left"/>
        <w:outlineLvl w:val="4"/>
      </w:pPr>
      <w:r>
        <w:rPr>
          <w:rFonts w:ascii="SimSun" w:cs="SimSun" w:eastAsia="SimSun" w:hAnsi="SimSun"/>
          <w:b/>
          <w:bCs/>
          <w:color w:val="000000"/>
          <w:sz w:val="24"/>
          <w:szCs w:val="24"/>
        </w:rPr>
        <w:t xml:space="preserve">2.6.2.2.2.7 ART001-S 注射液：食蟹猴单次静脉输注给药的药效及药代动力学试验 (ART001-0T-39V01)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本研究采用食蟹猴作为动物模型，评估ART001-S注射液单次静脉输注给药的体内药效学特征。供试品采用静脉输注给药，该途径与人拟用临床给药途径一致。根据前期毒性试验结果（单次静脉输注6 mg/kg剂量动物无法耐受），本试验设定最高剂量为4.5 mg/kg，并据此调整给药剂量范围以寻找未见毒性反应剂量（NOAEL）。给药前1小时左右，所有试验组动物静脉推注给予2 mg/kg地塞米松磷酸钠注射液，并在给药后连续3天维持该剂量给药。供试品单次静脉输注时长为2小时或4小时，给药体积为10 mL/kg。药效学观察指标包括部分活化凝血酶原时间（aPTT）等凝血功能参数，在给药后多个时间点（如试验日0、2、4、8、14、28等）进行采集和测定，以评估药物对凝血功能的影响及持续时间。</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在食蟹猴单次静脉输注ART001-S注射液（0.5、1、1.5、2、2.5和3 mg/kg）的药效学试验中，给药后各组动物血清TTR蛋白含量随时间延长而逐渐降低，并在第28天达到最低点，呈现明显的时间依赖关系。在0.5、1、1.5、2、2.5和3 mg/kg剂量下，猴血清TTR蛋白分别被敲降54%、72%、92%、96%、96%和97%（见图8.1-1）。肝脏TTR基因编辑效率分别达到37.7%、53.8%、56%、62.7%、56.3%和54.2%（见图8.1-2），药效呈现明显的剂量效应关系。</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S注射液在食蟹猴体内单次静脉输注给药后，能有效降低血清TTR蛋白水平并实现肝脏TTR基因编辑。血清TTR蛋白的降低程度随时间延长而增加，并在第28天达到最大效应；同时，血清TTR蛋白敲降率及肝脏TTR基因编辑效率均随剂量增加而提高，表现出显著的剂量-效应关系和时间-效应关系。</w:t>
      </w:r>
    </w:p>
    <w:p>
      <w:pPr>
        <w:spacing w:after="60" w:before="60" w:line="300" w:lineRule="auto"/>
        <w:ind w:firstLine="480"/>
        <w:jc w:val="both"/>
      </w:pPr>
      <w:r>
        <w:rPr>
          <w:rFonts w:ascii="SimSun" w:cs="SimSun" w:eastAsia="SimSun" w:hAnsi="SimSun"/>
          <w:b w:val="false"/>
          <w:bCs w:val="false"/>
          <w:color w:val="000000"/>
          <w:sz w:val="24"/>
          <w:szCs w:val="24"/>
        </w:rPr>
        <w:t xml:space="preserve">数据详见图2.6.2-14、图2.6.2-15、图2.6.2-16。</w:t>
      </w:r>
    </w:p>
    <w:p>
      <w:pPr>
        <w:spacing w:after="120" w:before="60" w:line="300" w:lineRule="auto"/>
        <w:jc w:val="center"/>
      </w:pPr>
      <w:r>
        <w:rPr>
          <w:rFonts w:ascii="SimSun" w:cs="SimSun" w:eastAsia="SimSun" w:hAnsi="SimSun"/>
          <w:b/>
          <w:bCs/>
          <w:color w:val="000000"/>
          <w:sz w:val="21"/>
          <w:szCs w:val="21"/>
        </w:rPr>
        <w:t xml:space="preserve">图2.6.2-14 食蟹猴经单次静脉注射ART001-S注射液后血清TTR蛋白含量和肝脏TTR基因编辑效率随剂量的变化（Mean±SD，n=2-5）</w:t>
      </w:r>
    </w:p>
    <w:p>
      <w:pPr>
        <w:spacing w:after="120" w:before="60" w:line="300" w:lineRule="auto"/>
        <w:jc w:val="center"/>
      </w:pPr>
      <w:r>
        <w:rPr>
          <w:rFonts w:ascii="SimSun" w:cs="SimSun" w:eastAsia="SimSun" w:hAnsi="SimSun"/>
          <w:b/>
          <w:bCs/>
          <w:color w:val="000000"/>
          <w:sz w:val="21"/>
          <w:szCs w:val="21"/>
        </w:rPr>
        <w:t xml:space="preserve">图2.6.2-15 食蟹猴经单次静脉注射ART001-S注射液后血清TTR蛋白含量随时间的变化。 (Mean±SD, n=1-3)</w:t>
      </w:r>
    </w:p>
    <w:p>
      <w:pPr>
        <w:spacing w:after="120" w:before="60" w:line="300" w:lineRule="auto"/>
        <w:jc w:val="center"/>
      </w:pPr>
      <w:r>
        <w:rPr>
          <w:rFonts w:ascii="SimSun" w:cs="SimSun" w:eastAsia="SimSun" w:hAnsi="SimSun"/>
          <w:b/>
          <w:bCs/>
          <w:color w:val="000000"/>
          <w:sz w:val="21"/>
          <w:szCs w:val="21"/>
        </w:rPr>
        <w:t xml:space="preserve">图2.6.2-16 食蟹猴经单次静脉注射ART001-S注射液后血清TTR蛋白含量随时间的变化（Mean±SD, n=1-3）</w:t>
      </w:r>
    </w:p>
    <w:p>
      <w:pPr>
        <w:spacing w:after="120" w:before="240" w:line="300" w:lineRule="auto"/>
        <w:jc w:val="left"/>
        <w:outlineLvl w:val="0"/>
      </w:pPr>
      <w:r>
        <w:rPr>
          <w:rFonts w:ascii="SimSun" w:cs="SimSun" w:eastAsia="SimSun" w:hAnsi="SimSun"/>
          <w:b/>
          <w:bCs/>
          <w:color w:val="000000"/>
          <w:sz w:val="28"/>
          <w:szCs w:val="28"/>
        </w:rPr>
        <w:t xml:space="preserve">2.6.2.3 次要药效学</w:t>
      </w:r>
    </w:p>
    <w:p>
      <w:pPr>
        <w:spacing w:after="60" w:before="120" w:line="300" w:lineRule="auto"/>
        <w:jc w:val="left"/>
        <w:outlineLvl w:val="4"/>
      </w:pPr>
      <w:r>
        <w:rPr>
          <w:rFonts w:ascii="SimSun" w:cs="SimSun" w:eastAsia="SimSun" w:hAnsi="SimSun"/>
          <w:b/>
          <w:bCs/>
          <w:color w:val="000000"/>
          <w:sz w:val="24"/>
          <w:szCs w:val="24"/>
        </w:rPr>
        <w:t xml:space="preserve">2.6.2.3.1 原代人肝细胞中ART001注射液、和人肝细胞系中ART001-064脱靶编辑的研究 (ART001-0P-14V01)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旨在评估ART001注射液及ART001-064在基因组水平的脱靶编辑风险，实验设计遵循FDA《人类基因治疗产品纳入人类基因组编辑》及EMA相关指导原则。实验系统选用原代人肝细胞（PHH）和人肝细胞系（HepG2），其中PHH因基因组更接近正常人且靶基因编码序列一致，用于评估ART001注射液及原液的脱靶情况；HepG2则用于评估ART001-064的脱靶风险。</w:t>
      </w:r>
    </w:p>
    <w:p>
      <w:pPr>
        <w:spacing w:after="60" w:before="60" w:line="300" w:lineRule="auto"/>
        <w:ind w:firstLine="480"/>
        <w:jc w:val="both"/>
      </w:pPr>
      <w:r>
        <w:rPr>
          <w:rFonts w:ascii="SimSun" w:cs="SimSun" w:eastAsia="SimSun" w:hAnsi="SimSun"/>
          <w:b w:val="false"/>
          <w:bCs w:val="false"/>
          <w:color w:val="000000"/>
          <w:sz w:val="24"/>
          <w:szCs w:val="24"/>
        </w:rPr>
        <w:t xml:space="preserve">脱靶位点的筛选与检测采用多阶段正交策略。首先，基于前期GUIDE-seq、SITE-seq实验数据及生物信息学预测（使用flashfry和crispritz软件，筛选与sgRNA序列差异≤3或位于癌基因/必需基因外显子的差异4-5位点），汇总3730个高风险潜在脱靶位点，并合成两种靶向高通量测序Panel。在暴露风险实验中，将ART001sgRNA原液和ART001mRNA原液以饱和剂量（大于3倍EC90）通过脂质体RNAiMAX转染PHH细胞，利用Panel富集目标区域进行高通量测序以识别疑似脱靶位点，并结合全基因组测序数据，通过高深度扩增子测序确证真正的脱靶位点。随后，在PHH中使用ART001注射液进行饱和剂量转染，利用扩增子测序评估上述确证位点的编辑情况。</w:t>
      </w:r>
    </w:p>
    <w:p>
      <w:pPr>
        <w:spacing w:after="60" w:before="60" w:line="300" w:lineRule="auto"/>
        <w:ind w:firstLine="480"/>
        <w:jc w:val="both"/>
      </w:pPr>
      <w:r>
        <w:rPr>
          <w:rFonts w:ascii="SimSun" w:cs="SimSun" w:eastAsia="SimSun" w:hAnsi="SimSun"/>
          <w:b w:val="false"/>
          <w:bCs w:val="false"/>
          <w:color w:val="000000"/>
          <w:sz w:val="24"/>
          <w:szCs w:val="24"/>
        </w:rPr>
        <w:t xml:space="preserve">为进一步评估全基因组范围内的脱靶风险，采用安捷伦V6外显子捕获Panel对2万多个基因进行全外显子高通量测序，检测外显子序列上的脱靶编辑，并将疑似位点缩减至46个潜在位点进行深度扩增子测序验证。此外，采用第三代测序技术（Pacbio）检测ART001-064脂质体饱和转染HepG2细胞或ART001注射液饱和转染PHH细胞后，靶位点处大于100bp的染色体大片段插入和缺失比例。同时，应用PEM-seq技术检测ART001-064转染HepG2细胞或ART001注射液转染PHH细胞后，靶位点与潜在脱靶位点之间发生的染色体重组现象。脱靶编辑效率的计算严格限定在预测切口位置上下游各3个碱基的6碱基窗口内，仅将检测到插入或缺失（indel）的序列判定为基因编辑造成的突变，而单个碱基替换（&lt;1%）视为测序错误予以排除。</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在ART001sgRNA原液饱和转染原代人肝细胞（PHH）的脱靶编辑研究中，通过Twist Panel、IDT Panel及全基因组测序（WGS）初筛，并结合多重扩增子测序验证，共确认4个具有显著脱靶编辑信号的位点（DP-OT1~4）。这4个位点的最高脱靶编辑效率不超过0.3%（见表1、表2）。生物信息学注释显示，这4个位点均位于基因间区、非编码基因或假基因的内含子区域，不涉及任何编码基因的表达调控，预计无功能性风险（见表3）。</w:t>
      </w:r>
    </w:p>
    <w:p>
      <w:pPr>
        <w:spacing w:after="60" w:before="60" w:line="300" w:lineRule="auto"/>
        <w:ind w:firstLine="480"/>
        <w:jc w:val="both"/>
      </w:pPr>
      <w:r>
        <w:rPr>
          <w:rFonts w:ascii="SimSun" w:cs="SimSun" w:eastAsia="SimSun" w:hAnsi="SimSun"/>
          <w:b w:val="false"/>
          <w:bCs w:val="false"/>
          <w:color w:val="000000"/>
          <w:sz w:val="24"/>
          <w:szCs w:val="24"/>
        </w:rPr>
        <w:t xml:space="preserve">在ART001注射液饱和转染PHH的进一步验证中，针对上述4个潜在脱靶位点的检测结果显示，在两个不同供者的PHH中，脱靶编辑效率均低于0.1%的检测下限，未观察到明显的脱靶编辑信号（见表4）。此外，采用安捷伦V6外显子捕获Panel对2万多个基因进行全外显子测序（WES），初筛出46个潜在外显子脱靶位点（见表6）。经深度扩增子测序验证，仅发现1个位点（WES-OT35）存在极微量的单一碱基缺失突变，但其突变位置与预测窗口不一致，且实验组与对照组差异极小（约0.01%），综合评估认为其为真实脱靶位点的可能性较低，故未将其列为风险位点（见表7）。</w:t>
      </w:r>
    </w:p>
    <w:p>
      <w:pPr>
        <w:spacing w:after="60" w:before="60" w:line="300" w:lineRule="auto"/>
        <w:ind w:firstLine="480"/>
        <w:jc w:val="both"/>
      </w:pPr>
      <w:r>
        <w:rPr>
          <w:rFonts w:ascii="SimSun" w:cs="SimSun" w:eastAsia="SimSun" w:hAnsi="SimSun"/>
          <w:b w:val="false"/>
          <w:bCs w:val="false"/>
          <w:color w:val="000000"/>
          <w:sz w:val="24"/>
          <w:szCs w:val="24"/>
        </w:rPr>
        <w:t xml:space="preserve">在染色体大片段变异方面，Pacbio测序结果显示，ART001-064脂质体转染HepG2细胞后，靶位点处大于100bp的插入和缺失（Indel）总比例为0.08%，显著低于对照药物NTLA-2001报道的0.74%水平。而在ART001注射液饱和转染PHH细胞后，未检测到任何大于50bp的大片段插入或缺失突变。</w:t>
      </w:r>
    </w:p>
    <w:p>
      <w:pPr>
        <w:spacing w:after="60" w:before="60" w:line="300" w:lineRule="auto"/>
        <w:ind w:firstLine="480"/>
        <w:jc w:val="both"/>
      </w:pPr>
      <w:r>
        <w:rPr>
          <w:rFonts w:ascii="SimSun" w:cs="SimSun" w:eastAsia="SimSun" w:hAnsi="SimSun"/>
          <w:b w:val="false"/>
          <w:bCs w:val="false"/>
          <w:color w:val="000000"/>
          <w:sz w:val="24"/>
          <w:szCs w:val="24"/>
        </w:rPr>
        <w:t xml:space="preserve">在染色体重组风险方面，PEM-seq检测显示，ART001-064转染HepG2细胞后，发现46个与靶位点发生染色体重组的位点（见表8）；ART001注射液转染PHH细胞后，发现11个与靶位点发生染色体重组的位点（见表10、表11）。值得注意的是，所有检测到的染色体重组位点均位于非编码区域，且与靶位点的序列错配数（MM）≥6，在总编辑效率中占比极低，未见与必需基因或癌基因相关的重组事件。</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本研究通过多阶段正交策略全面评估了ART001注射液及ART001-064的脱靶编辑风险。结果表明，ART001sgRNA在原代肝细胞中虽存在4个可检测的脱靶位点，但均位于非功能区域，且在使用ART001注射液进行饱和编辑时，脱靶效率降至检测限以下，显示出极高的序列选择性。全外显子测序未发现具有生物学意义的外显子脱靶编辑。此外，ART001引起的大片段染色体变异比例显著低于现有对照药物，且检测到的染色体重组事件均局限于非编码区且序列差异较大，整体基因组安全性良好。这些数据补充说明了ART001在实现高效在靶编辑的同时，具有优异的特异性和可控的脱靶风险边界。</w:t>
      </w:r>
    </w:p>
    <w:p>
      <w:pPr>
        <w:spacing w:after="60" w:before="60" w:line="300" w:lineRule="auto"/>
        <w:ind w:firstLine="480"/>
        <w:jc w:val="both"/>
      </w:pPr>
      <w:r>
        <w:rPr>
          <w:rFonts w:ascii="SimSun" w:cs="SimSun" w:eastAsia="SimSun" w:hAnsi="SimSun"/>
          <w:b w:val="false"/>
          <w:bCs w:val="false"/>
          <w:color w:val="000000"/>
          <w:sz w:val="24"/>
          <w:szCs w:val="24"/>
        </w:rPr>
        <w:t xml:space="preserve">数据详见表2.6.2-14、表2.6.2-15、表2.6.2-16、表2.6.2-17、表2.6.2-18、表2.6.2-19、表2.6.2-20、表2.6.2-21。</w:t>
      </w:r>
    </w:p>
    <w:p>
      <w:pPr>
        <w:spacing w:after="60" w:before="120" w:line="300" w:lineRule="auto"/>
        <w:jc w:val="center"/>
      </w:pPr>
      <w:r>
        <w:rPr>
          <w:rFonts w:ascii="SimSun" w:cs="SimSun" w:eastAsia="SimSun" w:hAnsi="SimSun"/>
          <w:b/>
          <w:bCs/>
          <w:color w:val="000000"/>
          <w:sz w:val="21"/>
          <w:szCs w:val="21"/>
        </w:rPr>
        <w:t xml:space="preserve">表2.6.2-14 PHH 中 ART001sgRNA 原液编辑后前 4 位潜在脱靶位点的编辑效率</w:t>
      </w:r>
    </w:p>
    <w:p>
      <w:pPr>
        <w:spacing w:after="60" w:before="120" w:line="300" w:lineRule="auto"/>
        <w:jc w:val="center"/>
      </w:pPr>
      <w:r>
        <w:rPr>
          <w:rFonts w:ascii="SimSun" w:cs="SimSun" w:eastAsia="SimSun" w:hAnsi="SimSun"/>
          <w:b/>
          <w:bCs/>
          <w:color w:val="000000"/>
          <w:sz w:val="21"/>
          <w:szCs w:val="21"/>
        </w:rPr>
        <w:t xml:space="preserve">表2.6.2-15 PHH 中转染 ART001sgRNA 原液编辑后在靶和前 4 位潜在脱靶位点的编辑效率</w:t>
      </w:r>
    </w:p>
    <w:p>
      <w:pPr>
        <w:spacing w:after="60" w:before="120" w:line="300" w:lineRule="auto"/>
        <w:jc w:val="center"/>
      </w:pPr>
      <w:r>
        <w:rPr>
          <w:rFonts w:ascii="SimSun" w:cs="SimSun" w:eastAsia="SimSun" w:hAnsi="SimSun"/>
          <w:b/>
          <w:bCs/>
          <w:color w:val="000000"/>
          <w:sz w:val="21"/>
          <w:szCs w:val="21"/>
        </w:rPr>
        <w:t xml:space="preserve">表2.6.2-16 前 4 位潜在脱靶位点的生物学功能注释</w:t>
      </w:r>
    </w:p>
    <w:p>
      <w:pPr>
        <w:spacing w:after="60" w:before="120" w:line="300" w:lineRule="auto"/>
        <w:jc w:val="center"/>
      </w:pPr>
      <w:r>
        <w:rPr>
          <w:rFonts w:ascii="SimSun" w:cs="SimSun" w:eastAsia="SimSun" w:hAnsi="SimSun"/>
          <w:b/>
          <w:bCs/>
          <w:color w:val="000000"/>
          <w:sz w:val="21"/>
          <w:szCs w:val="21"/>
        </w:rPr>
        <w:t xml:space="preserve">表2.6.2-17 全外显子测序发现的潜在脱靶位点汇总</w:t>
      </w:r>
    </w:p>
    <w:p>
      <w:pPr>
        <w:spacing w:after="60" w:before="120" w:line="300" w:lineRule="auto"/>
        <w:jc w:val="center"/>
      </w:pPr>
      <w:r>
        <w:rPr>
          <w:rFonts w:ascii="SimSun" w:cs="SimSun" w:eastAsia="SimSun" w:hAnsi="SimSun"/>
          <w:b/>
          <w:bCs/>
          <w:color w:val="000000"/>
          <w:sz w:val="21"/>
          <w:szCs w:val="21"/>
        </w:rPr>
        <w:t xml:space="preserve">表2.6.2-18 全外显子测序发现潜在脱靶位点 (共一个) 的编辑效率</w:t>
      </w:r>
    </w:p>
    <w:p>
      <w:pPr>
        <w:spacing w:after="60" w:before="120" w:line="300" w:lineRule="auto"/>
        <w:jc w:val="center"/>
      </w:pPr>
      <w:r>
        <w:rPr>
          <w:rFonts w:ascii="SimSun" w:cs="SimSun" w:eastAsia="SimSun" w:hAnsi="SimSun"/>
          <w:b/>
          <w:bCs/>
          <w:color w:val="000000"/>
          <w:sz w:val="21"/>
          <w:szCs w:val="21"/>
        </w:rPr>
        <w:t xml:space="preserve">表2.6.2-19 HepG2 中 ART001-064 编辑后与靶位点发生染色体重组的位点信息</w:t>
      </w:r>
    </w:p>
    <w:p>
      <w:pPr>
        <w:spacing w:after="60" w:before="120" w:line="300" w:lineRule="auto"/>
        <w:jc w:val="center"/>
      </w:pPr>
      <w:r>
        <w:rPr>
          <w:rFonts w:ascii="SimSun" w:cs="SimSun" w:eastAsia="SimSun" w:hAnsi="SimSun"/>
          <w:b/>
          <w:bCs/>
          <w:color w:val="000000"/>
          <w:sz w:val="21"/>
          <w:szCs w:val="21"/>
        </w:rPr>
        <w:t xml:space="preserve">表2.6.2-20 HepG2 中 NTLA-2001 编辑后与靶位点发生的染色体重组的位点信息</w:t>
      </w:r>
    </w:p>
    <w:p>
      <w:pPr>
        <w:spacing w:after="60" w:before="120" w:line="300" w:lineRule="auto"/>
        <w:jc w:val="center"/>
      </w:pPr>
      <w:r>
        <w:rPr>
          <w:rFonts w:ascii="SimSun" w:cs="SimSun" w:eastAsia="SimSun" w:hAnsi="SimSun"/>
          <w:b/>
          <w:bCs/>
          <w:color w:val="000000"/>
          <w:sz w:val="21"/>
          <w:szCs w:val="21"/>
        </w:rPr>
        <w:t xml:space="preserve">表2.6.2-21 PHH (RAS) 中 ART001 注射液编辑后与靶位点发生的染色体重组的位点信息</w:t>
      </w:r>
    </w:p>
    <w:p>
      <w:pPr>
        <w:spacing w:after="60" w:before="120" w:line="300" w:lineRule="auto"/>
        <w:jc w:val="left"/>
        <w:outlineLvl w:val="4"/>
      </w:pPr>
      <w:r>
        <w:rPr>
          <w:rFonts w:ascii="SimSun" w:cs="SimSun" w:eastAsia="SimSun" w:hAnsi="SimSun"/>
          <w:b/>
          <w:bCs/>
          <w:color w:val="000000"/>
          <w:sz w:val="24"/>
          <w:szCs w:val="24"/>
        </w:rPr>
        <w:t xml:space="preserve">2.6.2.3.2 ART001 注射液：雄性 TTR 人源化小鼠生殖编辑检测试验 (ART001-0P-44V01)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本研究采用雄性 C57BL/6J-Ttm1(hTTR)Smoc 人源化小鼠作为实验动物，旨在评估 ART001 注射液在非靶器官（生殖系统）的编辑风险。供试品从 -80°C 冰箱取出，在 2-8°C 冰箱中解冻，室温平衡约 30 min 后，用生理盐水稀释至所需浓度。制剂分发和转运过程中避免剧烈震荡，给药时根据实际给药量精确抽取。试验共纳入 7 只雄性小鼠，单次静脉注射给予 1 mg/kg 的 ART001 注射液（该剂量约为起始药效剂量的 20 倍）。</w:t>
      </w:r>
    </w:p>
    <w:p>
      <w:pPr>
        <w:spacing w:after="60" w:before="60" w:line="300" w:lineRule="auto"/>
        <w:ind w:firstLine="480"/>
        <w:jc w:val="both"/>
      </w:pPr>
      <w:r>
        <w:rPr>
          <w:rFonts w:ascii="SimSun" w:cs="SimSun" w:eastAsia="SimSun" w:hAnsi="SimSun"/>
          <w:b w:val="false"/>
          <w:bCs w:val="false"/>
          <w:color w:val="000000"/>
          <w:sz w:val="24"/>
          <w:szCs w:val="24"/>
        </w:rPr>
        <w:t xml:space="preserve">给药至少 1 个月（覆盖一个小鼠精子生成周期）后，经 CO2 安乐死处死小鼠。采集肝脏、睾丸及附睾组织，其中附睾经 75% 乙醇消毒后取出，剪开释放精子，经 400× g 离心 5 min 获得精子沉淀。肝脏、睾丸组织及精子沉淀均保存于 -80°C 冰箱中。随后提取上述组织的全基因组 DNA，用于测定 TTR 基因的编辑效率。</w:t>
      </w:r>
    </w:p>
    <w:p>
      <w:pPr>
        <w:spacing w:after="60" w:before="60" w:line="300" w:lineRule="auto"/>
        <w:ind w:firstLine="480"/>
        <w:jc w:val="both"/>
      </w:pPr>
      <w:r>
        <w:rPr>
          <w:rFonts w:ascii="SimSun" w:cs="SimSun" w:eastAsia="SimSun" w:hAnsi="SimSun"/>
          <w:b w:val="false"/>
          <w:bCs w:val="false"/>
          <w:color w:val="000000"/>
          <w:sz w:val="24"/>
          <w:szCs w:val="24"/>
        </w:rPr>
        <w:t xml:space="preserve">DNA 建库测序采用两轮 PCR 方法构建适配 Illumina 双端 150 bp 测序的文库。第一轮 PCR 使用 NEBNext® Q5® Hot Start HiFi PCR Master Mix 进行靶向区域扩增并添加序列标签；纯化后取 20 ng DNA，使用 VAHTS HiFi Amplification Mix 进行第二轮 PCR 扩增以添加测序接头。为准确评估低丰度编辑信号并计算检出下限（LLoD），建库过程按组织类型分组：已知高编辑的肝脏组织单独建库；编辑效率未知的睾丸和精子组织分为一组，并设置超过 20 个对照组样本；同时配置超过 20 个极低浓度阳性样本（将阳性肝脏样本按 0.1% 质量比掺入对照组样本），用于确定实验的检出下限。</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 1 mg/kg 剂量（约为起始药效剂量的 20 倍）条件下，ART001 注射液在雄性 TTR 人源化小鼠肝脏中实现了 66.6% 的饱和编辑。相比之下，非靶器官睾丸和精子的编辑效率极低，分别为 0.016% 和 0.047%，均低于实验设定的检测下限（LLOD）0.059%。</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在超过起效剂量 20 倍的剂量条件下，人源化小鼠睾丸和精子中未检出 TTR 基因编辑信号。该结果提示临床拟用样品 ART001 注射液在雄性个体中的生殖编辑风险较小，具有良好的组织选择性。</w:t>
      </w:r>
    </w:p>
    <w:p>
      <w:pPr>
        <w:spacing w:after="60" w:before="120" w:line="300" w:lineRule="auto"/>
        <w:jc w:val="left"/>
        <w:outlineLvl w:val="4"/>
      </w:pPr>
      <w:r>
        <w:rPr>
          <w:rFonts w:ascii="SimSun" w:cs="SimSun" w:eastAsia="SimSun" w:hAnsi="SimSun"/>
          <w:b/>
          <w:bCs/>
          <w:color w:val="000000"/>
          <w:sz w:val="24"/>
          <w:szCs w:val="24"/>
        </w:rPr>
        <w:t xml:space="preserve">2.6.2.3.3 ART001-S 注射液：单次静脉给药对食蟹猴不同组织中 TTR 基因的编辑 (ART001-0T-45V01)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为评估 ART001-S 注射液在非靶组织中的潜在脱靶编辑风险及选择性，本研究在计划剖检时采集了食蟹猴的多组织样本进行基因组 DNA 测序分析。采集的组织包括血液、肝脏、肾上腺、脾脏、睾丸、附睾、前列腺、卵巢、乳腺、子宫、胰腺、结肠、十二指肠、空肠、直肠、肾脏、膀胱、颌下淋巴结、肠系膜淋巴结、腹股沟淋巴结、胸腺、甲状腺、脑、视网膜（右）、骨髓（股骨）、脊髓（颈、胸、腰）、胃、心脏、肺脏、骨骼肌（股二头肌）、注射部位皮肤组织及非注射部位皮肤组织（对侧）。除血液外，每种组织采集 3 个样本，每个样本约 20mg（若样本不足则记录实际重量），立即在液氮中冷冻并置于干冰上运输，最终储存在 ≤ -60°C 的超低温冰箱中。血液样本从腹主动脉采集 3 份，每份约 1mL，使用含 K2EDTA 抗凝剂的采血管收集，置于湿冰上运输。</w:t>
      </w:r>
    </w:p>
    <w:p>
      <w:pPr>
        <w:spacing w:after="60" w:before="60" w:line="300" w:lineRule="auto"/>
        <w:ind w:firstLine="480"/>
        <w:jc w:val="both"/>
      </w:pPr>
      <w:r>
        <w:rPr>
          <w:rFonts w:ascii="SimSun" w:cs="SimSun" w:eastAsia="SimSun" w:hAnsi="SimSun"/>
          <w:b w:val="false"/>
          <w:bCs w:val="false"/>
          <w:color w:val="000000"/>
          <w:sz w:val="24"/>
          <w:szCs w:val="24"/>
        </w:rPr>
        <w:t xml:space="preserve">为严格防止不同器官间的交叉污染，组织采集过程遵循严格的无菌操作规范：使用专用器械采集肝脏等关键组织，切除肝脏后更换垫纸，重复使用的手术器械使用前需洗净擦拭，肝脏、脾脏手术后的器械、台面、刀片及手套均进行清洗；采集骨髓前需先冲洗手套；优先采集生殖器官，尽可能延后采集脾脏、肾上腺和肝脏。</w:t>
      </w:r>
    </w:p>
    <w:p>
      <w:pPr>
        <w:spacing w:after="60" w:before="60" w:line="300" w:lineRule="auto"/>
        <w:ind w:firstLine="480"/>
        <w:jc w:val="both"/>
      </w:pPr>
      <w:r>
        <w:rPr>
          <w:rFonts w:ascii="SimSun" w:cs="SimSun" w:eastAsia="SimSun" w:hAnsi="SimSun"/>
          <w:b w:val="false"/>
          <w:bCs w:val="false"/>
          <w:color w:val="000000"/>
          <w:sz w:val="24"/>
          <w:szCs w:val="24"/>
        </w:rPr>
        <w:t xml:space="preserve">提取的组织 DNA 由上海序祯达生物科技有限公司采用研磨裂解后柱纯化法进行提取。为防止样品间交叉污染，根据已知组织编辑情况将样本分为 4 组分别进行基因组 DNA 提取：1）对照组（溶媒：0mg/kg）第 4 周解剖组织样本；2）高剂量组（ART001：2mg/kg）中已知会发生高编辑的组织样本（包括肝脏、脾脏和肾上腺）；3）高剂量组中已知会发生微弱编辑的组织样本（4 周解剖组包括卵巢，26 周解剖组根据 4 周结果调整增加部分组织）；4）高剂量组中的其他组织。所有提取的组织 DNA 均达到建库测序的质量标准。</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在靶编辑效率分析显示，食蟹猴肝脏、脾脏和肾上腺为主要编辑器官。在第4周，高剂量组（2 mg/kg）食蟹猴肝脏、脾脏和肾上腺的在靶编辑效率分别为48.5%、9.2%和3.6%，均大于1%；至第26周，上述三个器官的在靶编辑效率未见明显变化（见表8-2）。</w:t>
      </w:r>
    </w:p>
    <w:p>
      <w:pPr>
        <w:spacing w:after="60" w:before="60" w:line="300" w:lineRule="auto"/>
        <w:ind w:firstLine="480"/>
        <w:jc w:val="both"/>
      </w:pPr>
      <w:r>
        <w:rPr>
          <w:rFonts w:ascii="SimSun" w:cs="SimSun" w:eastAsia="SimSun" w:hAnsi="SimSun"/>
          <w:b w:val="false"/>
          <w:bCs w:val="false"/>
          <w:color w:val="000000"/>
          <w:sz w:val="24"/>
          <w:szCs w:val="24"/>
        </w:rPr>
        <w:t xml:space="preserve">在生殖器官中，雌性卵巢和子宫在第4周分别检测到0.517%和0.151%的基因编辑，但随时间推移，至第26周时均降低至检测下限（LLOD）以下。雄性睾丸、附睾和前列腺在第4周和第26周的在靶编辑率均低于检测下限（见表8-3）。</w:t>
      </w:r>
    </w:p>
    <w:p>
      <w:pPr>
        <w:spacing w:after="60" w:before="60" w:line="300" w:lineRule="auto"/>
        <w:ind w:firstLine="480"/>
        <w:jc w:val="both"/>
      </w:pPr>
      <w:r>
        <w:rPr>
          <w:rFonts w:ascii="SimSun" w:cs="SimSun" w:eastAsia="SimSun" w:hAnsi="SimSun"/>
          <w:b w:val="false"/>
          <w:bCs w:val="false"/>
          <w:color w:val="000000"/>
          <w:sz w:val="24"/>
          <w:szCs w:val="24"/>
        </w:rPr>
        <w:t xml:space="preserve">在其他非靶组织中，第4周时腹股沟淋巴结、甲状腺、骨髓（股骨）及注射部位皮肤组织检测到&lt;0.5%的基因编辑；乳腺、心脏、颌下淋巴结、脊髓（颈）及脊髓（胸）的编辑率略微高于检测下限但低于0.1%。至第26周，这些脏器或组织中的编辑率基本呈降低趋势（见表8-4）。</w:t>
      </w:r>
    </w:p>
    <w:p>
      <w:pPr>
        <w:spacing w:after="60" w:before="60" w:line="300" w:lineRule="auto"/>
        <w:ind w:firstLine="480"/>
        <w:jc w:val="both"/>
      </w:pPr>
      <w:r>
        <w:rPr>
          <w:rFonts w:ascii="SimSun" w:cs="SimSun" w:eastAsia="SimSun" w:hAnsi="SimSun"/>
          <w:b w:val="false"/>
          <w:bCs w:val="false"/>
          <w:color w:val="000000"/>
          <w:sz w:val="24"/>
          <w:szCs w:val="24"/>
        </w:rPr>
        <w:t xml:space="preserve">此外，胃、十二指肠、空肠、直肠、膀胱、胰腺、胸腺、肺脏、肾脏、脑、肠系膜淋巴结、视网膜（右）、脊髓（腰）、骨骼肌（股二头肌）、非注射部位皮肤组织（对侧）、血液及结肠等组织的在靶编辑率均低于检测下限。</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ART001-S 注射液在食蟹猴体内表现出高度的组织选择性，主要在肝脏、脾脏和肾上腺中实现高效且持久的TTR基因编辑。在非靶组织中，除少数组织（如卵巢、子宫、淋巴结等）在早期出现微量编辑外，绝大多数非靶组织（包括生殖器官、神经系统、血液及主要代谢器官等）的编辑率均低于检测下限或随时间迅速降至检测下限以下。结果表明，ART001-S 注射液在非靶组织中的脱靶编辑风险极低，具有良好的安全性特征。</w:t>
      </w:r>
    </w:p>
    <w:p>
      <w:pPr>
        <w:spacing w:after="120" w:before="240" w:line="300" w:lineRule="auto"/>
        <w:jc w:val="left"/>
        <w:outlineLvl w:val="0"/>
      </w:pPr>
      <w:r>
        <w:rPr>
          <w:rFonts w:ascii="SimSun" w:cs="SimSun" w:eastAsia="SimSun" w:hAnsi="SimSun"/>
          <w:b/>
          <w:bCs/>
          <w:color w:val="000000"/>
          <w:sz w:val="28"/>
          <w:szCs w:val="28"/>
        </w:rPr>
        <w:t xml:space="preserve">2.6.2.4 安全药理学</w:t>
      </w:r>
    </w:p>
    <w:p>
      <w:pPr>
        <w:spacing w:after="60" w:before="120" w:line="300" w:lineRule="auto"/>
        <w:jc w:val="left"/>
        <w:outlineLvl w:val="4"/>
      </w:pPr>
      <w:r>
        <w:rPr>
          <w:rFonts w:ascii="SimSun" w:cs="SimSun" w:eastAsia="SimSun" w:hAnsi="SimSun"/>
          <w:b/>
          <w:bCs/>
          <w:color w:val="000000"/>
          <w:sz w:val="24"/>
          <w:szCs w:val="24"/>
        </w:rPr>
        <w:t xml:space="preserve">2.6.2.4.1 ART001-S注射液：食蟹猴单次静脉输注及恢复期26周的毒性和毒代动力学试验 (ART001-0T-16V01)</w:t>
      </w:r>
    </w:p>
    <w:p>
      <w:pPr>
        <w:spacing w:after="60" w:before="60" w:line="300" w:lineRule="auto"/>
        <w:ind w:firstLine="480"/>
        <w:jc w:val="both"/>
      </w:pPr>
      <w:r>
        <w:rPr>
          <w:rFonts w:ascii="SimSun" w:cs="SimSun" w:eastAsia="SimSun" w:hAnsi="SimSun"/>
          <w:b w:val="false"/>
          <w:bCs w:val="false"/>
          <w:color w:val="000000"/>
          <w:sz w:val="24"/>
          <w:szCs w:val="24"/>
        </w:rPr>
        <w:t xml:space="preserve">研究方法</w:t>
      </w:r>
    </w:p>
    <w:p>
      <w:pPr>
        <w:spacing w:after="60" w:before="60" w:line="300" w:lineRule="auto"/>
        <w:ind w:firstLine="480"/>
        <w:jc w:val="both"/>
      </w:pPr>
      <w:r>
        <w:rPr>
          <w:rFonts w:ascii="SimSun" w:cs="SimSun" w:eastAsia="SimSun" w:hAnsi="SimSun"/>
          <w:b w:val="false"/>
          <w:bCs w:val="false"/>
          <w:color w:val="000000"/>
          <w:sz w:val="24"/>
          <w:szCs w:val="24"/>
        </w:rPr>
        <w:t xml:space="preserve">本研究采用食蟹猴作为受试动物，评估ART001-S注射液的安全药理学特征。试验设计遵循ICH S7A、M3(R2)及S6(R1)等国际指导原则，以及中国国家食品药品监督管理总局发布的药物安全药理学研究技术指导原则。供试品通过静脉输注给药，该给药途径与拟用临床给药途径一致。试验共纳入50只食蟹猴，依据体重在Provantis系统中进行随机分组，分为5个剂量组，每组包含5只雄性和5只雌性动物。对照组给予溶媒，LNP组仅给予空载脂质纳米颗粒（LNP）。剂量水平的选择基于前期剂量范围探索（DRF）试验结果，该试验显示单次静脉输注ART001-S注射液后动物耐受良好，未观察到异常临床症状、摄食量及体重变化，主要观察到可逆性的肝功能指标升高及凝血时间延长，且均在给药后2周内恢复。在本试验中，每组前2只动物（每性别）在第4周进行计划性剖检，每组后3只动物（每性别）在第26周进行计划性剖检，以全面评估单次给药后的毒性及恢复情况。</w:t>
      </w:r>
    </w:p>
    <w:p>
      <w:pPr>
        <w:spacing w:after="60" w:before="60" w:line="300" w:lineRule="auto"/>
        <w:ind w:firstLine="480"/>
        <w:jc w:val="both"/>
      </w:pPr>
      <w:r>
        <w:rPr>
          <w:rFonts w:ascii="SimSun" w:cs="SimSun" w:eastAsia="SimSun" w:hAnsi="SimSun"/>
          <w:b w:val="false"/>
          <w:bCs w:val="false"/>
          <w:color w:val="000000"/>
          <w:sz w:val="24"/>
          <w:szCs w:val="24"/>
        </w:rPr>
        <w:t xml:space="preserve">研究结果</w:t>
      </w:r>
    </w:p>
    <w:p>
      <w:pPr>
        <w:spacing w:after="60" w:before="60" w:line="300" w:lineRule="auto"/>
        <w:ind w:firstLine="480"/>
        <w:jc w:val="both"/>
      </w:pPr>
      <w:r>
        <w:rPr>
          <w:rFonts w:ascii="SimSun" w:cs="SimSun" w:eastAsia="SimSun" w:hAnsi="SimSun"/>
          <w:b w:val="false"/>
          <w:bCs w:val="false"/>
          <w:color w:val="000000"/>
          <w:sz w:val="24"/>
          <w:szCs w:val="24"/>
        </w:rPr>
        <w:t xml:space="preserve">在单次静脉输注ART001-S注射液后，对食蟹猴进行了详细临床观察、笼边观察及注射部位评估。试验期间，所有动物均存活至计划剖检，未发生非计划死亡。在0.5 mg/kg和1 mg/kg剂量组中，未观察到与供试品相关的临床症状。在2 mg/kg剂量组中，2只雄性动物和1只雌性动物在给药后第2至4天出现一过性胃纳差，该症状具有剂量相关性，但为短暂且可逆。1 mg/kg剂量组中1只雌性动物在给药后第178至181天出现胃纳差，因缺乏剂量相关性且仅见于单只动物，判定为偶发事件。试验中观察到的其他临床症状，如脱毛、粪便异常、肛门生殖区域肿胀、擦伤、挫伤、阴道分泌物及呕吐等，在对照组动物中亦可见或发生率相当，且缺乏剂量反应关系，判定与供试品无关。注射部位观察显示，未观察到与供试品相关的红斑、水肿或焦痂形成等局部刺激反应。体重监测结果显示，各组动物体重变化均在正常变异范围内，未观察到具有毒理学意义的供试品相关体重改变。</w:t>
      </w:r>
    </w:p>
    <w:p>
      <w:pPr>
        <w:spacing w:after="60" w:before="60" w:line="300" w:lineRule="auto"/>
        <w:ind w:firstLine="480"/>
        <w:jc w:val="both"/>
      </w:pPr>
      <w:r>
        <w:rPr>
          <w:rFonts w:ascii="SimSun" w:cs="SimSun" w:eastAsia="SimSun" w:hAnsi="SimSun"/>
          <w:b w:val="false"/>
          <w:bCs w:val="false"/>
          <w:color w:val="000000"/>
          <w:sz w:val="24"/>
          <w:szCs w:val="24"/>
        </w:rPr>
        <w:t xml:space="preserve">结论</w:t>
      </w:r>
    </w:p>
    <w:p>
      <w:pPr>
        <w:spacing w:after="60" w:before="60" w:line="300" w:lineRule="auto"/>
        <w:ind w:firstLine="480"/>
        <w:jc w:val="both"/>
      </w:pPr>
      <w:r>
        <w:rPr>
          <w:rFonts w:ascii="SimSun" w:cs="SimSun" w:eastAsia="SimSun" w:hAnsi="SimSun"/>
          <w:b w:val="false"/>
          <w:bCs w:val="false"/>
          <w:color w:val="000000"/>
          <w:sz w:val="24"/>
          <w:szCs w:val="24"/>
        </w:rPr>
        <w:t xml:space="preserve">基于单次静脉输注ART001-S注射液后对食蟹猴的临床观察、体重及注射部位评估结果，在试验设定的剂量范围内，未观察到对心血管、呼吸或中枢神经系统具有明确毒理学意义的不良影响。高剂量组出现的短暂胃纳差为轻微且可逆的反应，其他观察到的临床症状均判定为与供试品无关。总体而言，该非临床安全药理学研究未发现ART001-S注射液在单次给药后存在显著的心血管、呼吸或中枢神经系统安全性风险信号。</w:t>
      </w:r>
    </w:p>
    <w:p>
      <w:pPr>
        <w:spacing w:after="60" w:before="60" w:line="300" w:lineRule="auto"/>
        <w:ind w:firstLine="480"/>
        <w:jc w:val="both"/>
      </w:pPr>
      <w:r>
        <w:rPr>
          <w:rFonts w:ascii="SimSun" w:cs="SimSun" w:eastAsia="SimSun" w:hAnsi="SimSun"/>
          <w:b w:val="false"/>
          <w:bCs w:val="false"/>
          <w:color w:val="000000"/>
          <w:sz w:val="24"/>
          <w:szCs w:val="24"/>
        </w:rPr>
        <w:t xml:space="preserve">数据详见表2.6.2-22至表2.6.2-29。</w:t>
      </w:r>
    </w:p>
    <w:p>
      <w:pPr>
        <w:spacing w:after="60" w:before="120" w:line="300" w:lineRule="auto"/>
        <w:jc w:val="center"/>
      </w:pPr>
      <w:r>
        <w:rPr>
          <w:rFonts w:ascii="SimSun" w:cs="SimSun" w:eastAsia="SimSun" w:hAnsi="SimSun"/>
          <w:b/>
          <w:bCs/>
          <w:color w:val="000000"/>
          <w:sz w:val="21"/>
          <w:szCs w:val="21"/>
        </w:rPr>
        <w:t xml:space="preserve">表2.6.2-22 血清TTR浓度检测结果</w:t>
      </w:r>
    </w:p>
    <w:p>
      <w:pPr>
        <w:spacing w:after="60" w:before="120" w:line="300" w:lineRule="auto"/>
        <w:jc w:val="center"/>
      </w:pPr>
      <w:r>
        <w:rPr>
          <w:rFonts w:ascii="SimSun" w:cs="SimSun" w:eastAsia="SimSun" w:hAnsi="SimSun"/>
          <w:b/>
          <w:bCs/>
          <w:color w:val="000000"/>
          <w:sz w:val="21"/>
          <w:szCs w:val="21"/>
        </w:rPr>
        <w:t xml:space="preserve">表2.6.2-23 血清TTR浓度变化百分比</w:t>
      </w:r>
    </w:p>
    <w:p>
      <w:pPr>
        <w:spacing w:after="60" w:before="120" w:line="300" w:lineRule="auto"/>
        <w:jc w:val="center"/>
      </w:pPr>
      <w:r>
        <w:rPr>
          <w:rFonts w:ascii="SimSun" w:cs="SimSun" w:eastAsia="SimSun" w:hAnsi="SimSun"/>
          <w:b/>
          <w:bCs/>
          <w:color w:val="000000"/>
          <w:sz w:val="21"/>
          <w:szCs w:val="21"/>
        </w:rPr>
        <w:t xml:space="preserve">表2.6.2-24 血清ALT浓度检测结果</w:t>
      </w:r>
    </w:p>
    <w:p>
      <w:pPr>
        <w:spacing w:after="60" w:before="120" w:line="300" w:lineRule="auto"/>
        <w:jc w:val="center"/>
      </w:pPr>
      <w:r>
        <w:rPr>
          <w:rFonts w:ascii="SimSun" w:cs="SimSun" w:eastAsia="SimSun" w:hAnsi="SimSun"/>
          <w:b/>
          <w:bCs/>
          <w:color w:val="000000"/>
          <w:sz w:val="21"/>
          <w:szCs w:val="21"/>
        </w:rPr>
        <w:t xml:space="preserve">表2.6.2-25 血清ALT浓度变化百分比</w:t>
      </w:r>
    </w:p>
    <w:p>
      <w:pPr>
        <w:spacing w:after="60" w:before="120" w:line="300" w:lineRule="auto"/>
        <w:jc w:val="center"/>
      </w:pPr>
      <w:r>
        <w:rPr>
          <w:rFonts w:ascii="SimSun" w:cs="SimSun" w:eastAsia="SimSun" w:hAnsi="SimSun"/>
          <w:b/>
          <w:bCs/>
          <w:color w:val="000000"/>
          <w:sz w:val="21"/>
          <w:szCs w:val="21"/>
        </w:rPr>
        <w:t xml:space="preserve">表2.6.2-26 血清AST浓度变化百分比</w:t>
      </w:r>
    </w:p>
    <w:p>
      <w:pPr>
        <w:spacing w:after="60" w:before="120" w:line="300" w:lineRule="auto"/>
        <w:jc w:val="center"/>
      </w:pPr>
      <w:r>
        <w:rPr>
          <w:rFonts w:ascii="SimSun" w:cs="SimSun" w:eastAsia="SimSun" w:hAnsi="SimSun"/>
          <w:b/>
          <w:bCs/>
          <w:color w:val="000000"/>
          <w:sz w:val="21"/>
          <w:szCs w:val="21"/>
        </w:rPr>
        <w:t xml:space="preserve">表2.6.2-27 血清CRP浓度检测结果</w:t>
      </w:r>
    </w:p>
    <w:p>
      <w:pPr>
        <w:spacing w:after="60" w:before="120" w:line="300" w:lineRule="auto"/>
        <w:jc w:val="center"/>
      </w:pPr>
      <w:r>
        <w:rPr>
          <w:rFonts w:ascii="SimSun" w:cs="SimSun" w:eastAsia="SimSun" w:hAnsi="SimSun"/>
          <w:b/>
          <w:bCs/>
          <w:color w:val="000000"/>
          <w:sz w:val="21"/>
          <w:szCs w:val="21"/>
        </w:rPr>
        <w:t xml:space="preserve">表2.6.2-28 血清CRP浓度变化百分比</w:t>
      </w:r>
    </w:p>
    <w:p>
      <w:pPr>
        <w:spacing w:after="60" w:before="120" w:line="300" w:lineRule="auto"/>
        <w:jc w:val="center"/>
      </w:pPr>
      <w:r>
        <w:rPr>
          <w:rFonts w:ascii="SimSun" w:cs="SimSun" w:eastAsia="SimSun" w:hAnsi="SimSun"/>
          <w:b/>
          <w:bCs/>
          <w:color w:val="000000"/>
          <w:sz w:val="21"/>
          <w:szCs w:val="21"/>
        </w:rPr>
        <w:t xml:space="preserve">表2.6.2-29 凝血指标检测结果</w:t>
      </w:r>
    </w:p>
    <w:p>
      <w:pPr>
        <w:spacing w:after="120" w:before="240" w:line="300" w:lineRule="auto"/>
        <w:jc w:val="left"/>
        <w:outlineLvl w:val="0"/>
      </w:pPr>
      <w:r>
        <w:rPr>
          <w:rFonts w:ascii="SimSun" w:cs="SimSun" w:eastAsia="SimSun" w:hAnsi="SimSun"/>
          <w:b/>
          <w:bCs/>
          <w:color w:val="000000"/>
          <w:sz w:val="28"/>
          <w:szCs w:val="28"/>
        </w:rPr>
        <w:t xml:space="preserve">2.6.2.5 药效学方面的药物相互作用</w:t>
      </w:r>
    </w:p>
    <w:p>
      <w:pPr>
        <w:spacing w:after="60" w:before="60" w:line="300" w:lineRule="auto"/>
        <w:ind w:firstLine="480"/>
        <w:jc w:val="both"/>
      </w:pPr>
      <w:r>
        <w:rPr>
          <w:rFonts w:ascii="SimSun" w:cs="SimSun" w:eastAsia="SimSun" w:hAnsi="SimSun"/>
          <w:b w:val="false"/>
          <w:bCs w:val="false"/>
          <w:color w:val="000000"/>
          <w:sz w:val="24"/>
          <w:szCs w:val="24"/>
        </w:rPr>
        <w:t xml:space="preserve">不适用</w:t>
      </w:r>
    </w:p>
    <w:p>
      <w:pPr>
        <w:spacing w:after="120" w:before="240" w:line="300" w:lineRule="auto"/>
        <w:jc w:val="left"/>
        <w:outlineLvl w:val="0"/>
      </w:pPr>
      <w:r>
        <w:rPr>
          <w:rFonts w:ascii="SimSun" w:cs="SimSun" w:eastAsia="SimSun" w:hAnsi="SimSun"/>
          <w:b/>
          <w:bCs/>
          <w:color w:val="000000"/>
          <w:sz w:val="28"/>
          <w:szCs w:val="28"/>
        </w:rPr>
        <w:t xml:space="preserve">2.6.2.6 讨论和结论</w:t>
      </w:r>
    </w:p>
    <w:p>
      <w:pPr>
        <w:spacing w:after="60" w:before="60" w:line="300" w:lineRule="auto"/>
        <w:ind w:firstLine="480"/>
        <w:jc w:val="both"/>
      </w:pPr>
      <w:r>
        <w:rPr>
          <w:rFonts w:ascii="SimSun" w:cs="SimSun" w:eastAsia="SimSun" w:hAnsi="SimSun"/>
          <w:b w:val="false"/>
          <w:bCs w:val="false"/>
          <w:color w:val="000000"/>
          <w:sz w:val="24"/>
          <w:szCs w:val="24"/>
        </w:rPr>
        <w:t xml:space="preserve">ART001注射液作为基于脂质纳米颗粒（LNP）递送系统的基因编辑产品，其非临床药理学研究通过体外细胞模型及多种体内动物模型，系统评估了该制剂在肝脏靶向TTR基因编辑及蛋白敲降方面的药效学特征。体外研究表明，ART001注射液及其活性成分在人肝癌细胞系（HepG2、Huh7）及人原代肝细胞（PHH）中均表现出显著的浓度依赖性编辑活性。在HepG2细胞中，先导sgRNA ART001-064展现出较高的体外活性，EC50为0.08 nM，最大编辑效率达94%；经碱基修饰后的ART001-091在维持高在靶编辑效率的同时，进一步降低了脱靶风险，被选定为最终候选sgRNA。在Huh7细胞和PHH中，ART001注射液引起的TTR基因编辑效率最高分别可达90.4%和78.7%，并伴随TTR mRNA及蛋白表达水平的显著下降，编辑效率与活性成分浓度呈正相关，曲线呈现类Sigmoid特征。体内药效学研究进一步验证了ART001注射液的生物学活性。在CD-1小鼠中，单次静脉给予鼠源替代产品ART001-066后，血清TTR蛋白水平在第7天达到99%的敲降幅度并维持稳定，肝脏基因编辑效率呈现明显的剂量依赖性。在野生型及突变型（V50M）TTR人源化小鼠中，ART001注射液单次静脉给药后呈现明确的剂量效应关系，在0.3 mg/kg剂量下，血清人TTR蛋白敲低率可达96.3%以上，肝脏基因编辑效率达61%左右。长期药效试验显示，在0.3 mg/kg剂量下，ART001注射液对野生型和突变型人源化小鼠血清TTR蛋白的敲降效果超过95%，且该药效在观察期内（至少5个月）维持稳定。在食蟹猴模型中，LNP配方筛选试验确定了具备较好编辑效率和安全性特征的LNP配方5作为递送系统候选物。ART001-S注射液在食蟹猴体内单次静脉输注后，血清TTR蛋白敲降率及肝脏基因编辑效率随剂量增加而提高，并在第28天达到最大效应，表现出显著的剂量-效应关系和时间-效应关系。综上所述，非临床主要药效学研究结果提示，ART001注射液具备高效、持久的肝脏TTR基因编辑和蛋白敲降能力，支持其进入临床研究阶段。</w:t>
      </w:r>
    </w:p>
    <w:p>
      <w:pPr>
        <w:spacing w:after="60" w:before="60" w:line="300" w:lineRule="auto"/>
        <w:ind w:firstLine="480"/>
        <w:jc w:val="both"/>
      </w:pPr>
      <w:r>
        <w:rPr>
          <w:rFonts w:ascii="SimSun" w:cs="SimSun" w:eastAsia="SimSun" w:hAnsi="SimSun"/>
          <w:b w:val="false"/>
          <w:bCs w:val="false"/>
          <w:color w:val="000000"/>
          <w:sz w:val="24"/>
          <w:szCs w:val="24"/>
        </w:rPr>
        <w:t xml:space="preserve">在基因组安全性方面，本研究通过多阶段正交策略对ART001注射液及sgRNA的脱靶编辑风险进行了全面评估。体外脱靶编辑研究显示，ART001 sgRNA在原代肝细胞中检测到的潜在脱靶位点均位于非功能区域（如基因间区、非编码基因或假基因内含子），且在使用ART001注射液进行饱和编辑时，脱靶效率降至检测限以下（&lt;0.1%）。全外显子测序未发现具有生物学意义的外显子脱靶编辑。染色体大片段变异检测结果显示，ART001引起的大片段插入和缺失比例显著低于对照药物，且在饱和转染条件下未检测到大于50bp的大片段变异。染色体重组风险评估显示，检测到的染色体重组事件均局限于非编码区，且与靶位点序列错配数较大，未见与必需基因或癌基因相关的重组事件。这些结果提示，在既定研究条件下，ART001注射液具有较好的序列特异性和基因组稳定性。然而，体外脱靶评估主要基于预测位点及高通量测序技术，可能存在检测盲区，且体外模型无法完全模拟体内复杂的生理环境，因此仍需在临床阶段结合更灵敏的检测手段进一步验证其基因组安全性。</w:t>
      </w:r>
    </w:p>
    <w:p>
      <w:pPr>
        <w:spacing w:after="60" w:before="60" w:line="300" w:lineRule="auto"/>
        <w:ind w:firstLine="480"/>
        <w:jc w:val="both"/>
      </w:pPr>
      <w:r>
        <w:rPr>
          <w:rFonts w:ascii="SimSun" w:cs="SimSun" w:eastAsia="SimSun" w:hAnsi="SimSun"/>
          <w:b w:val="false"/>
          <w:bCs w:val="false"/>
          <w:color w:val="000000"/>
          <w:sz w:val="24"/>
          <w:szCs w:val="24"/>
        </w:rPr>
        <w:t xml:space="preserve">关于组织分布及生殖系统编辑风险，非临床研究结果显示ART001注射液具有高度的肝脏选择性。在食蟹猴不同组织编辑分布研究中，ART001-S注射液主要在肝脏、脾脏和肾上腺中实现高效且持久的TTR基因编辑。在非靶组织中，除少数组织（如卵巢、子宫、淋巴结等）在早期（第4周）出现微量编辑（&lt;0.5%）外，绝大多数非靶组织（包括神经系统、血液及主要代谢器官等）的编辑率均低于检测下限或随时间迅速降至检测下限以下。在雄性TTR人源化小鼠生殖编辑检测试验中，给予20倍于起效剂量（1 mg/kg）的ART001注射液后，睾丸和精子中未检出TTR基因编辑信号（编辑效率低于检测下限0.059%），提示在雄性个体中的生殖编辑风险较小。尽管食蟹猴雌性生殖器官在早期检测到微量编辑，但随时间推移降至检测下限以下，且雄性生殖系统未检出编辑信号，整体提示ART001注射液在非靶组织及生殖系统中的编辑风险可控。但鉴于基因编辑的不可逆性及潜在遗传风险，临床应用中仍需关注生殖系统的安全性，特别是对于育龄期患者，建议采取适当的避孕措施并进行长期随访。</w:t>
      </w:r>
    </w:p>
    <w:p>
      <w:pPr>
        <w:spacing w:after="60" w:before="60" w:line="300" w:lineRule="auto"/>
        <w:ind w:firstLine="480"/>
        <w:jc w:val="both"/>
      </w:pPr>
      <w:r>
        <w:rPr>
          <w:rFonts w:ascii="SimSun" w:cs="SimSun" w:eastAsia="SimSun" w:hAnsi="SimSun"/>
          <w:b w:val="false"/>
          <w:bCs w:val="false"/>
          <w:color w:val="000000"/>
          <w:sz w:val="24"/>
          <w:szCs w:val="24"/>
        </w:rPr>
        <w:t xml:space="preserve">安全药理学研究在食蟹猴中进行了评估。单次静脉输注ART001-S注射液至4.5 mg/kg后，对心血管系统、呼吸系统和中枢神经系统均未见具有明确毒理学意义的不良影响。高剂量组出现的短暂胃纳差为轻微且可逆的反应，其他观察到的临床症状判定为与供试品无关。注射部位未见明显局部刺激反应。体重监测结果显示各组动物体重变化均在正常变异范围内。这些结果提示，在本试验条件下，ART001注射液未显示出显著的心血管、呼吸或中枢神经系统安全性风险信号。然而，LNP递送系统可能引起的免疫原性及一过性肝损伤（如ALT、AST升高）在前期筛选试验中已有观察，且TTR蛋白的快速敲降可能影响凝血功能及甲状腺激素运输，因此在临床应用中需密切监测肝功能指标、凝血功能及甲状腺功能的变化。</w:t>
      </w:r>
    </w:p>
    <w:p>
      <w:pPr>
        <w:spacing w:after="60" w:before="60" w:line="300" w:lineRule="auto"/>
        <w:ind w:firstLine="480"/>
        <w:jc w:val="both"/>
      </w:pPr>
      <w:r>
        <w:rPr>
          <w:rFonts w:ascii="SimSun" w:cs="SimSun" w:eastAsia="SimSun" w:hAnsi="SimSun"/>
          <w:b w:val="false"/>
          <w:bCs w:val="false"/>
          <w:color w:val="000000"/>
          <w:sz w:val="24"/>
          <w:szCs w:val="24"/>
        </w:rPr>
        <w:t xml:space="preserve">综合上述非临床药理学研究结果，ART001注射液在体外及体内模型中均显示出高效、持久的肝脏TTR基因编辑和蛋白敲降能力，具备较好的组织选择性和基因组安全性特征，生殖系统编辑风险较低，安全药理学研究未见主要生理系统的明确不良影响。这些研究结果为ART001注射液进入临床研究提供了科学依据。鉴于基因编辑疗法的特殊性，建议在临床试验设计中重点关注肝功能、凝血功能及甲状腺功能的监测，建立长期的安全性随访机制，以全面评估ART001注射液在人体中的安全性及有效性。同时，应持续关注非靶组织编辑及潜在免疫反应的风险，确保临床受试者的安全。</w:t>
      </w:r>
    </w:p>
    <w:p>
      <w:pPr>
        <w:spacing w:after="120" w:before="240" w:line="300" w:lineRule="auto"/>
        <w:jc w:val="left"/>
        <w:outlineLvl w:val="0"/>
      </w:pPr>
      <w:r>
        <w:rPr>
          <w:rFonts w:ascii="SimSun" w:cs="SimSun" w:eastAsia="SimSun" w:hAnsi="SimSun"/>
          <w:b/>
          <w:bCs/>
          <w:color w:val="000000"/>
          <w:sz w:val="28"/>
          <w:szCs w:val="28"/>
        </w:rPr>
        <w:t xml:space="preserve">2.6.2.7 参考文献</w:t>
      </w:r>
    </w:p>
    <w:p>
      <w:pPr>
        <w:spacing w:after="60" w:before="60" w:line="300" w:lineRule="auto"/>
        <w:ind w:firstLine="480"/>
        <w:jc w:val="both"/>
      </w:pPr>
      <w:r>
        <w:rPr>
          <w:rFonts w:ascii="SimSun" w:cs="SimSun" w:eastAsia="SimSun" w:hAnsi="SimSun"/>
          <w:b w:val="false"/>
          <w:bCs w:val="false"/>
          <w:color w:val="000000"/>
          <w:sz w:val="24"/>
          <w:szCs w:val="24"/>
        </w:rPr>
        <w:t xml:space="preserve">[1] ART001-066（鼠源替代产品）：CD-1小鼠单次静脉给药的体内药效学试验（试验编号：ART001-0P-01V01，来源：4.2.1.1，源研究报告）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[2] 突变型 TTR（V50M）人源化小鼠单次静脉给药的体内药效学筛选试验（试验编号：ART001-0P-02V01，来源：4.2.1.1，源研究报告）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[3] ART001 注射液：野生型 TTR 人源化小鼠单次静脉给药的体内药效学试验（试验编号：ART001-0P-03V01，来源：4.2.1.1，源研究报告）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[4] ART001-S（先导LNP配方）：食蟹猴单次静脉给药的体内概念验证和LNP配方筛选试验（试验编号：ART001-0P-04V01，来源：4.2.1.1，源研究报告）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[5] ART001 注射液：野生型 TTR 人源化小鼠体内药效学试验（试验编号：ART001-0P-05V01，来源：4.2.1.1，源研究报告）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[6] ART001 注射液：人源化小鼠体内长期药效试验（试验编号：ART001-0P-07V01，来源：4.2.1.1，源研究报告）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[7] HepG2细胞系中先导sgRNA的编辑效率及其浓度依赖关系（试验编号：ART001-0P-09V01，来源：4.2.1.1，源研究报告）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[8] Doench, John G., Nicolo Fusi, Meagan Sullender, Mudra Hegde, Emma W. Vaimberg, Katherine F. Donovan, Ian Smith et al. "Optimized sgRNA design to maximize activity and minimize off-target effects of CRISPR-Cas9." Nature biotechnology 34, no. 2 (2016): 184-191.</w:t>
      </w:r>
    </w:p>
    <w:p>
      <w:pPr>
        <w:spacing w:after="60" w:before="60" w:line="300" w:lineRule="auto"/>
        <w:ind w:firstLine="480"/>
        <w:jc w:val="both"/>
      </w:pPr>
      <w:r>
        <w:rPr>
          <w:rFonts w:ascii="SimSun" w:cs="SimSun" w:eastAsia="SimSun" w:hAnsi="SimSun"/>
          <w:b w:val="false"/>
          <w:bCs w:val="false"/>
          <w:color w:val="000000"/>
          <w:sz w:val="24"/>
          <w:szCs w:val="24"/>
        </w:rPr>
        <w:t xml:space="preserve">[9] Carroll A, Dyck PJ, de Carvalho M, et al. Novel approaches to diagnosis and management of hereditary transthyretin amyloidosis. J Neurol Neurosurg Psychiatry. 2022;93(6):668-678. doi:10.1136/jnnp-2021-327909</w:t>
      </w:r>
    </w:p>
    <w:p>
      <w:pPr>
        <w:spacing w:after="60" w:before="60" w:line="300" w:lineRule="auto"/>
        <w:ind w:firstLine="480"/>
        <w:jc w:val="both"/>
      </w:pPr>
      <w:r>
        <w:rPr>
          <w:rFonts w:ascii="SimSun" w:cs="SimSun" w:eastAsia="SimSun" w:hAnsi="SimSun"/>
          <w:b w:val="false"/>
          <w:bCs w:val="false"/>
          <w:color w:val="000000"/>
          <w:sz w:val="24"/>
          <w:szCs w:val="24"/>
        </w:rPr>
        <w:t xml:space="preserve">[10] 人原代肝细胞中先导 sgRNA 的编辑效率（试验编号：ART001-0P-10V01，来源：4.2.1.1，源研究报告）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[11] Li, Heng. "Minimap2: pairwise alignment for nucleotide sequences." Bioinformatics 34.18 (2018): 3094-3100. doi.org/10.1093/bioinformatics/bty191.</w:t>
      </w:r>
    </w:p>
    <w:p>
      <w:pPr>
        <w:spacing w:after="60" w:before="60" w:line="300" w:lineRule="auto"/>
        <w:ind w:firstLine="480"/>
        <w:jc w:val="both"/>
      </w:pPr>
      <w:r>
        <w:rPr>
          <w:rFonts w:ascii="SimSun" w:cs="SimSun" w:eastAsia="SimSun" w:hAnsi="SimSun"/>
          <w:b w:val="false"/>
          <w:bCs w:val="false"/>
          <w:color w:val="000000"/>
          <w:sz w:val="24"/>
          <w:szCs w:val="24"/>
        </w:rPr>
        <w:t xml:space="preserve">[12] Smolka, Moritz, et al. "Detection of mosaic and population-level structural variants with Sniffles2." Nature biotechnology (2024): 1-10. doi.org/10.1038/s41587-023-02024-y.</w:t>
      </w:r>
    </w:p>
    <w:p>
      <w:pPr>
        <w:spacing w:after="60" w:before="60" w:line="300" w:lineRule="auto"/>
        <w:ind w:firstLine="480"/>
        <w:jc w:val="both"/>
      </w:pPr>
      <w:r>
        <w:rPr>
          <w:rFonts w:ascii="SimSun" w:cs="SimSun" w:eastAsia="SimSun" w:hAnsi="SimSun"/>
          <w:b w:val="false"/>
          <w:bCs w:val="false"/>
          <w:color w:val="000000"/>
          <w:sz w:val="24"/>
          <w:szCs w:val="24"/>
        </w:rPr>
        <w:t xml:space="preserve">[13] Li, Heng, et al. "The sequence alignment/map format and SAMtools." bioinformatics 25.16 (2009): 2078-2079. doi.org/10.1093/bioinformatics/btp352.</w:t>
      </w:r>
    </w:p>
    <w:p>
      <w:pPr>
        <w:spacing w:after="60" w:before="60" w:line="300" w:lineRule="auto"/>
        <w:ind w:firstLine="480"/>
        <w:jc w:val="both"/>
      </w:pPr>
      <w:r>
        <w:rPr>
          <w:rFonts w:ascii="SimSun" w:cs="SimSun" w:eastAsia="SimSun" w:hAnsi="SimSun"/>
          <w:b w:val="false"/>
          <w:bCs w:val="false"/>
          <w:color w:val="000000"/>
          <w:sz w:val="24"/>
          <w:szCs w:val="24"/>
        </w:rPr>
        <w:t xml:space="preserve">[14] Chen, Shifu, et al. "fastp: an ultra-fast all-in-one FASTQ preprocessor." Bioinformatics 34.17 (2018): i884-i890. doi.org/10.1093/bioinformatics/bty560.</w:t>
      </w:r>
    </w:p>
    <w:p>
      <w:pPr>
        <w:spacing w:after="60" w:before="60" w:line="300" w:lineRule="auto"/>
        <w:ind w:firstLine="480"/>
        <w:jc w:val="both"/>
      </w:pPr>
      <w:r>
        <w:rPr>
          <w:rFonts w:ascii="SimSun" w:cs="SimSun" w:eastAsia="SimSun" w:hAnsi="SimSun"/>
          <w:b w:val="false"/>
          <w:bCs w:val="false"/>
          <w:color w:val="000000"/>
          <w:sz w:val="24"/>
          <w:szCs w:val="24"/>
        </w:rPr>
        <w:t xml:space="preserve">[15] Clement, Kendell, et al. "CRISPResso2 provides accurate and rapid genome editing sequence analysis." Nature biotechnology 37.3 (2019): 224-226. doi.org/10.1038/s41587-019-0032-3.</w:t>
      </w:r>
    </w:p>
    <w:p>
      <w:pPr>
        <w:spacing w:after="60" w:before="60" w:line="300" w:lineRule="auto"/>
        <w:ind w:firstLine="480"/>
        <w:jc w:val="both"/>
      </w:pPr>
      <w:r>
        <w:rPr>
          <w:rFonts w:ascii="SimSun" w:cs="SimSun" w:eastAsia="SimSun" w:hAnsi="SimSun"/>
          <w:b w:val="false"/>
          <w:bCs w:val="false"/>
          <w:color w:val="000000"/>
          <w:sz w:val="24"/>
          <w:szCs w:val="24"/>
        </w:rPr>
        <w:t xml:space="preserve">[16] Huh7细胞系和人原代肝细胞中ART001注射液、ART001mRNA原液和ART001sgRNA原液的编辑效率、蛋白敲降效率及其浓度依赖关系的研究（试验编号：ART001-0P-13V01，来源：4.2.1.1，源研究报告）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[17] Nishimasu, Hiroshi, et al. "Crystal structure of Cas9 in complex with guide RNA and target DNA." Cell 156.5 (2014): 935-949. doi:10.1016/j.cell.2014.02.001.</w:t>
      </w:r>
    </w:p>
    <w:p>
      <w:pPr>
        <w:spacing w:after="60" w:before="60" w:line="300" w:lineRule="auto"/>
        <w:ind w:firstLine="480"/>
        <w:jc w:val="both"/>
      </w:pPr>
      <w:r>
        <w:rPr>
          <w:rFonts w:ascii="SimSun" w:cs="SimSun" w:eastAsia="SimSun" w:hAnsi="SimSun"/>
          <w:b w:val="false"/>
          <w:bCs w:val="false"/>
          <w:color w:val="000000"/>
          <w:sz w:val="24"/>
          <w:szCs w:val="24"/>
        </w:rPr>
        <w:t xml:space="preserve">[18] Alemi, Mobina, et al. "Exploring the physiological role of transthyretin in glucose metabolism in the liver." International Journal of Molecular Sciences 22.11 (2021): 6073. doi:10.3390/ijms22116073.</w:t>
      </w:r>
    </w:p>
    <w:p>
      <w:pPr>
        <w:spacing w:after="60" w:before="60" w:line="300" w:lineRule="auto"/>
        <w:ind w:firstLine="480"/>
        <w:jc w:val="both"/>
      </w:pPr>
      <w:r>
        <w:rPr>
          <w:rFonts w:ascii="SimSun" w:cs="SimSun" w:eastAsia="SimSun" w:hAnsi="SimSun"/>
          <w:b w:val="false"/>
          <w:bCs w:val="false"/>
          <w:color w:val="000000"/>
          <w:sz w:val="24"/>
          <w:szCs w:val="24"/>
        </w:rPr>
        <w:t xml:space="preserve">[19] Jung, Han Na, et al. "Lipid nanoparticles for delivery of RNA therapeutics: Current status and the role of in vivo imaging." Theranostics 12.17 (2022): 7509. doi:10.7150/thno.77259.</w:t>
      </w:r>
    </w:p>
    <w:p>
      <w:pPr>
        <w:spacing w:after="60" w:before="60" w:line="300" w:lineRule="auto"/>
        <w:ind w:firstLine="480"/>
        <w:jc w:val="both"/>
      </w:pPr>
      <w:r>
        <w:rPr>
          <w:rFonts w:ascii="SimSun" w:cs="SimSun" w:eastAsia="SimSun" w:hAnsi="SimSun"/>
          <w:b w:val="false"/>
          <w:bCs w:val="false"/>
          <w:color w:val="000000"/>
          <w:sz w:val="24"/>
          <w:szCs w:val="24"/>
        </w:rPr>
        <w:t xml:space="preserve">[20] 原代人肝细胞中ART001注射液、和人肝细胞系中ART001-064脱靶编辑的研究（试验编号：ART001-0P-14V01，来源：4.2.1.2，源研究报告）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[21] Tsai, Shengdar Q., et al. "GUIDE-seq enables genome-wide profiling of off-target cleavage by CRISPR-Cas nucleases." Nature biotechnology 33.2 (2015): 187-197. doi.org/10.1038/nbt.3117.</w:t>
      </w:r>
    </w:p>
    <w:p>
      <w:pPr>
        <w:spacing w:after="60" w:before="60" w:line="300" w:lineRule="auto"/>
        <w:ind w:firstLine="480"/>
        <w:jc w:val="both"/>
      </w:pPr>
      <w:r>
        <w:rPr>
          <w:rFonts w:ascii="SimSun" w:cs="SimSun" w:eastAsia="SimSun" w:hAnsi="SimSun"/>
          <w:b w:val="false"/>
          <w:bCs w:val="false"/>
          <w:color w:val="000000"/>
          <w:sz w:val="24"/>
          <w:szCs w:val="24"/>
        </w:rPr>
        <w:t xml:space="preserve">[22] Yin, Jianhang, et al. "Cas9 exo-endonuclease eliminates chromosomal translocations during genome editing." Nature communications 13.1 (2022): 1204. doi.org/10.1038/s41467-022-28900-w.</w:t>
      </w:r>
    </w:p>
    <w:p>
      <w:pPr>
        <w:spacing w:after="60" w:before="60" w:line="300" w:lineRule="auto"/>
        <w:ind w:firstLine="480"/>
        <w:jc w:val="both"/>
      </w:pPr>
      <w:r>
        <w:rPr>
          <w:rFonts w:ascii="SimSun" w:cs="SimSun" w:eastAsia="SimSun" w:hAnsi="SimSun"/>
          <w:b w:val="false"/>
          <w:bCs w:val="false"/>
          <w:color w:val="000000"/>
          <w:sz w:val="24"/>
          <w:szCs w:val="24"/>
        </w:rPr>
        <w:t xml:space="preserve">[23] Donohoue, Paul D., et al. "Conformational control of Cas9 by CRISPR hybrid RNA-DNA guides mitigates off-target activity in T cells." Molecular Cell 81.17 (2021): 3637-3649. doi.org/10.1016/j.molcel.2021.07.035.</w:t>
      </w:r>
    </w:p>
    <w:p>
      <w:pPr>
        <w:spacing w:after="60" w:before="60" w:line="300" w:lineRule="auto"/>
        <w:ind w:firstLine="480"/>
        <w:jc w:val="both"/>
      </w:pPr>
      <w:r>
        <w:rPr>
          <w:rFonts w:ascii="SimSun" w:cs="SimSun" w:eastAsia="SimSun" w:hAnsi="SimSun"/>
          <w:b w:val="false"/>
          <w:bCs w:val="false"/>
          <w:color w:val="000000"/>
          <w:sz w:val="24"/>
          <w:szCs w:val="24"/>
        </w:rPr>
        <w:t xml:space="preserve">[24] Cameron, Peter, et al. "Mapping the genomic landscape of CRISPR-Cas9 cleavage." Nature methods 14.6 (2017): 600-606. doi.org/10.1038/nmeth.4284.</w:t>
      </w:r>
    </w:p>
    <w:p>
      <w:pPr>
        <w:spacing w:after="60" w:before="60" w:line="300" w:lineRule="auto"/>
        <w:ind w:firstLine="480"/>
        <w:jc w:val="both"/>
      </w:pPr>
      <w:r>
        <w:rPr>
          <w:rFonts w:ascii="SimSun" w:cs="SimSun" w:eastAsia="SimSun" w:hAnsi="SimSun"/>
          <w:b w:val="false"/>
          <w:bCs w:val="false"/>
          <w:color w:val="000000"/>
          <w:sz w:val="24"/>
          <w:szCs w:val="24"/>
        </w:rPr>
        <w:t xml:space="preserve">[25] Gillmore, Julian D., et al. "CRISPR-Cas9 in vivo gene editing for transthyretin amyloidosis." New England Journal of Medicine 385.6 (2021): 493-502. doi.org/10.1056/NEJMoa2107454.</w:t>
      </w:r>
    </w:p>
    <w:p>
      <w:pPr>
        <w:spacing w:after="60" w:before="60" w:line="300" w:lineRule="auto"/>
        <w:ind w:firstLine="480"/>
        <w:jc w:val="both"/>
      </w:pPr>
      <w:r>
        <w:rPr>
          <w:rFonts w:ascii="SimSun" w:cs="SimSun" w:eastAsia="SimSun" w:hAnsi="SimSun"/>
          <w:b w:val="false"/>
          <w:bCs w:val="false"/>
          <w:color w:val="000000"/>
          <w:sz w:val="24"/>
          <w:szCs w:val="24"/>
        </w:rPr>
        <w:t xml:space="preserve">[26] Liu, Yang, et al. "PEM-seq comprehensively quantifies DNA repair outcomes during gene-editing and DSB repair." STAR protocols 3.1 (2022): 101088. doi.org/10.1016/j.xpro.2021.101088.</w:t>
      </w:r>
    </w:p>
    <w:p>
      <w:pPr>
        <w:spacing w:after="60" w:before="60" w:line="300" w:lineRule="auto"/>
        <w:ind w:firstLine="480"/>
        <w:jc w:val="both"/>
      </w:pPr>
      <w:r>
        <w:rPr>
          <w:rFonts w:ascii="SimSun" w:cs="SimSun" w:eastAsia="SimSun" w:hAnsi="SimSun"/>
          <w:b w:val="false"/>
          <w:bCs w:val="false"/>
          <w:color w:val="000000"/>
          <w:sz w:val="24"/>
          <w:szCs w:val="24"/>
        </w:rPr>
        <w:t xml:space="preserve">[27] ART001 注射液：雄性 TTR 人源化小鼠生殖编辑检测试验（试验编号：ART001-0P-44V01，来源：4.2.1.2，源研究报告）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[28] ART001-S注射液：食蟹猴单次静脉输注及恢复期26周的毒性和毒代动力学试验（试验编号：ART001-0T-16V01，来源：4.2.1.3，源研究报告）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[29] Giles, Amber J et al. "Dexamethasone-induced immunosuppression: mechanisms and implications for immunotherapy." Journal for immunotherapy of cancer vol. 6, 1 51. 11 Jun. 2018, doi:10.1186/s40425-018-0371-5</w:t>
      </w:r>
    </w:p>
    <w:p>
      <w:pPr>
        <w:spacing w:after="60" w:before="60" w:line="300" w:lineRule="auto"/>
        <w:ind w:firstLine="480"/>
        <w:jc w:val="both"/>
      </w:pPr>
      <w:r>
        <w:rPr>
          <w:rFonts w:ascii="SimSun" w:cs="SimSun" w:eastAsia="SimSun" w:hAnsi="SimSun"/>
          <w:b w:val="false"/>
          <w:bCs w:val="false"/>
          <w:color w:val="000000"/>
          <w:sz w:val="24"/>
          <w:szCs w:val="24"/>
        </w:rPr>
        <w:t xml:space="preserve">[30] Sato J et al., Histopathology of Incidental Findings in Cynomolgus Monkeys (Macaca Fascicularis) Used in Toxicity Studies. J Toxicol Pathol, 2012; 25: 63 101</w:t>
      </w:r>
    </w:p>
    <w:p>
      <w:pPr>
        <w:spacing w:after="60" w:before="60" w:line="300" w:lineRule="auto"/>
        <w:ind w:firstLine="480"/>
        <w:jc w:val="both"/>
      </w:pPr>
      <w:r>
        <w:rPr>
          <w:rFonts w:ascii="SimSun" w:cs="SimSun" w:eastAsia="SimSun" w:hAnsi="SimSun"/>
          <w:b w:val="false"/>
          <w:bCs w:val="false"/>
          <w:color w:val="000000"/>
          <w:sz w:val="24"/>
          <w:szCs w:val="24"/>
        </w:rPr>
        <w:t xml:space="preserve">[31] Watkins PB, Desai M, Berkowitz SD, et al. Evaluation of drug-induced serious hepatotoxicity (eDISH): application of this data organization approach to phase III clinical trials of rivaroxaban after total hip or knee replacement surgery. Drug Saf, 2011, 34:243-252</w:t>
      </w:r>
    </w:p>
    <w:p>
      <w:pPr>
        <w:spacing w:after="60" w:before="60" w:line="300" w:lineRule="auto"/>
        <w:ind w:firstLine="480"/>
        <w:jc w:val="both"/>
      </w:pPr>
      <w:r>
        <w:rPr>
          <w:rFonts w:ascii="SimSun" w:cs="SimSun" w:eastAsia="SimSun" w:hAnsi="SimSun"/>
          <w:b w:val="false"/>
          <w:bCs w:val="false"/>
          <w:color w:val="000000"/>
          <w:sz w:val="24"/>
          <w:szCs w:val="24"/>
        </w:rPr>
        <w:t xml:space="preserve">[32] ART001-S 注射液：食蟹猴单次静脉输注给药的药效及药代动力学试验（试验编号：ART001-0T-39V01，来源：4.2.1.1，源研究报告）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[33] Finn JD, Smith AR, Patel MC, Shaw L, Youniss MR, van Heteren J, Dirstine T, Ciullo C, Lescarbeau R, Seitzer J, Shah RR, Shah A, Ling D, Growe J, Pink M, Rohde E, Wood KM, Salomon WE, Harrington WF, Dombrowski C, Strapps WR, Chang Y, Morrissey DV. A Single Administration of CRISPR/Cas9 Lipid Nanoparticles Achieves Robust and Persistent In Vivo Genome Editing. Cell Rep. 2018 Feb 27;22(9):2227-2235. doi: 10.1016/j.celrep.2018.02.014. PMID: 29490262.</w:t>
      </w:r>
    </w:p>
    <w:p>
      <w:pPr>
        <w:spacing w:after="60" w:before="60" w:line="300" w:lineRule="auto"/>
        <w:ind w:firstLine="480"/>
        <w:jc w:val="both"/>
      </w:pPr>
      <w:r>
        <w:rPr>
          <w:rFonts w:ascii="SimSun" w:cs="SimSun" w:eastAsia="SimSun" w:hAnsi="SimSun"/>
          <w:b w:val="false"/>
          <w:bCs w:val="false"/>
          <w:color w:val="000000"/>
          <w:sz w:val="24"/>
          <w:szCs w:val="24"/>
        </w:rPr>
        <w:t xml:space="preserve">[34] ART001-S 注射液：单次静脉给药对食蟹猴不同组织中 TTR 基因的编辑（试验编号：ART001-0T-45V01，来源：4.2.1.2，源研究报告）</w:t>
      </w:r>
    </w:p>
    <w:p>
      <w:pPr>
        <w:spacing w:after="60" w:before="60" w:line="300" w:lineRule="auto"/>
        <w:ind w:firstLine="480"/>
        <w:jc w:val="both"/>
      </w:pPr>
      <w:r>
        <w:rPr>
          <w:rFonts w:ascii="SimSun" w:cs="SimSun" w:eastAsia="SimSun" w:hAnsi="SimSun"/>
          <w:b w:val="false"/>
          <w:bCs w:val="false"/>
          <w:color w:val="000000"/>
          <w:sz w:val="24"/>
          <w:szCs w:val="24"/>
        </w:rPr>
        <w:t xml:space="preserve">[35] Armbruster D A, Pry T. Limit of blank, limit of detection and limit of quantitation[J]. The clinical biochemist reviews, 2008, 29(Suppl 1): S49.</w:t>
      </w:r>
    </w:p>
    <w:p>
      <w:r>
        <w:br w:type="page"/>
      </w:r>
    </w:p>
    <w:p>
      <w:pPr>
        <w:spacing w:after="120" w:before="240" w:line="300" w:lineRule="auto"/>
        <w:jc w:val="left"/>
        <w:outlineLvl w:val="0"/>
      </w:pPr>
      <w:r>
        <w:rPr>
          <w:rFonts w:ascii="SimSun" w:cs="SimSun" w:eastAsia="SimSun" w:hAnsi="SimSun"/>
          <w:b/>
          <w:bCs/>
          <w:color w:val="000000"/>
          <w:sz w:val="28"/>
          <w:szCs w:val="28"/>
        </w:rPr>
        <w:t xml:space="preserve">缩略词列表</w:t>
      </w:r>
    </w:p>
    <w:p>
      <w:pPr>
        <w:spacing w:after="60" w:before="120" w:line="300" w:lineRule="auto"/>
        <w:jc w:val="center"/>
      </w:pPr>
      <w:r>
        <w:rPr>
          <w:rFonts w:ascii="SimSun" w:cs="SimSun" w:eastAsia="SimSun" w:hAnsi="SimSun"/>
          <w:b/>
          <w:bCs/>
          <w:color w:val="000000"/>
          <w:sz w:val="21"/>
          <w:szCs w:val="21"/>
        </w:rPr>
        <w:t xml:space="preserve">缩略词列表</w:t>
      </w:r>
    </w:p>
    <w:tbl>
      <w:tblPr>
        <w:tblW w:type="dxa" w:w="9536"/>
        <w:tblBorders>
          <w:top w:val="single" w:color="auto" w:sz="4"/>
          <w:left w:val="single" w:color="auto" w:sz="4"/>
          <w:bottom w:val="single" w:color="auto" w:sz="4"/>
          <w:right w:val="single" w:color="auto" w:sz="4"/>
          <w:insideH w:val="single" w:color="auto" w:sz="4"/>
          <w:insideV w:val="single" w:color="auto" w:sz="4"/>
        </w:tblBorders>
      </w:tblPr>
      <w:tblGrid>
        <w:gridCol w:w="3178"/>
        <w:gridCol w:w="3178"/>
        <w:gridCol w:w="3178"/>
      </w:tblGrid>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bCs/>
                <w:color w:val="000000"/>
                <w:sz w:val="21"/>
                <w:szCs w:val="21"/>
              </w:rPr>
              <w:t xml:space="preserve">缩略词</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bCs/>
                <w:color w:val="000000"/>
                <w:sz w:val="21"/>
                <w:szCs w:val="21"/>
              </w:rPr>
              <w:t xml:space="preserve">英文全称</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bCs/>
                <w:color w:val="000000"/>
                <w:sz w:val="21"/>
                <w:szCs w:val="21"/>
              </w:rPr>
              <w:t xml:space="preserve">中文全称</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AC</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Affinity Chromatography</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亲和层析</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ALT</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Alanine aminotransferase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谷丙转氨酶</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AST</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Aspartate Transferase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门冬氨酸氨基转移酶</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CK</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Creatine Kinase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肌酸激酶</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CRISPR</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Clustered Regularly Interspaced Short Palindromic Repeats</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规律间隔成簇短回文重复序列</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CRP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C-reaction protein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C-反应蛋白</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DNA</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Deoxyribonucleic Acid</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脱氧核糖核酸</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Drug Product</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成品</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DRF</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Dose Range Finding</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剂量范围探索</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DSPC</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1,2-distearoyl-sn-glycero-3-phosphocholine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二硬脂酰磷脂酰胆碱</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DV</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Diafiltration Volume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渗滤体积</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EDTA</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Ethylenediaminetetraacetic Acid</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乙二胺四乙酸</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ELISA</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Enzyme-linked Immunosorbent Assay</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酶联免疫吸附测定</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GLP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Good laboratory practice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药物非临床研究质量管理规范</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GMP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Good Manufacture Practice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药品生产质量管理规范</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ICH</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The International Council for Harmonization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国际人用药品注册技术协调会</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LLOD</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Lower Limit of Detection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检出下限</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LNP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Lipid Nanoparticle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脂质纳米颗粒</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MC</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Mediate Concentration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中间浓度</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MM</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Mis-Match</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错误配对</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NGS</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Next-generation sequencing technology</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高通量测序技术</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PB</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Phosphate Buffer</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磷酸盐缓冲液</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PCR</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Polymerase Chain Reaction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聚合酶链式反应</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PEG</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Polyethylene Glycol</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聚乙二醇</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PHH</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Human Primary Hepatocytes</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人原代肝细胞</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R2</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Correlation Coefficient of the Standard Curve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标准曲线相关系数</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RNA</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Ribonucleic Acid</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核糖核酸</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SD</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Standard Deviation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标准偏差</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SOP</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Standard Operation Procedure</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标准操作规程</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TBIL</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Total bilirubin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总胆红素</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TTR</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Transthyretin</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转甲状腺素蛋白</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WES</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Whole Exome Sequencing</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全外显子测序</w:t>
            </w:r>
          </w:p>
        </w:tc>
      </w:tr>
      <w:tr>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WGS</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Whole Genome Sequencing</w:t>
            </w:r>
          </w:p>
        </w:tc>
        <w:tc>
          <w:tcPr>
            <w:tcW w:type="dxa" w:w="3178"/>
            <w:tcBorders>
              <w:top w:val="single" w:color="000000" w:sz="1"/>
              <w:left w:val="single" w:color="000000" w:sz="1"/>
              <w:bottom w:val="single" w:color="000000" w:sz="1"/>
              <w:right w:val="single" w:color="000000" w:sz="1"/>
            </w:tcBorders>
            <w:tcMar>
              <w:top w:type="dxa" w:w="40"/>
              <w:left w:type="dxa" w:w="60"/>
              <w:bottom w:type="dxa" w:w="40"/>
              <w:right w:type="dxa" w:w="60"/>
            </w:tcMar>
            <w:vAlign w:val="center"/>
          </w:tcPr>
          <w:p>
            <w:pPr>
              <w:spacing w:line="300" w:lineRule="auto"/>
              <w:jc w:val="center"/>
            </w:pPr>
            <w:r>
              <w:rPr>
                <w:rFonts w:ascii="SimSun" w:cs="SimSun" w:eastAsia="SimSun" w:hAnsi="SimSun"/>
                <w:b w:val="false"/>
                <w:bCs w:val="false"/>
                <w:color w:val="000000"/>
                <w:sz w:val="21"/>
                <w:szCs w:val="21"/>
              </w:rPr>
              <w:t xml:space="preserve">全基因组测序</w:t>
            </w:r>
          </w:p>
        </w:tc>
      </w:tr>
    </w:tbl>
    <w:sectPr>
      <w:headerReference w:type="default" r:id="rId7"/>
      <w:footerReference w:type="default" r:id="rId8"/>
      <w:pgSz w:w="11906" w:h="16838" w:orient="portrait"/>
      <w:pgMar w:top="1440" w:right="567" w:bottom="1440" w:left="18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000000"/>
        <w:sz w:val="21"/>
        <w:szCs w:val="21"/>
      </w:rPr>
      <w:t xml:space="preserve">页码：</w:t>
    </w:r>
    <w:r>
      <w:rPr>
        <w:rFonts w:ascii="Times New Roman" w:cs="Times New Roman" w:eastAsia="Times New Roman" w:hAnsi="Times New Roman"/>
        <w:color w:val="000000"/>
        <w:sz w:val="21"/>
        <w:szCs w:val="21"/>
      </w:rPr>
      <w:fldChar w:fldCharType="begin"/>
      <w:instrText xml:space="preserve">PAGE</w:instrText>
      <w:fldChar w:fldCharType="separate"/>
      <w:fldChar w:fldCharType="end"/>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color w:val="000000"/>
        <w:sz w:val="21"/>
        <w:szCs w:val="2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tabs>
        <w:tab w:val="right" w:pos="9536"/>
      </w:tabs>
    </w:pPr>
    <w:r>
      <w:rPr>
        <w:rFonts w:ascii="SimSun" w:cs="SimSun" w:eastAsia="SimSun" w:hAnsi="SimSun"/>
        <w:color w:val="000000"/>
        <w:sz w:val="21"/>
        <w:szCs w:val="21"/>
      </w:rPr>
      <w:t xml:space="preserve">ART001注射液 非临床药理学研究报告</w:t>
    </w:r>
    <w:r>
      <w:rPr>
        <w:rFonts w:ascii="SimSun" w:cs="SimSun" w:eastAsia="SimSun" w:hAnsi="SimSun"/>
        <w:sz w:val="21"/>
        <w:szCs w:val="21"/>
      </w:rPr>
      <w:t xml:space="preserve">	</w:t>
    </w:r>
    <w:r>
      <w:rPr>
        <w:rFonts w:ascii="Times New Roman" w:cs="Times New Roman" w:eastAsia="Times New Roman" w:hAnsi="Times New Roman"/>
        <w:color w:val="000000"/>
        <w:sz w:val="21"/>
        <w:szCs w:val="21"/>
      </w:rPr>
      <w:t xml:space="preserve">[页码]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2026-04-24T03:40:54.002Z</dcterms:created>
  <dcterms:modified xsi:type="dcterms:W3CDTF">2026-04-24T03:40:54.003Z</dcterms:modified>
</cp:coreProperties>
</file>

<file path=docProps/custom.xml><?xml version="1.0" encoding="utf-8"?>
<Properties xmlns="http://schemas.openxmlformats.org/officeDocument/2006/custom-properties" xmlns:vt="http://schemas.openxmlformats.org/officeDocument/2006/docPropsVTypes"/>
</file>