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00000"/>
          <w:sz w:val="23"/>
        </w:rPr>
        <w:t>Group work assessment – declaration of contributions and accountabilities</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4" w:space="0" w:color="333333"/>
          <w:insideV w:val="single" w:sz="4" w:space="0" w:color="333333"/>
        </w:tblBorders>
      </w:tblPr>
      <w:tblGrid>
        <w:gridCol w:w="4819"/>
        <w:gridCol w:w="4819"/>
      </w:tblGrid>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Year</w:t>
            </w:r>
          </w:p>
        </w:tc>
        <w:tc>
          <w:tcPr>
            <w:tcW w:type="dxa" w:w="7370"/>
            <w:tcMar>
              <w:top w:w="35" w:type="dxa"/>
              <w:bottom w:w="35" w:type="dxa"/>
              <w:left w:w="80" w:type="dxa"/>
              <w:right w:w="80" w:type="dxa"/>
            </w:tcMar>
            <w:shd w:fill="E2EFDA"/>
          </w:tcPr>
          <w:p>
            <w:r>
              <w:rPr>
                <w:rFonts w:ascii="Calibri" w:hAnsi="Calibri"/>
                <w:b w:val="0"/>
                <w:i w:val="0"/>
                <w:color w:val="111111"/>
                <w:sz w:val="19"/>
              </w:rPr>
              <w:t>2026</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Semester</w:t>
            </w:r>
          </w:p>
        </w:tc>
        <w:tc>
          <w:tcPr>
            <w:tcW w:type="dxa" w:w="7370"/>
            <w:tcMar>
              <w:top w:w="35" w:type="dxa"/>
              <w:bottom w:w="35" w:type="dxa"/>
              <w:left w:w="80" w:type="dxa"/>
              <w:right w:w="80" w:type="dxa"/>
            </w:tcMar>
            <w:shd w:fill="E2EFDA"/>
          </w:tcPr>
          <w:p>
            <w:r>
              <w:rPr>
                <w:rFonts w:ascii="Calibri" w:hAnsi="Calibri"/>
                <w:b w:val="0"/>
                <w:i w:val="0"/>
                <w:color w:val="111111"/>
                <w:sz w:val="19"/>
              </w:rPr>
              <w:t>Semester 2</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Unit Code</w:t>
            </w:r>
          </w:p>
        </w:tc>
        <w:tc>
          <w:tcPr>
            <w:tcW w:type="dxa" w:w="7370"/>
            <w:tcMar>
              <w:top w:w="35" w:type="dxa"/>
              <w:bottom w:w="35" w:type="dxa"/>
              <w:left w:w="80" w:type="dxa"/>
              <w:right w:w="80" w:type="dxa"/>
            </w:tcMar>
            <w:shd w:fill="E2EFDA"/>
          </w:tcPr>
          <w:p>
            <w:r>
              <w:rPr>
                <w:rFonts w:ascii="Calibri" w:hAnsi="Calibri"/>
                <w:b w:val="0"/>
                <w:i w:val="0"/>
                <w:color w:val="111111"/>
                <w:sz w:val="19"/>
              </w:rPr>
              <w:t>ENS6160.4</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Unit Name</w:t>
            </w:r>
          </w:p>
        </w:tc>
        <w:tc>
          <w:tcPr>
            <w:tcW w:type="dxa" w:w="7370"/>
            <w:tcMar>
              <w:top w:w="35" w:type="dxa"/>
              <w:bottom w:w="35" w:type="dxa"/>
              <w:left w:w="80" w:type="dxa"/>
              <w:right w:w="80" w:type="dxa"/>
            </w:tcMar>
            <w:shd w:fill="E2EFDA"/>
          </w:tcPr>
          <w:p>
            <w:r>
              <w:rPr>
                <w:rFonts w:ascii="Calibri" w:hAnsi="Calibri"/>
                <w:b w:val="0"/>
                <w:i w:val="0"/>
                <w:color w:val="111111"/>
                <w:sz w:val="19"/>
              </w:rPr>
              <w:t>Signals and Systems</w:t>
            </w:r>
          </w:p>
        </w:tc>
      </w:tr>
      <w:tr>
        <w:trPr>
          <w:cantSplit/>
        </w:trPr>
        <w:tc>
          <w:tcPr>
            <w:tcW w:type="dxa" w:w="2268"/>
            <w:tcMar>
              <w:top w:w="35" w:type="dxa"/>
              <w:bottom w:w="35" w:type="dxa"/>
              <w:left w:w="80" w:type="dxa"/>
              <w:right w:w="80" w:type="dxa"/>
            </w:tcMar>
          </w:tcPr>
          <w:p>
            <w:pPr>
              <w:jc w:val="center"/>
            </w:pPr>
            <w:r>
              <w:rPr>
                <w:rFonts w:ascii="Calibri" w:hAnsi="Calibri"/>
                <w:b w:val="0"/>
                <w:i w:val="0"/>
                <w:color w:val="111111"/>
                <w:sz w:val="19"/>
              </w:rPr>
              <w:t>Assessment title</w:t>
            </w:r>
          </w:p>
        </w:tc>
        <w:tc>
          <w:tcPr>
            <w:tcW w:type="dxa" w:w="7370"/>
            <w:tcMar>
              <w:top w:w="35" w:type="dxa"/>
              <w:bottom w:w="35" w:type="dxa"/>
              <w:left w:w="80" w:type="dxa"/>
              <w:right w:w="80" w:type="dxa"/>
            </w:tcMar>
            <w:shd w:fill="E2EFDA"/>
          </w:tcPr>
          <w:p>
            <w:r>
              <w:rPr>
                <w:rFonts w:ascii="Calibri" w:hAnsi="Calibri"/>
                <w:b w:val="0"/>
                <w:i w:val="0"/>
                <w:color w:val="111111"/>
                <w:sz w:val="19"/>
              </w:rPr>
              <w:t>Laboratory 2: Frequency Response of Systems</w:t>
            </w:r>
          </w:p>
        </w:tc>
      </w:tr>
      <w:tr>
        <w:tc>
          <w:tcPr>
            <w:tcW w:type="dxa" w:w="9638"/>
            <w:gridSpan w:val="2"/>
            <w:tcMar>
              <w:top w:w="35" w:type="dxa"/>
              <w:bottom w:w="35" w:type="dxa"/>
              <w:left w:w="80" w:type="dxa"/>
              <w:right w:w="80" w:type="dxa"/>
            </w:tcMar>
          </w:tcPr>
          <w:p>
            <w:r>
              <w:rPr>
                <w:rFonts w:ascii="Calibri" w:hAnsi="Calibri"/>
                <w:b w:val="0"/>
                <w:i w:val="0"/>
                <w:color w:val="111111"/>
                <w:sz w:val="18"/>
              </w:rPr>
              <w:t>Shaded cells to be completed by students.</w:t>
            </w:r>
          </w:p>
        </w:tc>
      </w:tr>
    </w:tbl>
    <w:p>
      <w:pPr>
        <w:spacing w:before="90" w:after="30"/>
      </w:pPr>
      <w:r>
        <w:rPr>
          <w:rFonts w:ascii="Calibri" w:hAnsi="Calibri"/>
          <w:b/>
          <w:i w:val="0"/>
          <w:color w:val="111111"/>
          <w:sz w:val="19"/>
        </w:rPr>
        <w:t>Group work – what is it?</w:t>
      </w:r>
    </w:p>
    <w:p>
      <w:pPr>
        <w:spacing w:after="40"/>
      </w:pPr>
      <w:r>
        <w:rPr>
          <w:rFonts w:ascii="Calibri" w:hAnsi="Calibri"/>
          <w:b w:val="0"/>
          <w:i w:val="0"/>
          <w:color w:val="111111"/>
          <w:sz w:val="17"/>
        </w:rPr>
        <w:t>The ability to effectively engage group (team) work is an essential skill that is built into the Unit and Course Learning Outcomes as well as assessment in many teaching units. Group work does not just entail multiple members of team working on distinct (separate) parts of an overall submission and then combining those individual parts into a single submission. Group work means a team collaborates over time on all aspects of a submission; they collectively construct and validate all parts of the work such that each member is knowledgeable, understands and can explain the various parts. Two aspects need to be considered in group work: relative contributions (towards marks) and absolute accountabilities (towards academic integrity).</w:t>
      </w:r>
    </w:p>
    <w:p>
      <w:pPr>
        <w:spacing w:before="90" w:after="30"/>
      </w:pPr>
      <w:r>
        <w:rPr>
          <w:rFonts w:ascii="Calibri" w:hAnsi="Calibri"/>
          <w:b/>
          <w:i w:val="0"/>
          <w:color w:val="111111"/>
          <w:sz w:val="19"/>
        </w:rPr>
        <w:t>Group work – relative contributions*</w:t>
      </w:r>
    </w:p>
    <w:p>
      <w:pPr>
        <w:spacing w:after="40"/>
      </w:pPr>
      <w:r>
        <w:rPr>
          <w:rFonts w:ascii="Calibri" w:hAnsi="Calibri"/>
          <w:b w:val="0"/>
          <w:i w:val="0"/>
          <w:color w:val="111111"/>
          <w:sz w:val="17"/>
        </w:rPr>
        <w:t xml:space="preserve">Group work contributions may be equally shared or differ between group members. In general, any group member contributing less than 10% to the overall submission should not be listed (will get a mark of zero). Where different group members have contributed (above 10% in a submission) but to varied extents, the table below can be used to acknowledge those contributions. If all have contributed equally, you can simply write “equally” against each name in the </w:t>
      </w:r>
      <w:r>
        <w:rPr>
          <w:rFonts w:ascii="Calibri" w:hAnsi="Calibri"/>
          <w:b/>
          <w:i w:val="0"/>
          <w:color w:val="111111"/>
          <w:sz w:val="17"/>
        </w:rPr>
        <w:t>“Relative Contributions”</w:t>
      </w:r>
      <w:r>
        <w:rPr>
          <w:rFonts w:ascii="Calibri" w:hAnsi="Calibri"/>
          <w:b w:val="0"/>
          <w:i w:val="0"/>
          <w:color w:val="111111"/>
          <w:sz w:val="17"/>
        </w:rPr>
        <w:t xml:space="preserve"> column.</w:t>
      </w:r>
    </w:p>
    <w:p>
      <w:pPr>
        <w:spacing w:before="90" w:after="30"/>
      </w:pPr>
      <w:r>
        <w:rPr>
          <w:rFonts w:ascii="Calibri" w:hAnsi="Calibri"/>
          <w:b/>
          <w:i w:val="0"/>
          <w:color w:val="111111"/>
          <w:sz w:val="19"/>
        </w:rPr>
        <w:t>Group work – absolute accountabilities</w:t>
      </w:r>
    </w:p>
    <w:p>
      <w:pPr>
        <w:spacing w:after="40"/>
      </w:pPr>
      <w:r>
        <w:rPr>
          <w:rFonts w:ascii="Calibri" w:hAnsi="Calibri"/>
          <w:b w:val="0"/>
          <w:i w:val="0"/>
          <w:color w:val="111111"/>
          <w:sz w:val="17"/>
        </w:rPr>
        <w:t>All group members regardless of their relative contributions to a submission are accountable for the accuracy, completeness and (academic) integrity of the entire submission (not just specific aspects they may have contributed to). Should concerns relating to the (academic) integrity of a submission be identified and investigated, all group members are equally accountable. Signs to watch out for as potentially meaning some plagiarism, copying, collusion or cheating may have been involved in other group members work, when combining specific parts into an overall submission, include:</w:t>
      </w:r>
    </w:p>
    <w:p>
      <w:pPr>
        <w:spacing w:after="24"/>
        <w:ind w:left="454"/>
      </w:pPr>
      <w:r>
        <w:rPr>
          <w:rFonts w:ascii="Calibri" w:hAnsi="Calibri"/>
          <w:b w:val="0"/>
          <w:i w:val="0"/>
          <w:color w:val="111111"/>
          <w:sz w:val="16"/>
        </w:rPr>
        <w:t>•  group members that are not able to fully explain their contributions</w:t>
      </w:r>
    </w:p>
    <w:p>
      <w:pPr>
        <w:spacing w:after="24"/>
        <w:ind w:left="454"/>
      </w:pPr>
      <w:r>
        <w:rPr>
          <w:rFonts w:ascii="Calibri" w:hAnsi="Calibri"/>
          <w:b w:val="0"/>
          <w:i w:val="0"/>
          <w:color w:val="111111"/>
          <w:sz w:val="16"/>
        </w:rPr>
        <w:t>•  group members that do not continually engage the rest of the group in constructing the overall submission but they produce a (near complete) contribution at the end</w:t>
      </w:r>
    </w:p>
    <w:p>
      <w:pPr>
        <w:spacing w:after="24"/>
        <w:ind w:left="454"/>
      </w:pPr>
      <w:r>
        <w:rPr>
          <w:rFonts w:ascii="Calibri" w:hAnsi="Calibri"/>
          <w:b w:val="0"/>
          <w:i w:val="0"/>
          <w:color w:val="111111"/>
          <w:sz w:val="16"/>
        </w:rPr>
        <w:t>•  TurnItin reports that show similarity to parts of the submission, either arising out of copying, contract cheating or lack of paraphrasing.</w:t>
      </w:r>
    </w:p>
    <w:p>
      <w:pPr>
        <w:spacing w:after="24"/>
        <w:ind w:left="454"/>
      </w:pPr>
      <w:r>
        <w:rPr>
          <w:rFonts w:ascii="Calibri" w:hAnsi="Calibri"/>
          <w:b w:val="0"/>
          <w:i w:val="0"/>
          <w:color w:val="111111"/>
          <w:sz w:val="16"/>
        </w:rPr>
        <w:t>•  overly broad writing lacking in assessment context, or in a different style to previous work by the group member, and/or fabricated references which may indicate unacknowledged use of generative artificial intelligence tools</w:t>
      </w:r>
    </w:p>
    <w:p>
      <w:pPr>
        <w:spacing w:before="50" w:after="70"/>
      </w:pPr>
      <w:r>
        <w:rPr>
          <w:rFonts w:ascii="Calibri" w:hAnsi="Calibri"/>
          <w:b w:val="0"/>
          <w:i w:val="0"/>
          <w:color w:val="111111"/>
          <w:sz w:val="16"/>
        </w:rPr>
        <w:t>More information on academic integrity can be found here: https://intranet.ecu.edu.au/student/my-studies/academic-integrity</w:t>
      </w:r>
    </w:p>
    <w:tbl>
      <w:tblPr>
        <w:tblW w:type="auto" w:w="0"/>
        <w:jc w:val="center"/>
        <w:tblLook w:firstColumn="1" w:firstRow="1" w:lastColumn="0" w:lastRow="0" w:noHBand="0" w:noVBand="1" w:val="04A0"/>
        <w:tblBorders>
          <w:top w:val="single" w:sz="6" w:space="0" w:color="333333"/>
          <w:bottom w:val="single" w:sz="6" w:space="0" w:color="333333"/>
          <w:left w:val="single" w:sz="6" w:space="0" w:color="333333"/>
          <w:right w:val="single" w:sz="6" w:space="0" w:color="333333"/>
          <w:insideH w:val="single" w:sz="4" w:space="0" w:color="333333"/>
          <w:insideV w:val="single" w:sz="4" w:space="0" w:color="333333"/>
        </w:tblBorders>
      </w:tblPr>
      <w:tblGrid>
        <w:gridCol w:w="2409"/>
        <w:gridCol w:w="2409"/>
        <w:gridCol w:w="2409"/>
        <w:gridCol w:w="2409"/>
      </w:tblGrid>
      <w:tr>
        <w:tc>
          <w:tcPr>
            <w:tcW w:type="dxa" w:w="9636"/>
            <w:gridSpan w:val="4"/>
            <w:tcMar>
              <w:top w:w="28" w:type="dxa"/>
              <w:bottom w:w="28" w:type="dxa"/>
              <w:left w:w="80" w:type="dxa"/>
              <w:right w:w="80" w:type="dxa"/>
            </w:tcMar>
          </w:tcPr>
          <w:p>
            <w:r>
              <w:rPr>
                <w:rFonts w:ascii="Calibri" w:hAnsi="Calibri"/>
                <w:b w:val="0"/>
                <w:i w:val="0"/>
                <w:color w:val="111111"/>
                <w:sz w:val="17"/>
              </w:rPr>
              <w:t>Relative contributions in completing this assessment</w:t>
            </w:r>
          </w:p>
        </w:tc>
      </w:tr>
      <w:tr>
        <w:tc>
          <w:tcPr>
            <w:tcW w:type="dxa" w:w="3288"/>
            <w:tcMar>
              <w:top w:w="35" w:type="dxa"/>
              <w:bottom w:w="35" w:type="dxa"/>
              <w:left w:w="60" w:type="dxa"/>
              <w:right w:w="60" w:type="dxa"/>
            </w:tcMar>
          </w:tcPr>
          <w:p>
            <w:pPr>
              <w:jc w:val="center"/>
            </w:pPr>
            <w:r>
              <w:rPr>
                <w:rFonts w:ascii="Calibri" w:hAnsi="Calibri"/>
                <w:b/>
                <w:i w:val="0"/>
                <w:color w:val="111111"/>
                <w:sz w:val="17"/>
              </w:rPr>
              <w:t>Student Name</w:t>
            </w:r>
          </w:p>
        </w:tc>
        <w:tc>
          <w:tcPr>
            <w:tcW w:type="dxa" w:w="1587"/>
            <w:tcMar>
              <w:top w:w="35" w:type="dxa"/>
              <w:bottom w:w="35" w:type="dxa"/>
              <w:left w:w="60" w:type="dxa"/>
              <w:right w:w="60" w:type="dxa"/>
            </w:tcMar>
          </w:tcPr>
          <w:p>
            <w:pPr>
              <w:jc w:val="center"/>
            </w:pPr>
            <w:r>
              <w:rPr>
                <w:rFonts w:ascii="Calibri" w:hAnsi="Calibri"/>
                <w:b/>
                <w:i w:val="0"/>
                <w:color w:val="111111"/>
                <w:sz w:val="17"/>
              </w:rPr>
              <w:t>Student Number</w:t>
            </w:r>
          </w:p>
        </w:tc>
        <w:tc>
          <w:tcPr>
            <w:tcW w:type="dxa" w:w="2494"/>
            <w:tcMar>
              <w:top w:w="35" w:type="dxa"/>
              <w:bottom w:w="35" w:type="dxa"/>
              <w:left w:w="60" w:type="dxa"/>
              <w:right w:w="60" w:type="dxa"/>
            </w:tcMar>
          </w:tcPr>
          <w:p>
            <w:pPr>
              <w:jc w:val="center"/>
            </w:pPr>
            <w:r>
              <w:rPr>
                <w:rFonts w:ascii="Calibri" w:hAnsi="Calibri"/>
                <w:b/>
                <w:i w:val="0"/>
                <w:color w:val="111111"/>
                <w:sz w:val="17"/>
              </w:rPr>
              <w:t>Relative Contribution*</w:t>
              <w:br/>
              <w:t>(individual “%” or “equal”)</w:t>
            </w:r>
          </w:p>
        </w:tc>
        <w:tc>
          <w:tcPr>
            <w:tcW w:type="dxa" w:w="2268"/>
            <w:tcMar>
              <w:top w:w="35" w:type="dxa"/>
              <w:bottom w:w="35" w:type="dxa"/>
              <w:left w:w="60" w:type="dxa"/>
              <w:right w:w="60" w:type="dxa"/>
            </w:tcMar>
          </w:tcPr>
          <w:p>
            <w:pPr>
              <w:jc w:val="center"/>
            </w:pPr>
            <w:r>
              <w:rPr>
                <w:rFonts w:ascii="Calibri" w:hAnsi="Calibri"/>
                <w:b/>
                <w:i w:val="0"/>
                <w:color w:val="111111"/>
                <w:sz w:val="17"/>
              </w:rPr>
              <w:t>Signature</w:t>
            </w: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rPr>
          <w:cantSplit/>
        </w:trPr>
        <w:tc>
          <w:tcPr>
            <w:tcW w:type="dxa" w:w="3288"/>
            <w:shd w:fill="E2EFDA"/>
            <w:tcMar>
              <w:top w:w="48" w:type="dxa"/>
              <w:bottom w:w="48" w:type="dxa"/>
              <w:left w:w="60" w:type="dxa"/>
              <w:right w:w="60" w:type="dxa"/>
            </w:tcMar>
          </w:tcPr>
          <w:p/>
        </w:tc>
        <w:tc>
          <w:tcPr>
            <w:tcW w:type="dxa" w:w="1587"/>
            <w:shd w:fill="E2EFDA"/>
            <w:tcMar>
              <w:top w:w="48" w:type="dxa"/>
              <w:bottom w:w="48" w:type="dxa"/>
              <w:left w:w="60" w:type="dxa"/>
              <w:right w:w="60" w:type="dxa"/>
            </w:tcMar>
          </w:tcPr>
          <w:p/>
        </w:tc>
        <w:tc>
          <w:tcPr>
            <w:tcW w:type="dxa" w:w="2494"/>
            <w:shd w:fill="E2EFDA"/>
            <w:tcMar>
              <w:top w:w="48" w:type="dxa"/>
              <w:bottom w:w="48" w:type="dxa"/>
              <w:left w:w="60" w:type="dxa"/>
              <w:right w:w="60" w:type="dxa"/>
            </w:tcMar>
          </w:tcPr>
          <w:p/>
        </w:tc>
        <w:tc>
          <w:tcPr>
            <w:tcW w:type="dxa" w:w="2268"/>
            <w:shd w:fill="E2EFDA"/>
            <w:tcMar>
              <w:top w:w="48" w:type="dxa"/>
              <w:bottom w:w="48" w:type="dxa"/>
              <w:left w:w="60" w:type="dxa"/>
              <w:right w:w="60" w:type="dxa"/>
            </w:tcMar>
          </w:tcPr>
          <w:p/>
        </w:tc>
      </w:tr>
      <w:tr>
        <w:tc>
          <w:tcPr>
            <w:tcW w:type="dxa" w:w="7227"/>
            <w:gridSpan w:val="3"/>
            <w:tcMar>
              <w:top w:w="28" w:type="dxa"/>
              <w:bottom w:w="28" w:type="dxa"/>
              <w:left w:w="80" w:type="dxa"/>
              <w:right w:w="80" w:type="dxa"/>
            </w:tcMar>
          </w:tcPr>
          <w:p>
            <w:r>
              <w:rPr>
                <w:rFonts w:ascii="Calibri" w:hAnsi="Calibri"/>
                <w:b w:val="0"/>
                <w:i w:val="0"/>
                <w:color w:val="111111"/>
                <w:sz w:val="16"/>
              </w:rPr>
              <w:t>Shaded cells to be completed by students (add more rows if needed)</w:t>
            </w:r>
          </w:p>
        </w:tc>
        <w:tc>
          <w:tcPr>
            <w:tcW w:type="dxa" w:w="2409"/>
          </w:tcPr>
          <w:p/>
        </w:tc>
      </w:tr>
    </w:tbl>
    <w:p>
      <w:pPr>
        <w:spacing w:before="50"/>
      </w:pPr>
      <w:r>
        <w:rPr>
          <w:rFonts w:ascii="Calibri" w:hAnsi="Calibri"/>
          <w:b w:val="0"/>
          <w:i w:val="0"/>
          <w:color w:val="444444"/>
          <w:sz w:val="15"/>
        </w:rPr>
        <w:t>School of Engineering, ECU (v. 23.08.2024)</w:t>
      </w:r>
    </w:p>
    <w:p>
      <w:r>
        <w:br w:type="page"/>
      </w:r>
    </w:p>
    <w:p>
      <w:pPr>
        <w:spacing w:before="1120"/>
        <w:jc w:val="center"/>
      </w:pPr>
      <w:r>
        <w:rPr>
          <w:rFonts w:ascii="Calibri" w:hAnsi="Calibri"/>
          <w:b/>
          <w:i w:val="0"/>
          <w:color w:val="1B365D"/>
          <w:sz w:val="30"/>
        </w:rPr>
        <w:t>EDITH COWAN UNIVERSITY</w:t>
      </w:r>
    </w:p>
    <w:p>
      <w:pPr>
        <w:spacing w:after="520"/>
        <w:jc w:val="center"/>
      </w:pPr>
      <w:r>
        <w:rPr>
          <w:rFonts w:ascii="Calibri" w:hAnsi="Calibri"/>
          <w:b w:val="0"/>
          <w:i w:val="0"/>
          <w:color w:val="2C3E50"/>
          <w:sz w:val="25"/>
        </w:rPr>
        <w:t>School of Engineering</w:t>
      </w:r>
    </w:p>
    <w:p>
      <w:pPr>
        <w:spacing w:after="280"/>
        <w:jc w:val="center"/>
      </w:pPr>
      <w:r>
        <w:rPr>
          <w:rFonts w:ascii="Calibri" w:hAnsi="Calibri"/>
          <w:b/>
          <w:i w:val="0"/>
          <w:color w:val="111111"/>
          <w:sz w:val="26"/>
        </w:rPr>
        <w:t>ENS3553 / ENS6160.4 Signals and Systems</w:t>
      </w:r>
    </w:p>
    <w:p>
      <w:pPr>
        <w:spacing w:after="200"/>
        <w:jc w:val="center"/>
      </w:pPr>
      <w:r>
        <w:rPr>
          <w:rFonts w:ascii="Calibri" w:hAnsi="Calibri"/>
          <w:b/>
          <w:i w:val="0"/>
          <w:color w:val="1B365D"/>
          <w:sz w:val="40"/>
        </w:rPr>
        <w:t>Laboratory Report 2</w:t>
      </w:r>
    </w:p>
    <w:p>
      <w:pPr>
        <w:spacing w:after="680"/>
        <w:jc w:val="center"/>
      </w:pPr>
      <w:r>
        <w:rPr>
          <w:rFonts w:ascii="Calibri" w:hAnsi="Calibri"/>
          <w:b/>
          <w:i w:val="0"/>
          <w:color w:val="2C3E50"/>
          <w:sz w:val="26"/>
        </w:rPr>
        <w:t>Frequency Response of Systems: Theoretical Prediction and Experimental</w:t>
      </w:r>
      <w:r>
        <w:br/>
      </w:r>
      <w:r>
        <w:rPr>
          <w:rFonts w:ascii="Calibri" w:hAnsi="Calibri"/>
          <w:b/>
          <w:i w:val="0"/>
          <w:color w:val="2C3E50"/>
          <w:sz w:val="26"/>
        </w:rPr>
        <w:t>Verification of a First-Order RC Low-Pass Filter</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4819"/>
        <w:gridCol w:w="4819"/>
      </w:tblGrid>
      <w:tr>
        <w:trPr>
          <w:cantSplit/>
        </w:trPr>
        <w:tc>
          <w:tcPr>
            <w:tcW w:type="dxa" w:w="2948"/>
            <w:shd w:fill="F8FAFC"/>
            <w:tcMar>
              <w:top w:w="80" w:type="dxa"/>
              <w:bottom w:w="80" w:type="dxa"/>
              <w:left w:w="110" w:type="dxa"/>
              <w:right w:w="110" w:type="dxa"/>
            </w:tcMar>
          </w:tcPr>
          <w:p>
            <w:r>
              <w:rPr>
                <w:rFonts w:ascii="Calibri" w:hAnsi="Calibri"/>
                <w:b/>
                <w:i w:val="0"/>
                <w:color w:val="111111"/>
                <w:sz w:val="20"/>
              </w:rPr>
              <w:t>Assessment Type:</w:t>
            </w:r>
          </w:p>
        </w:tc>
        <w:tc>
          <w:tcPr>
            <w:tcW w:type="dxa" w:w="6123"/>
            <w:shd w:fill="F8FAFC"/>
            <w:tcMar>
              <w:top w:w="80" w:type="dxa"/>
              <w:bottom w:w="80" w:type="dxa"/>
              <w:left w:w="110" w:type="dxa"/>
              <w:right w:w="110" w:type="dxa"/>
            </w:tcMar>
          </w:tcPr>
          <w:p>
            <w:r>
              <w:rPr>
                <w:rFonts w:ascii="Calibri" w:hAnsi="Calibri"/>
                <w:b w:val="0"/>
                <w:i w:val="0"/>
                <w:color w:val="111111"/>
                <w:sz w:val="20"/>
              </w:rPr>
              <w:t>Group Laboratory Report (Weighting: 6%)</w:t>
            </w:r>
          </w:p>
        </w:tc>
      </w:tr>
      <w:tr>
        <w:trPr>
          <w:cantSplit/>
        </w:trPr>
        <w:tc>
          <w:tcPr>
            <w:tcW w:type="dxa" w:w="2948"/>
            <w:shd w:fill="F8FAFC"/>
            <w:tcMar>
              <w:top w:w="80" w:type="dxa"/>
              <w:bottom w:w="80" w:type="dxa"/>
              <w:left w:w="110" w:type="dxa"/>
              <w:right w:w="110" w:type="dxa"/>
            </w:tcMar>
          </w:tcPr>
          <w:p>
            <w:r>
              <w:rPr>
                <w:rFonts w:ascii="Calibri" w:hAnsi="Calibri"/>
                <w:b/>
                <w:i w:val="0"/>
                <w:color w:val="111111"/>
                <w:sz w:val="20"/>
              </w:rPr>
              <w:t>Circuit Under Test:</w:t>
            </w:r>
          </w:p>
        </w:tc>
        <w:tc>
          <w:tcPr>
            <w:tcW w:type="dxa" w:w="6123"/>
            <w:shd w:fill="F8FAFC"/>
            <w:tcMar>
              <w:top w:w="80" w:type="dxa"/>
              <w:bottom w:w="80" w:type="dxa"/>
              <w:left w:w="110" w:type="dxa"/>
              <w:right w:w="110" w:type="dxa"/>
            </w:tcMar>
          </w:tcPr>
          <w:p>
            <w:r>
              <w:rPr>
                <w:rFonts w:ascii="Calibri" w:hAnsi="Calibri"/>
                <w:b w:val="0"/>
                <w:i w:val="0"/>
                <w:color w:val="111111"/>
                <w:sz w:val="20"/>
              </w:rPr>
              <w:t>First-Order Series RC Network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w:t>
            </w:r>
          </w:p>
        </w:tc>
      </w:tr>
      <w:tr>
        <w:trPr>
          <w:cantSplit/>
        </w:trPr>
        <w:tc>
          <w:tcPr>
            <w:tcW w:type="dxa" w:w="2948"/>
            <w:shd w:fill="F8FAFC"/>
            <w:tcMar>
              <w:top w:w="80" w:type="dxa"/>
              <w:bottom w:w="80" w:type="dxa"/>
              <w:left w:w="110" w:type="dxa"/>
              <w:right w:w="110" w:type="dxa"/>
            </w:tcMar>
          </w:tcPr>
          <w:p>
            <w:r>
              <w:rPr>
                <w:rFonts w:ascii="Calibri" w:hAnsi="Calibri"/>
                <w:b/>
                <w:i w:val="0"/>
                <w:color w:val="111111"/>
                <w:sz w:val="20"/>
              </w:rPr>
              <w:t>Instrumentation:</w:t>
            </w:r>
          </w:p>
        </w:tc>
        <w:tc>
          <w:tcPr>
            <w:tcW w:type="dxa" w:w="6123"/>
            <w:shd w:fill="F8FAFC"/>
            <w:tcMar>
              <w:top w:w="80" w:type="dxa"/>
              <w:bottom w:w="80" w:type="dxa"/>
              <w:left w:w="110" w:type="dxa"/>
              <w:right w:w="110" w:type="dxa"/>
            </w:tcMar>
          </w:tcPr>
          <w:p>
            <w:r>
              <w:rPr>
                <w:rFonts w:ascii="Calibri" w:hAnsi="Calibri"/>
                <w:b w:val="0"/>
                <w:i w:val="0"/>
                <w:color w:val="111111"/>
                <w:sz w:val="20"/>
              </w:rPr>
              <w:t>Agilent 33220A Waveform Generator &amp; Keysight DSOX4024G Oscilloscope</w:t>
            </w:r>
          </w:p>
        </w:tc>
      </w:tr>
      <w:tr>
        <w:trPr>
          <w:cantSplit/>
        </w:trPr>
        <w:tc>
          <w:tcPr>
            <w:tcW w:type="dxa" w:w="2948"/>
            <w:shd w:fill="F8FAFC"/>
            <w:tcMar>
              <w:top w:w="80" w:type="dxa"/>
              <w:bottom w:w="80" w:type="dxa"/>
              <w:left w:w="110" w:type="dxa"/>
              <w:right w:w="110" w:type="dxa"/>
            </w:tcMar>
          </w:tcPr>
          <w:p>
            <w:r>
              <w:rPr>
                <w:rFonts w:ascii="Calibri" w:hAnsi="Calibri"/>
                <w:b/>
                <w:i w:val="0"/>
                <w:color w:val="111111"/>
                <w:sz w:val="20"/>
              </w:rPr>
              <w:t>Group Declaration:</w:t>
            </w:r>
          </w:p>
        </w:tc>
        <w:tc>
          <w:tcPr>
            <w:tcW w:type="dxa" w:w="6123"/>
            <w:shd w:fill="F8FAFC"/>
            <w:tcMar>
              <w:top w:w="80" w:type="dxa"/>
              <w:bottom w:w="80" w:type="dxa"/>
              <w:left w:w="110" w:type="dxa"/>
              <w:right w:w="110" w:type="dxa"/>
            </w:tcMar>
          </w:tcPr>
          <w:p>
            <w:r>
              <w:rPr>
                <w:rFonts w:ascii="Calibri" w:hAnsi="Calibri"/>
                <w:b w:val="0"/>
                <w:i w:val="0"/>
                <w:color w:val="111111"/>
                <w:sz w:val="20"/>
              </w:rPr>
              <w:t>Refer to Mandatory ECU Group Work Cover Sheet (Page 1)</w:t>
            </w:r>
          </w:p>
        </w:tc>
      </w:tr>
      <w:tr>
        <w:trPr>
          <w:cantSplit/>
        </w:trPr>
        <w:tc>
          <w:tcPr>
            <w:tcW w:type="dxa" w:w="2948"/>
            <w:shd w:fill="F8FAFC"/>
            <w:tcMar>
              <w:top w:w="80" w:type="dxa"/>
              <w:bottom w:w="80" w:type="dxa"/>
              <w:left w:w="110" w:type="dxa"/>
              <w:right w:w="110" w:type="dxa"/>
            </w:tcMar>
          </w:tcPr>
          <w:p>
            <w:r>
              <w:rPr>
                <w:rFonts w:ascii="Calibri" w:hAnsi="Calibri"/>
                <w:b/>
                <w:i w:val="0"/>
                <w:color w:val="111111"/>
                <w:sz w:val="20"/>
              </w:rPr>
              <w:t>Semester &amp; Submission Date:</w:t>
            </w:r>
          </w:p>
        </w:tc>
        <w:tc>
          <w:tcPr>
            <w:tcW w:type="dxa" w:w="6123"/>
            <w:shd w:fill="F8FAFC"/>
            <w:tcMar>
              <w:top w:w="80" w:type="dxa"/>
              <w:bottom w:w="80" w:type="dxa"/>
              <w:left w:w="110" w:type="dxa"/>
              <w:right w:w="110" w:type="dxa"/>
            </w:tcMar>
          </w:tcPr>
          <w:p>
            <w:r>
              <w:rPr>
                <w:rFonts w:ascii="Calibri" w:hAnsi="Calibri"/>
                <w:b w:val="0"/>
                <w:i w:val="0"/>
                <w:color w:val="111111"/>
                <w:sz w:val="20"/>
              </w:rPr>
              <w:t>Semester 2, 2026 — 25 October 2026</w:t>
            </w:r>
          </w:p>
        </w:tc>
      </w:tr>
    </w:tbl>
    <w:p>
      <w:r>
        <w:br w:type="page"/>
      </w:r>
    </w:p>
    <w:p>
      <w:pPr>
        <w:pStyle w:val="Heading1"/>
        <w:keepNext/>
      </w:pPr>
      <w:r>
        <w:rPr>
          <w:rFonts w:ascii="Calibri" w:hAnsi="Calibri"/>
          <w:b/>
          <w:i w:val="0"/>
          <w:color w:val="1B365D"/>
          <w:sz w:val="26"/>
        </w:rPr>
        <w:t>Abstract</w:t>
      </w:r>
    </w:p>
    <w:p>
      <w:pPr>
        <w:spacing w:after="110"/>
        <w:jc w:val="both"/>
      </w:pPr>
      <w:r>
        <w:rPr>
          <w:rFonts w:ascii="Calibri" w:hAnsi="Calibri"/>
          <w:b w:val="0"/>
          <w:i w:val="0"/>
          <w:color w:val="111111"/>
          <w:sz w:val="20"/>
        </w:rPr>
        <w:t>Linear time-invariant (LTI) systems process arbitrary input waveforms by scaling the amplitude and shifting the phase of each constituent sinusoidal frequency component according to the system’s complex frequency response. Understanding the relationship between time-domain differential equations and frequency-domain transfer characteristics is fundamental to analogue signal conditioning, anti-aliasing, and sensor noise suppression. This laboratory investigated these principles on a passive first-order series resistor–capacitor (RC) circuit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configured with the capacitor voltage taken as the output. The objectives were to derive the analytical frequency response from the governing linear constant-coefficient differential equation, predict steady-state responses to sinusoidal and periodic square-wave excitations, and experimentally verify both time-domain and frequency-domain predictions.</w:t>
      </w:r>
    </w:p>
    <w:p>
      <w:pPr>
        <w:spacing w:after="110"/>
        <w:jc w:val="both"/>
      </w:pPr>
      <w:r>
        <w:rPr>
          <w:rFonts w:ascii="Calibri" w:hAnsi="Calibri"/>
          <w:b w:val="0"/>
          <w:i w:val="0"/>
          <w:color w:val="111111"/>
          <w:sz w:val="20"/>
        </w:rPr>
        <w:t xml:space="preserve">Using complex exponential eigenfunction substitution, the transfer function was derived as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 1 / (1 + </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RC</w:t>
      </w:r>
      <w:r>
        <w:rPr>
          <w:rFonts w:ascii="Calibri" w:hAnsi="Calibri"/>
          <w:b w:val="0"/>
          <w:i w:val="0"/>
          <w:color w:val="111111"/>
          <w:sz w:val="20"/>
        </w:rPr>
        <w:t xml:space="preserve">), confirming a first-order low-pass characteristic with time constant τ = 15 µs and theoretical −3 dB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Theoretical magnitude gains at 1, 10, and 40 kHz were 0.9956 (−0.04 dB), 0.7277 (−2.76 dB), and 0.2564 (−11.82 dB), with phase lags of −5.38°, −43.30°, and −75.14°. An Agilent 33220A function generator excited the breadboard circuit with nominal 15 V</w:t>
      </w:r>
      <w:r>
        <w:rPr>
          <w:rFonts w:ascii="Calibri" w:hAnsi="Calibri"/>
          <w:b w:val="0"/>
          <w:i w:val="0"/>
          <w:color w:val="111111"/>
          <w:sz w:val="20"/>
          <w:vertAlign w:val="subscript"/>
        </w:rPr>
        <w:t>pp</w:t>
      </w:r>
      <w:r>
        <w:rPr>
          <w:rFonts w:ascii="Calibri" w:hAnsi="Calibri"/>
          <w:b w:val="0"/>
          <w:i w:val="0"/>
          <w:color w:val="111111"/>
          <w:sz w:val="20"/>
        </w:rPr>
        <w:t xml:space="preserve"> sinusoids at 1, 10, and 40 kHz and a 15 V</w:t>
      </w:r>
      <w:r>
        <w:rPr>
          <w:rFonts w:ascii="Calibri" w:hAnsi="Calibri"/>
          <w:b w:val="0"/>
          <w:i w:val="0"/>
          <w:color w:val="111111"/>
          <w:sz w:val="20"/>
          <w:vertAlign w:val="subscript"/>
        </w:rPr>
        <w:t>pp</w:t>
      </w:r>
      <w:r>
        <w:rPr>
          <w:rFonts w:ascii="Calibri" w:hAnsi="Calibri"/>
          <w:b w:val="0"/>
          <w:i w:val="0"/>
          <w:color w:val="111111"/>
          <w:sz w:val="20"/>
        </w:rPr>
        <w:t>, 8 kHz, 50% duty-cycle square wave, while a Keysight DSOX4024G oscilloscope measured waveforms and fast Fourier transform (FFT) spectra.</w:t>
      </w:r>
    </w:p>
    <w:p>
      <w:pPr>
        <w:spacing w:after="110"/>
        <w:jc w:val="both"/>
      </w:pPr>
      <w:r>
        <w:rPr>
          <w:rFonts w:ascii="Calibri" w:hAnsi="Calibri"/>
          <w:b w:val="0"/>
          <w:i w:val="0"/>
          <w:color w:val="111111"/>
          <w:sz w:val="20"/>
        </w:rPr>
        <w:t>Normalised time-domain voltage gains (|</w:t>
      </w:r>
      <w:r>
        <w:rPr>
          <w:rFonts w:ascii="Calibri" w:hAnsi="Calibri"/>
          <w:b w:val="0"/>
          <w:i/>
          <w:color w:val="111111"/>
          <w:sz w:val="20"/>
        </w:rPr>
        <w:t>H</w:t>
      </w:r>
      <w:r>
        <w:rPr>
          <w:rFonts w:ascii="Calibri" w:hAnsi="Calibri"/>
          <w:b w:val="0"/>
          <w:i w:val="0"/>
          <w:color w:val="111111"/>
          <w:sz w:val="20"/>
          <w:vertAlign w:val="subscript"/>
        </w:rPr>
        <w:t>meas</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vertAlign w:val="subscript"/>
        </w:rPr>
        <w:t>,pp</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vertAlign w:val="subscript"/>
        </w:rPr>
        <w:t>,pp</w:t>
      </w:r>
      <w:r>
        <w:rPr>
          <w:rFonts w:ascii="Calibri" w:hAnsi="Calibri"/>
          <w:b w:val="0"/>
          <w:i w:val="0"/>
          <w:color w:val="111111"/>
          <w:sz w:val="20"/>
        </w:rPr>
        <w:t xml:space="preserve"> = 0.9744, 0.7233, and 0.2705) agreed with theory within 0.6%–5.5%, and measured phase shifts (−6.55°, −42.30°, and −73.71°) matched within 1.4°. Sinusoidal dB gains were −0.22, −2.81, and −11.36 dB, while oscilloscope FFT cursor measurements of the 8 kHz square wave recorded harmonic attenuations of −2.03, −7.81, and −11.72 dB at 8, 24, and 40 kHz against theoretical predictions of −1.95, −7.87, and −11.82 dB (within 0.10 dB). Selective suppression of higher odd harmonics rounded the square wave into an exponential charging–discharging waveform (14.9 V</w:t>
      </w:r>
      <w:r>
        <w:rPr>
          <w:rFonts w:ascii="Calibri" w:hAnsi="Calibri"/>
          <w:b w:val="0"/>
          <w:i w:val="0"/>
          <w:color w:val="111111"/>
          <w:sz w:val="20"/>
          <w:vertAlign w:val="subscript"/>
        </w:rPr>
        <w:t>pp</w:t>
      </w:r>
      <w:r>
        <w:rPr>
          <w:rFonts w:ascii="Calibri" w:hAnsi="Calibri"/>
          <w:b w:val="0"/>
          <w:i w:val="0"/>
          <w:color w:val="111111"/>
          <w:sz w:val="20"/>
        </w:rPr>
        <w:t xml:space="preserve"> measured vs. 14.54 V</w:t>
      </w:r>
      <w:r>
        <w:rPr>
          <w:rFonts w:ascii="Calibri" w:hAnsi="Calibri"/>
          <w:b w:val="0"/>
          <w:i w:val="0"/>
          <w:color w:val="111111"/>
          <w:sz w:val="20"/>
          <w:vertAlign w:val="subscript"/>
        </w:rPr>
        <w:t>pp</w:t>
      </w:r>
      <w:r>
        <w:rPr>
          <w:rFonts w:ascii="Calibri" w:hAnsi="Calibri"/>
          <w:b w:val="0"/>
          <w:i w:val="0"/>
          <w:color w:val="111111"/>
          <w:sz w:val="20"/>
        </w:rPr>
        <w:t xml:space="preserve"> theoretical), confirming LTI frequency-response theory.</w:t>
      </w:r>
    </w:p>
    <w:p>
      <w:pPr>
        <w:pStyle w:val="Heading1"/>
        <w:keepNext/>
        <w:spacing w:before="200"/>
      </w:pPr>
      <w:r>
        <w:rPr>
          <w:rFonts w:ascii="Calibri" w:hAnsi="Calibri"/>
          <w:b/>
          <w:i w:val="0"/>
          <w:color w:val="1B365D"/>
          <w:sz w:val="26"/>
        </w:rPr>
        <w:t>Table of Contents</w:t>
      </w:r>
    </w:p>
    <w:tbl>
      <w:tblPr>
        <w:tblW w:type="auto" w:w="0"/>
        <w:jc w:val="center"/>
        <w:tblLook w:firstColumn="1" w:firstRow="1" w:lastColumn="0" w:lastRow="0" w:noHBand="0" w:noVBand="1" w:val="04A0"/>
      </w:tblPr>
      <w:tblGrid>
        <w:gridCol w:w="4819"/>
        <w:gridCol w:w="4819"/>
      </w:tblGrid>
      <w:tr>
        <w:trPr>
          <w:cantSplit/>
        </w:trPr>
        <w:tc>
          <w:tcPr>
            <w:tcW w:type="dxa" w:w="8617"/>
            <w:tcMar>
              <w:top w:w="20" w:type="dxa"/>
              <w:bottom w:w="20" w:type="dxa"/>
              <w:left w:w="40" w:type="dxa"/>
              <w:right w:w="40" w:type="dxa"/>
            </w:tcMar>
          </w:tcPr>
          <w:p>
            <w:r>
              <w:rPr>
                <w:rFonts w:ascii="Calibri" w:hAnsi="Calibri"/>
                <w:b/>
                <w:i w:val="0"/>
                <w:color w:val="1B365D"/>
                <w:sz w:val="19"/>
              </w:rPr>
              <w:t>ECU Group Work Declaration Cover Sheet</w:t>
            </w:r>
          </w:p>
        </w:tc>
        <w:tc>
          <w:tcPr>
            <w:tcW w:type="dxa" w:w="1020"/>
            <w:tcMar>
              <w:top w:w="20" w:type="dxa"/>
              <w:bottom w:w="20" w:type="dxa"/>
              <w:left w:w="40" w:type="dxa"/>
              <w:right w:w="40" w:type="dxa"/>
            </w:tcMar>
          </w:tcPr>
          <w:p>
            <w:pPr>
              <w:jc w:val="right"/>
            </w:pPr>
            <w:r>
              <w:rPr>
                <w:rFonts w:ascii="Calibri" w:hAnsi="Calibri"/>
                <w:b/>
                <w:i w:val="0"/>
                <w:color w:val="111111"/>
                <w:sz w:val="18"/>
              </w:rPr>
              <w:t>1</w:t>
            </w:r>
          </w:p>
        </w:tc>
      </w:tr>
      <w:tr>
        <w:trPr>
          <w:cantSplit/>
        </w:trPr>
        <w:tc>
          <w:tcPr>
            <w:tcW w:type="dxa" w:w="8617"/>
            <w:tcMar>
              <w:top w:w="20" w:type="dxa"/>
              <w:bottom w:w="20" w:type="dxa"/>
              <w:left w:w="40" w:type="dxa"/>
              <w:right w:w="40" w:type="dxa"/>
            </w:tcMar>
          </w:tcPr>
          <w:p>
            <w:r>
              <w:rPr>
                <w:rFonts w:ascii="Calibri" w:hAnsi="Calibri"/>
                <w:b/>
                <w:i w:val="0"/>
                <w:color w:val="1B365D"/>
                <w:sz w:val="19"/>
              </w:rPr>
              <w:t>Abstract</w:t>
            </w:r>
          </w:p>
        </w:tc>
        <w:tc>
          <w:tcPr>
            <w:tcW w:type="dxa" w:w="1020"/>
            <w:tcMar>
              <w:top w:w="20" w:type="dxa"/>
              <w:bottom w:w="20" w:type="dxa"/>
              <w:left w:w="40" w:type="dxa"/>
              <w:right w:w="40" w:type="dxa"/>
            </w:tcMar>
          </w:tcPr>
          <w:p>
            <w:pPr>
              <w:jc w:val="right"/>
            </w:pPr>
            <w:r>
              <w:rPr>
                <w:rFonts w:ascii="Calibri" w:hAnsi="Calibri"/>
                <w:b/>
                <w:i w:val="0"/>
                <w:color w:val="111111"/>
                <w:sz w:val="18"/>
              </w:rPr>
              <w:t>3</w:t>
            </w:r>
          </w:p>
        </w:tc>
      </w:tr>
      <w:tr>
        <w:trPr>
          <w:cantSplit/>
        </w:trPr>
        <w:tc>
          <w:tcPr>
            <w:tcW w:type="dxa" w:w="8617"/>
            <w:tcMar>
              <w:top w:w="20" w:type="dxa"/>
              <w:bottom w:w="20" w:type="dxa"/>
              <w:left w:w="40" w:type="dxa"/>
              <w:right w:w="40" w:type="dxa"/>
            </w:tcMar>
          </w:tcPr>
          <w:p>
            <w:r>
              <w:rPr>
                <w:rFonts w:ascii="Calibri" w:hAnsi="Calibri"/>
                <w:b/>
                <w:i w:val="0"/>
                <w:color w:val="1B365D"/>
                <w:sz w:val="19"/>
              </w:rPr>
              <w:t>Table of Contents</w:t>
            </w:r>
          </w:p>
        </w:tc>
        <w:tc>
          <w:tcPr>
            <w:tcW w:type="dxa" w:w="1020"/>
            <w:tcMar>
              <w:top w:w="20" w:type="dxa"/>
              <w:bottom w:w="20" w:type="dxa"/>
              <w:left w:w="40" w:type="dxa"/>
              <w:right w:w="40" w:type="dxa"/>
            </w:tcMar>
          </w:tcPr>
          <w:p>
            <w:pPr>
              <w:jc w:val="right"/>
            </w:pPr>
            <w:r>
              <w:rPr>
                <w:rFonts w:ascii="Calibri" w:hAnsi="Calibri"/>
                <w:b/>
                <w:i w:val="0"/>
                <w:color w:val="111111"/>
                <w:sz w:val="18"/>
              </w:rPr>
              <w:t>4</w:t>
            </w:r>
          </w:p>
        </w:tc>
      </w:tr>
      <w:tr>
        <w:trPr>
          <w:cantSplit/>
        </w:trPr>
        <w:tc>
          <w:tcPr>
            <w:tcW w:type="dxa" w:w="8617"/>
            <w:tcMar>
              <w:top w:w="20" w:type="dxa"/>
              <w:bottom w:w="20" w:type="dxa"/>
              <w:left w:w="40" w:type="dxa"/>
              <w:right w:w="40" w:type="dxa"/>
            </w:tcMar>
          </w:tcPr>
          <w:p>
            <w:r>
              <w:rPr>
                <w:rFonts w:ascii="Calibri" w:hAnsi="Calibri"/>
                <w:b/>
                <w:i w:val="0"/>
                <w:color w:val="1B365D"/>
                <w:sz w:val="19"/>
              </w:rPr>
              <w:t>1. Introduction</w:t>
            </w:r>
          </w:p>
        </w:tc>
        <w:tc>
          <w:tcPr>
            <w:tcW w:type="dxa" w:w="1020"/>
            <w:tcMar>
              <w:top w:w="20" w:type="dxa"/>
              <w:bottom w:w="20" w:type="dxa"/>
              <w:left w:w="40" w:type="dxa"/>
              <w:right w:w="40" w:type="dxa"/>
            </w:tcMar>
          </w:tcPr>
          <w:p>
            <w:pPr>
              <w:jc w:val="right"/>
            </w:pPr>
            <w:r>
              <w:rPr>
                <w:rFonts w:ascii="Calibri" w:hAnsi="Calibri"/>
                <w:b/>
                <w:i w:val="0"/>
                <w:color w:val="111111"/>
                <w:sz w:val="18"/>
              </w:rPr>
              <w:t>5</w:t>
            </w:r>
          </w:p>
        </w:tc>
      </w:tr>
      <w:tr>
        <w:trPr>
          <w:cantSplit/>
        </w:trPr>
        <w:tc>
          <w:tcPr>
            <w:tcW w:type="dxa" w:w="8617"/>
            <w:tcMar>
              <w:top w:w="20" w:type="dxa"/>
              <w:bottom w:w="20" w:type="dxa"/>
              <w:left w:w="40" w:type="dxa"/>
              <w:right w:w="40" w:type="dxa"/>
            </w:tcMar>
          </w:tcPr>
          <w:p>
            <w:r>
              <w:rPr>
                <w:rFonts w:ascii="Calibri" w:hAnsi="Calibri"/>
                <w:b/>
                <w:i w:val="0"/>
                <w:color w:val="1B365D"/>
                <w:sz w:val="19"/>
              </w:rPr>
              <w:t>2. Method</w:t>
            </w:r>
          </w:p>
        </w:tc>
        <w:tc>
          <w:tcPr>
            <w:tcW w:type="dxa" w:w="1020"/>
            <w:tcMar>
              <w:top w:w="20" w:type="dxa"/>
              <w:bottom w:w="20" w:type="dxa"/>
              <w:left w:w="40" w:type="dxa"/>
              <w:right w:w="40" w:type="dxa"/>
            </w:tcMar>
          </w:tcPr>
          <w:p>
            <w:pPr>
              <w:jc w:val="right"/>
            </w:pPr>
            <w:r>
              <w:rPr>
                <w:rFonts w:ascii="Calibri" w:hAnsi="Calibri"/>
                <w:b/>
                <w:i w:val="0"/>
                <w:color w:val="111111"/>
                <w:sz w:val="18"/>
              </w:rPr>
              <w:t>5</w:t>
            </w:r>
          </w:p>
        </w:tc>
      </w:tr>
      <w:tr>
        <w:trPr>
          <w:cantSplit/>
        </w:trPr>
        <w:tc>
          <w:tcPr>
            <w:tcW w:type="dxa" w:w="8617"/>
            <w:tcMar>
              <w:top w:w="20" w:type="dxa"/>
              <w:bottom w:w="20" w:type="dxa"/>
              <w:left w:w="220" w:type="dxa"/>
              <w:right w:w="40" w:type="dxa"/>
            </w:tcMar>
          </w:tcPr>
          <w:p>
            <w:r>
              <w:rPr>
                <w:rFonts w:ascii="Calibri" w:hAnsi="Calibri"/>
                <w:b w:val="0"/>
                <w:i w:val="0"/>
                <w:color w:val="222222"/>
                <w:sz w:val="18"/>
              </w:rPr>
              <w:t>2.1 Circuit Model and Theoretical Pre-Laboratory Formulation</w:t>
            </w:r>
          </w:p>
        </w:tc>
        <w:tc>
          <w:tcPr>
            <w:tcW w:type="dxa" w:w="1020"/>
            <w:tcMar>
              <w:top w:w="20" w:type="dxa"/>
              <w:bottom w:w="20" w:type="dxa"/>
              <w:left w:w="40" w:type="dxa"/>
              <w:right w:w="40" w:type="dxa"/>
            </w:tcMar>
          </w:tcPr>
          <w:p>
            <w:pPr>
              <w:jc w:val="right"/>
            </w:pPr>
            <w:r>
              <w:rPr>
                <w:rFonts w:ascii="Calibri" w:hAnsi="Calibri"/>
                <w:b w:val="0"/>
                <w:i w:val="0"/>
                <w:color w:val="111111"/>
                <w:sz w:val="18"/>
              </w:rPr>
              <w:t>5</w:t>
            </w:r>
          </w:p>
        </w:tc>
      </w:tr>
      <w:tr>
        <w:trPr>
          <w:cantSplit/>
        </w:trPr>
        <w:tc>
          <w:tcPr>
            <w:tcW w:type="dxa" w:w="8617"/>
            <w:tcMar>
              <w:top w:w="20" w:type="dxa"/>
              <w:bottom w:w="20" w:type="dxa"/>
              <w:left w:w="220" w:type="dxa"/>
              <w:right w:w="40" w:type="dxa"/>
            </w:tcMar>
          </w:tcPr>
          <w:p>
            <w:r>
              <w:rPr>
                <w:rFonts w:ascii="Calibri" w:hAnsi="Calibri"/>
                <w:b w:val="0"/>
                <w:i w:val="0"/>
                <w:color w:val="222222"/>
                <w:sz w:val="18"/>
              </w:rPr>
              <w:t>2.2 Apparatus and Circuit Configuration</w:t>
            </w:r>
          </w:p>
        </w:tc>
        <w:tc>
          <w:tcPr>
            <w:tcW w:type="dxa" w:w="1020"/>
            <w:tcMar>
              <w:top w:w="20" w:type="dxa"/>
              <w:bottom w:w="20" w:type="dxa"/>
              <w:left w:w="40" w:type="dxa"/>
              <w:right w:w="40" w:type="dxa"/>
            </w:tcMar>
          </w:tcPr>
          <w:p>
            <w:pPr>
              <w:jc w:val="right"/>
            </w:pPr>
            <w:r>
              <w:rPr>
                <w:rFonts w:ascii="Calibri" w:hAnsi="Calibri"/>
                <w:b w:val="0"/>
                <w:i w:val="0"/>
                <w:color w:val="111111"/>
                <w:sz w:val="18"/>
              </w:rPr>
              <w:t>6</w:t>
            </w:r>
          </w:p>
        </w:tc>
      </w:tr>
      <w:tr>
        <w:trPr>
          <w:cantSplit/>
        </w:trPr>
        <w:tc>
          <w:tcPr>
            <w:tcW w:type="dxa" w:w="8617"/>
            <w:tcMar>
              <w:top w:w="20" w:type="dxa"/>
              <w:bottom w:w="20" w:type="dxa"/>
              <w:left w:w="220" w:type="dxa"/>
              <w:right w:w="40" w:type="dxa"/>
            </w:tcMar>
          </w:tcPr>
          <w:p>
            <w:r>
              <w:rPr>
                <w:rFonts w:ascii="Calibri" w:hAnsi="Calibri"/>
                <w:b w:val="0"/>
                <w:i w:val="0"/>
                <w:color w:val="222222"/>
                <w:sz w:val="18"/>
              </w:rPr>
              <w:t>2.3 Experimental Procedure</w:t>
            </w:r>
          </w:p>
        </w:tc>
        <w:tc>
          <w:tcPr>
            <w:tcW w:type="dxa" w:w="1020"/>
            <w:tcMar>
              <w:top w:w="20" w:type="dxa"/>
              <w:bottom w:w="20" w:type="dxa"/>
              <w:left w:w="40" w:type="dxa"/>
              <w:right w:w="40" w:type="dxa"/>
            </w:tcMar>
          </w:tcPr>
          <w:p>
            <w:pPr>
              <w:jc w:val="right"/>
            </w:pPr>
            <w:r>
              <w:rPr>
                <w:rFonts w:ascii="Calibri" w:hAnsi="Calibri"/>
                <w:b w:val="0"/>
                <w:i w:val="0"/>
                <w:color w:val="111111"/>
                <w:sz w:val="18"/>
              </w:rPr>
              <w:t>7</w:t>
            </w:r>
          </w:p>
        </w:tc>
      </w:tr>
      <w:tr>
        <w:trPr>
          <w:cantSplit/>
        </w:trPr>
        <w:tc>
          <w:tcPr>
            <w:tcW w:type="dxa" w:w="8617"/>
            <w:tcMar>
              <w:top w:w="20" w:type="dxa"/>
              <w:bottom w:w="20" w:type="dxa"/>
              <w:left w:w="220" w:type="dxa"/>
              <w:right w:w="40" w:type="dxa"/>
            </w:tcMar>
          </w:tcPr>
          <w:p>
            <w:r>
              <w:rPr>
                <w:rFonts w:ascii="Calibri" w:hAnsi="Calibri"/>
                <w:b w:val="0"/>
                <w:i w:val="0"/>
                <w:color w:val="222222"/>
                <w:sz w:val="18"/>
              </w:rPr>
              <w:t>2.4 Modelling Assumptions and Justification</w:t>
            </w:r>
          </w:p>
        </w:tc>
        <w:tc>
          <w:tcPr>
            <w:tcW w:type="dxa" w:w="1020"/>
            <w:tcMar>
              <w:top w:w="20" w:type="dxa"/>
              <w:bottom w:w="20" w:type="dxa"/>
              <w:left w:w="40" w:type="dxa"/>
              <w:right w:w="40" w:type="dxa"/>
            </w:tcMar>
          </w:tcPr>
          <w:p>
            <w:pPr>
              <w:jc w:val="right"/>
            </w:pPr>
            <w:r>
              <w:rPr>
                <w:rFonts w:ascii="Calibri" w:hAnsi="Calibri"/>
                <w:b w:val="0"/>
                <w:i w:val="0"/>
                <w:color w:val="111111"/>
                <w:sz w:val="18"/>
              </w:rPr>
              <w:t>7</w:t>
            </w:r>
          </w:p>
        </w:tc>
      </w:tr>
      <w:tr>
        <w:trPr>
          <w:cantSplit/>
        </w:trPr>
        <w:tc>
          <w:tcPr>
            <w:tcW w:type="dxa" w:w="8617"/>
            <w:tcMar>
              <w:top w:w="20" w:type="dxa"/>
              <w:bottom w:w="20" w:type="dxa"/>
              <w:left w:w="40" w:type="dxa"/>
              <w:right w:w="40" w:type="dxa"/>
            </w:tcMar>
          </w:tcPr>
          <w:p>
            <w:r>
              <w:rPr>
                <w:rFonts w:ascii="Calibri" w:hAnsi="Calibri"/>
                <w:b/>
                <w:i w:val="0"/>
                <w:color w:val="1B365D"/>
                <w:sz w:val="19"/>
              </w:rPr>
              <w:t>3. Results</w:t>
            </w:r>
          </w:p>
        </w:tc>
        <w:tc>
          <w:tcPr>
            <w:tcW w:type="dxa" w:w="1020"/>
            <w:tcMar>
              <w:top w:w="20" w:type="dxa"/>
              <w:bottom w:w="20" w:type="dxa"/>
              <w:left w:w="40" w:type="dxa"/>
              <w:right w:w="40" w:type="dxa"/>
            </w:tcMar>
          </w:tcPr>
          <w:p>
            <w:pPr>
              <w:jc w:val="right"/>
            </w:pPr>
            <w:r>
              <w:rPr>
                <w:rFonts w:ascii="Calibri" w:hAnsi="Calibri"/>
                <w:b/>
                <w:i w:val="0"/>
                <w:color w:val="111111"/>
                <w:sz w:val="18"/>
              </w:rPr>
              <w:t>8</w:t>
            </w:r>
          </w:p>
        </w:tc>
      </w:tr>
      <w:tr>
        <w:trPr>
          <w:cantSplit/>
        </w:trPr>
        <w:tc>
          <w:tcPr>
            <w:tcW w:type="dxa" w:w="8617"/>
            <w:tcMar>
              <w:top w:w="20" w:type="dxa"/>
              <w:bottom w:w="20" w:type="dxa"/>
              <w:left w:w="220" w:type="dxa"/>
              <w:right w:w="40" w:type="dxa"/>
            </w:tcMar>
          </w:tcPr>
          <w:p>
            <w:r>
              <w:rPr>
                <w:rFonts w:ascii="Calibri" w:hAnsi="Calibri"/>
                <w:b w:val="0"/>
                <w:i w:val="0"/>
                <w:color w:val="222222"/>
                <w:sz w:val="18"/>
              </w:rPr>
              <w:t>3.1 Theoretical Frequency Response</w:t>
            </w:r>
          </w:p>
        </w:tc>
        <w:tc>
          <w:tcPr>
            <w:tcW w:type="dxa" w:w="1020"/>
            <w:tcMar>
              <w:top w:w="20" w:type="dxa"/>
              <w:bottom w:w="20" w:type="dxa"/>
              <w:left w:w="40" w:type="dxa"/>
              <w:right w:w="40" w:type="dxa"/>
            </w:tcMar>
          </w:tcPr>
          <w:p>
            <w:pPr>
              <w:jc w:val="right"/>
            </w:pPr>
            <w:r>
              <w:rPr>
                <w:rFonts w:ascii="Calibri" w:hAnsi="Calibri"/>
                <w:b w:val="0"/>
                <w:i w:val="0"/>
                <w:color w:val="111111"/>
                <w:sz w:val="18"/>
              </w:rPr>
              <w:t>8</w:t>
            </w:r>
          </w:p>
        </w:tc>
      </w:tr>
      <w:tr>
        <w:trPr>
          <w:cantSplit/>
        </w:trPr>
        <w:tc>
          <w:tcPr>
            <w:tcW w:type="dxa" w:w="8617"/>
            <w:tcMar>
              <w:top w:w="20" w:type="dxa"/>
              <w:bottom w:w="20" w:type="dxa"/>
              <w:left w:w="220" w:type="dxa"/>
              <w:right w:w="40" w:type="dxa"/>
            </w:tcMar>
          </w:tcPr>
          <w:p>
            <w:r>
              <w:rPr>
                <w:rFonts w:ascii="Calibri" w:hAnsi="Calibri"/>
                <w:b w:val="0"/>
                <w:i w:val="0"/>
                <w:color w:val="222222"/>
                <w:sz w:val="18"/>
              </w:rPr>
              <w:t>3.2 Predicted Response to Sinusoidal Inputs</w:t>
            </w:r>
          </w:p>
        </w:tc>
        <w:tc>
          <w:tcPr>
            <w:tcW w:type="dxa" w:w="1020"/>
            <w:tcMar>
              <w:top w:w="20" w:type="dxa"/>
              <w:bottom w:w="20" w:type="dxa"/>
              <w:left w:w="40" w:type="dxa"/>
              <w:right w:w="40" w:type="dxa"/>
            </w:tcMar>
          </w:tcPr>
          <w:p>
            <w:pPr>
              <w:jc w:val="right"/>
            </w:pPr>
            <w:r>
              <w:rPr>
                <w:rFonts w:ascii="Calibri" w:hAnsi="Calibri"/>
                <w:b w:val="0"/>
                <w:i w:val="0"/>
                <w:color w:val="111111"/>
                <w:sz w:val="18"/>
              </w:rPr>
              <w:t>9</w:t>
            </w:r>
          </w:p>
        </w:tc>
      </w:tr>
      <w:tr>
        <w:trPr>
          <w:cantSplit/>
        </w:trPr>
        <w:tc>
          <w:tcPr>
            <w:tcW w:type="dxa" w:w="8617"/>
            <w:tcMar>
              <w:top w:w="20" w:type="dxa"/>
              <w:bottom w:w="20" w:type="dxa"/>
              <w:left w:w="220" w:type="dxa"/>
              <w:right w:w="40" w:type="dxa"/>
            </w:tcMar>
          </w:tcPr>
          <w:p>
            <w:r>
              <w:rPr>
                <w:rFonts w:ascii="Calibri" w:hAnsi="Calibri"/>
                <w:b w:val="0"/>
                <w:i w:val="0"/>
                <w:color w:val="222222"/>
                <w:sz w:val="18"/>
              </w:rPr>
              <w:t>3.3 Predicted Response to an 8 kHz Square Wave</w:t>
            </w:r>
          </w:p>
        </w:tc>
        <w:tc>
          <w:tcPr>
            <w:tcW w:type="dxa" w:w="1020"/>
            <w:tcMar>
              <w:top w:w="20" w:type="dxa"/>
              <w:bottom w:w="20" w:type="dxa"/>
              <w:left w:w="40" w:type="dxa"/>
              <w:right w:w="40" w:type="dxa"/>
            </w:tcMar>
          </w:tcPr>
          <w:p>
            <w:pPr>
              <w:jc w:val="right"/>
            </w:pPr>
            <w:r>
              <w:rPr>
                <w:rFonts w:ascii="Calibri" w:hAnsi="Calibri"/>
                <w:b w:val="0"/>
                <w:i w:val="0"/>
                <w:color w:val="111111"/>
                <w:sz w:val="18"/>
              </w:rPr>
              <w:t>9</w:t>
            </w:r>
          </w:p>
        </w:tc>
      </w:tr>
      <w:tr>
        <w:trPr>
          <w:cantSplit/>
        </w:trPr>
        <w:tc>
          <w:tcPr>
            <w:tcW w:type="dxa" w:w="8617"/>
            <w:tcMar>
              <w:top w:w="20" w:type="dxa"/>
              <w:bottom w:w="20" w:type="dxa"/>
              <w:left w:w="220" w:type="dxa"/>
              <w:right w:w="40" w:type="dxa"/>
            </w:tcMar>
          </w:tcPr>
          <w:p>
            <w:r>
              <w:rPr>
                <w:rFonts w:ascii="Calibri" w:hAnsi="Calibri"/>
                <w:b w:val="0"/>
                <w:i w:val="0"/>
                <w:color w:val="222222"/>
                <w:sz w:val="18"/>
              </w:rPr>
              <w:t>3.4 Experimental Time-Domain Sinusoidal Measurements</w:t>
            </w:r>
          </w:p>
        </w:tc>
        <w:tc>
          <w:tcPr>
            <w:tcW w:type="dxa" w:w="1020"/>
            <w:tcMar>
              <w:top w:w="20" w:type="dxa"/>
              <w:bottom w:w="20" w:type="dxa"/>
              <w:left w:w="40" w:type="dxa"/>
              <w:right w:w="40" w:type="dxa"/>
            </w:tcMar>
          </w:tcPr>
          <w:p>
            <w:pPr>
              <w:jc w:val="right"/>
            </w:pPr>
            <w:r>
              <w:rPr>
                <w:rFonts w:ascii="Calibri" w:hAnsi="Calibri"/>
                <w:b w:val="0"/>
                <w:i w:val="0"/>
                <w:color w:val="111111"/>
                <w:sz w:val="18"/>
              </w:rPr>
              <w:t>11</w:t>
            </w:r>
          </w:p>
        </w:tc>
      </w:tr>
      <w:tr>
        <w:trPr>
          <w:cantSplit/>
        </w:trPr>
        <w:tc>
          <w:tcPr>
            <w:tcW w:type="dxa" w:w="8617"/>
            <w:tcMar>
              <w:top w:w="20" w:type="dxa"/>
              <w:bottom w:w="20" w:type="dxa"/>
              <w:left w:w="220" w:type="dxa"/>
              <w:right w:w="40" w:type="dxa"/>
            </w:tcMar>
          </w:tcPr>
          <w:p>
            <w:r>
              <w:rPr>
                <w:rFonts w:ascii="Calibri" w:hAnsi="Calibri"/>
                <w:b w:val="0"/>
                <w:i w:val="0"/>
                <w:color w:val="222222"/>
                <w:sz w:val="18"/>
              </w:rPr>
              <w:t>3.5 Experimental Frequency-Domain Sinusoidal Measurements</w:t>
            </w:r>
          </w:p>
        </w:tc>
        <w:tc>
          <w:tcPr>
            <w:tcW w:type="dxa" w:w="1020"/>
            <w:tcMar>
              <w:top w:w="20" w:type="dxa"/>
              <w:bottom w:w="20" w:type="dxa"/>
              <w:left w:w="40" w:type="dxa"/>
              <w:right w:w="40" w:type="dxa"/>
            </w:tcMar>
          </w:tcPr>
          <w:p>
            <w:pPr>
              <w:jc w:val="right"/>
            </w:pPr>
            <w:r>
              <w:rPr>
                <w:rFonts w:ascii="Calibri" w:hAnsi="Calibri"/>
                <w:b w:val="0"/>
                <w:i w:val="0"/>
                <w:color w:val="111111"/>
                <w:sz w:val="18"/>
              </w:rPr>
              <w:t>12</w:t>
            </w:r>
          </w:p>
        </w:tc>
      </w:tr>
      <w:tr>
        <w:trPr>
          <w:cantSplit/>
        </w:trPr>
        <w:tc>
          <w:tcPr>
            <w:tcW w:type="dxa" w:w="8617"/>
            <w:tcMar>
              <w:top w:w="20" w:type="dxa"/>
              <w:bottom w:w="20" w:type="dxa"/>
              <w:left w:w="220" w:type="dxa"/>
              <w:right w:w="40" w:type="dxa"/>
            </w:tcMar>
          </w:tcPr>
          <w:p>
            <w:r>
              <w:rPr>
                <w:rFonts w:ascii="Calibri" w:hAnsi="Calibri"/>
                <w:b w:val="0"/>
                <w:i w:val="0"/>
                <w:color w:val="222222"/>
                <w:sz w:val="18"/>
              </w:rPr>
              <w:t>3.6 Experimental Square-Wave Time and FFT Measurements</w:t>
            </w:r>
          </w:p>
        </w:tc>
        <w:tc>
          <w:tcPr>
            <w:tcW w:type="dxa" w:w="1020"/>
            <w:tcMar>
              <w:top w:w="20" w:type="dxa"/>
              <w:bottom w:w="20" w:type="dxa"/>
              <w:left w:w="40" w:type="dxa"/>
              <w:right w:w="40" w:type="dxa"/>
            </w:tcMar>
          </w:tcPr>
          <w:p>
            <w:pPr>
              <w:jc w:val="right"/>
            </w:pPr>
            <w:r>
              <w:rPr>
                <w:rFonts w:ascii="Calibri" w:hAnsi="Calibri"/>
                <w:b w:val="0"/>
                <w:i w:val="0"/>
                <w:color w:val="111111"/>
                <w:sz w:val="18"/>
              </w:rPr>
              <w:t>12</w:t>
            </w:r>
          </w:p>
        </w:tc>
      </w:tr>
      <w:tr>
        <w:trPr>
          <w:cantSplit/>
        </w:trPr>
        <w:tc>
          <w:tcPr>
            <w:tcW w:type="dxa" w:w="8617"/>
            <w:tcMar>
              <w:top w:w="20" w:type="dxa"/>
              <w:bottom w:w="20" w:type="dxa"/>
              <w:left w:w="40" w:type="dxa"/>
              <w:right w:w="40" w:type="dxa"/>
            </w:tcMar>
          </w:tcPr>
          <w:p>
            <w:r>
              <w:rPr>
                <w:rFonts w:ascii="Calibri" w:hAnsi="Calibri"/>
                <w:b/>
                <w:i w:val="0"/>
                <w:color w:val="1B365D"/>
                <w:sz w:val="19"/>
              </w:rPr>
              <w:t>4. Discussion</w:t>
            </w:r>
          </w:p>
        </w:tc>
        <w:tc>
          <w:tcPr>
            <w:tcW w:type="dxa" w:w="1020"/>
            <w:tcMar>
              <w:top w:w="20" w:type="dxa"/>
              <w:bottom w:w="20" w:type="dxa"/>
              <w:left w:w="40" w:type="dxa"/>
              <w:right w:w="40" w:type="dxa"/>
            </w:tcMar>
          </w:tcPr>
          <w:p>
            <w:pPr>
              <w:jc w:val="right"/>
            </w:pPr>
            <w:r>
              <w:rPr>
                <w:rFonts w:ascii="Calibri" w:hAnsi="Calibri"/>
                <w:b/>
                <w:i w:val="0"/>
                <w:color w:val="111111"/>
                <w:sz w:val="18"/>
              </w:rPr>
              <w:t>14</w:t>
            </w:r>
          </w:p>
        </w:tc>
      </w:tr>
      <w:tr>
        <w:trPr>
          <w:cantSplit/>
        </w:trPr>
        <w:tc>
          <w:tcPr>
            <w:tcW w:type="dxa" w:w="8617"/>
            <w:tcMar>
              <w:top w:w="20" w:type="dxa"/>
              <w:bottom w:w="20" w:type="dxa"/>
              <w:left w:w="220" w:type="dxa"/>
              <w:right w:w="40" w:type="dxa"/>
            </w:tcMar>
          </w:tcPr>
          <w:p>
            <w:r>
              <w:rPr>
                <w:rFonts w:ascii="Calibri" w:hAnsi="Calibri"/>
                <w:b w:val="0"/>
                <w:i w:val="0"/>
                <w:color w:val="222222"/>
                <w:sz w:val="18"/>
              </w:rPr>
              <w:t>4.1 Filter Classification, −3 dB Meaning, and Cut-Off Frequency</w:t>
            </w:r>
          </w:p>
        </w:tc>
        <w:tc>
          <w:tcPr>
            <w:tcW w:type="dxa" w:w="1020"/>
            <w:tcMar>
              <w:top w:w="20" w:type="dxa"/>
              <w:bottom w:w="20" w:type="dxa"/>
              <w:left w:w="40" w:type="dxa"/>
              <w:right w:w="40" w:type="dxa"/>
            </w:tcMar>
          </w:tcPr>
          <w:p>
            <w:pPr>
              <w:jc w:val="right"/>
            </w:pPr>
            <w:r>
              <w:rPr>
                <w:rFonts w:ascii="Calibri" w:hAnsi="Calibri"/>
                <w:b w:val="0"/>
                <w:i w:val="0"/>
                <w:color w:val="111111"/>
                <w:sz w:val="18"/>
              </w:rPr>
              <w:t>14</w:t>
            </w:r>
          </w:p>
        </w:tc>
      </w:tr>
      <w:tr>
        <w:trPr>
          <w:cantSplit/>
        </w:trPr>
        <w:tc>
          <w:tcPr>
            <w:tcW w:type="dxa" w:w="8617"/>
            <w:tcMar>
              <w:top w:w="20" w:type="dxa"/>
              <w:bottom w:w="20" w:type="dxa"/>
              <w:left w:w="220" w:type="dxa"/>
              <w:right w:w="40" w:type="dxa"/>
            </w:tcMar>
          </w:tcPr>
          <w:p>
            <w:r>
              <w:rPr>
                <w:rFonts w:ascii="Calibri" w:hAnsi="Calibri"/>
                <w:b w:val="0"/>
                <w:i w:val="0"/>
                <w:color w:val="222222"/>
                <w:sz w:val="18"/>
              </w:rPr>
              <w:t>4.2 Time-Domain and Frequency-Domain Duality</w:t>
            </w:r>
          </w:p>
        </w:tc>
        <w:tc>
          <w:tcPr>
            <w:tcW w:type="dxa" w:w="1020"/>
            <w:tcMar>
              <w:top w:w="20" w:type="dxa"/>
              <w:bottom w:w="20" w:type="dxa"/>
              <w:left w:w="40" w:type="dxa"/>
              <w:right w:w="40" w:type="dxa"/>
            </w:tcMar>
          </w:tcPr>
          <w:p>
            <w:pPr>
              <w:jc w:val="right"/>
            </w:pPr>
            <w:r>
              <w:rPr>
                <w:rFonts w:ascii="Calibri" w:hAnsi="Calibri"/>
                <w:b w:val="0"/>
                <w:i w:val="0"/>
                <w:color w:val="111111"/>
                <w:sz w:val="18"/>
              </w:rPr>
              <w:t>14</w:t>
            </w:r>
          </w:p>
        </w:tc>
      </w:tr>
      <w:tr>
        <w:trPr>
          <w:cantSplit/>
        </w:trPr>
        <w:tc>
          <w:tcPr>
            <w:tcW w:type="dxa" w:w="8617"/>
            <w:tcMar>
              <w:top w:w="20" w:type="dxa"/>
              <w:bottom w:w="20" w:type="dxa"/>
              <w:left w:w="220" w:type="dxa"/>
              <w:right w:w="40" w:type="dxa"/>
            </w:tcMar>
          </w:tcPr>
          <w:p>
            <w:r>
              <w:rPr>
                <w:rFonts w:ascii="Calibri" w:hAnsi="Calibri"/>
                <w:b w:val="0"/>
                <w:i w:val="0"/>
                <w:color w:val="222222"/>
                <w:sz w:val="18"/>
              </w:rPr>
              <w:t>4.3 Quantitative Comparison Across All Three Experimental Parts</w:t>
            </w:r>
          </w:p>
        </w:tc>
        <w:tc>
          <w:tcPr>
            <w:tcW w:type="dxa" w:w="1020"/>
            <w:tcMar>
              <w:top w:w="20" w:type="dxa"/>
              <w:bottom w:w="20" w:type="dxa"/>
              <w:left w:w="40" w:type="dxa"/>
              <w:right w:w="40" w:type="dxa"/>
            </w:tcMar>
          </w:tcPr>
          <w:p>
            <w:pPr>
              <w:jc w:val="right"/>
            </w:pPr>
            <w:r>
              <w:rPr>
                <w:rFonts w:ascii="Calibri" w:hAnsi="Calibri"/>
                <w:b w:val="0"/>
                <w:i w:val="0"/>
                <w:color w:val="111111"/>
                <w:sz w:val="18"/>
              </w:rPr>
              <w:t>15</w:t>
            </w:r>
          </w:p>
        </w:tc>
      </w:tr>
      <w:tr>
        <w:trPr>
          <w:cantSplit/>
        </w:trPr>
        <w:tc>
          <w:tcPr>
            <w:tcW w:type="dxa" w:w="8617"/>
            <w:tcMar>
              <w:top w:w="20" w:type="dxa"/>
              <w:bottom w:w="20" w:type="dxa"/>
              <w:left w:w="220" w:type="dxa"/>
              <w:right w:w="40" w:type="dxa"/>
            </w:tcMar>
          </w:tcPr>
          <w:p>
            <w:r>
              <w:rPr>
                <w:rFonts w:ascii="Calibri" w:hAnsi="Calibri"/>
                <w:b w:val="0"/>
                <w:i w:val="0"/>
                <w:color w:val="222222"/>
                <w:sz w:val="18"/>
              </w:rPr>
              <w:t>4.4 Mechanism of Square-Wave Shaping and Engineering Applications</w:t>
            </w:r>
          </w:p>
        </w:tc>
        <w:tc>
          <w:tcPr>
            <w:tcW w:type="dxa" w:w="1020"/>
            <w:tcMar>
              <w:top w:w="20" w:type="dxa"/>
              <w:bottom w:w="20" w:type="dxa"/>
              <w:left w:w="40" w:type="dxa"/>
              <w:right w:w="40" w:type="dxa"/>
            </w:tcMar>
          </w:tcPr>
          <w:p>
            <w:pPr>
              <w:jc w:val="right"/>
            </w:pPr>
            <w:r>
              <w:rPr>
                <w:rFonts w:ascii="Calibri" w:hAnsi="Calibri"/>
                <w:b w:val="0"/>
                <w:i w:val="0"/>
                <w:color w:val="111111"/>
                <w:sz w:val="18"/>
              </w:rPr>
              <w:t>15</w:t>
            </w:r>
          </w:p>
        </w:tc>
      </w:tr>
      <w:tr>
        <w:trPr>
          <w:cantSplit/>
        </w:trPr>
        <w:tc>
          <w:tcPr>
            <w:tcW w:type="dxa" w:w="8617"/>
            <w:tcMar>
              <w:top w:w="20" w:type="dxa"/>
              <w:bottom w:w="20" w:type="dxa"/>
              <w:left w:w="220" w:type="dxa"/>
              <w:right w:w="40" w:type="dxa"/>
            </w:tcMar>
          </w:tcPr>
          <w:p>
            <w:r>
              <w:rPr>
                <w:rFonts w:ascii="Calibri" w:hAnsi="Calibri"/>
                <w:b w:val="0"/>
                <w:i w:val="0"/>
                <w:color w:val="222222"/>
                <w:sz w:val="18"/>
              </w:rPr>
              <w:t>4.5 Experimental Limitations and Recommended Improvements</w:t>
            </w:r>
          </w:p>
        </w:tc>
        <w:tc>
          <w:tcPr>
            <w:tcW w:type="dxa" w:w="1020"/>
            <w:tcMar>
              <w:top w:w="20" w:type="dxa"/>
              <w:bottom w:w="20" w:type="dxa"/>
              <w:left w:w="40" w:type="dxa"/>
              <w:right w:w="40" w:type="dxa"/>
            </w:tcMar>
          </w:tcPr>
          <w:p>
            <w:pPr>
              <w:jc w:val="right"/>
            </w:pPr>
            <w:r>
              <w:rPr>
                <w:rFonts w:ascii="Calibri" w:hAnsi="Calibri"/>
                <w:b w:val="0"/>
                <w:i w:val="0"/>
                <w:color w:val="111111"/>
                <w:sz w:val="18"/>
              </w:rPr>
              <w:t>15</w:t>
            </w:r>
          </w:p>
        </w:tc>
      </w:tr>
      <w:tr>
        <w:trPr>
          <w:cantSplit/>
        </w:trPr>
        <w:tc>
          <w:tcPr>
            <w:tcW w:type="dxa" w:w="8617"/>
            <w:tcMar>
              <w:top w:w="20" w:type="dxa"/>
              <w:bottom w:w="20" w:type="dxa"/>
              <w:left w:w="40" w:type="dxa"/>
              <w:right w:w="40" w:type="dxa"/>
            </w:tcMar>
          </w:tcPr>
          <w:p>
            <w:r>
              <w:rPr>
                <w:rFonts w:ascii="Calibri" w:hAnsi="Calibri"/>
                <w:b/>
                <w:i w:val="0"/>
                <w:color w:val="1B365D"/>
                <w:sz w:val="19"/>
              </w:rPr>
              <w:t>5. Conclusion</w:t>
            </w:r>
          </w:p>
        </w:tc>
        <w:tc>
          <w:tcPr>
            <w:tcW w:type="dxa" w:w="1020"/>
            <w:tcMar>
              <w:top w:w="20" w:type="dxa"/>
              <w:bottom w:w="20" w:type="dxa"/>
              <w:left w:w="40" w:type="dxa"/>
              <w:right w:w="40" w:type="dxa"/>
            </w:tcMar>
          </w:tcPr>
          <w:p>
            <w:pPr>
              <w:jc w:val="right"/>
            </w:pPr>
            <w:r>
              <w:rPr>
                <w:rFonts w:ascii="Calibri" w:hAnsi="Calibri"/>
                <w:b/>
                <w:i w:val="0"/>
                <w:color w:val="111111"/>
                <w:sz w:val="18"/>
              </w:rPr>
              <w:t>16</w:t>
            </w:r>
          </w:p>
        </w:tc>
      </w:tr>
      <w:tr>
        <w:trPr>
          <w:cantSplit/>
        </w:trPr>
        <w:tc>
          <w:tcPr>
            <w:tcW w:type="dxa" w:w="8617"/>
            <w:tcMar>
              <w:top w:w="20" w:type="dxa"/>
              <w:bottom w:w="20" w:type="dxa"/>
              <w:left w:w="40" w:type="dxa"/>
              <w:right w:w="40" w:type="dxa"/>
            </w:tcMar>
          </w:tcPr>
          <w:p>
            <w:r>
              <w:rPr>
                <w:rFonts w:ascii="Calibri" w:hAnsi="Calibri"/>
                <w:b/>
                <w:i w:val="0"/>
                <w:color w:val="1B365D"/>
                <w:sz w:val="19"/>
              </w:rPr>
              <w:t>References</w:t>
            </w:r>
          </w:p>
        </w:tc>
        <w:tc>
          <w:tcPr>
            <w:tcW w:type="dxa" w:w="1020"/>
            <w:tcMar>
              <w:top w:w="20" w:type="dxa"/>
              <w:bottom w:w="20" w:type="dxa"/>
              <w:left w:w="40" w:type="dxa"/>
              <w:right w:w="40" w:type="dxa"/>
            </w:tcMar>
          </w:tcPr>
          <w:p>
            <w:pPr>
              <w:jc w:val="right"/>
            </w:pPr>
            <w:r>
              <w:rPr>
                <w:rFonts w:ascii="Calibri" w:hAnsi="Calibri"/>
                <w:b/>
                <w:i w:val="0"/>
                <w:color w:val="111111"/>
                <w:sz w:val="18"/>
              </w:rPr>
              <w:t>16</w:t>
            </w:r>
          </w:p>
        </w:tc>
      </w:tr>
      <w:tr>
        <w:trPr>
          <w:cantSplit/>
        </w:trPr>
        <w:tc>
          <w:tcPr>
            <w:tcW w:type="dxa" w:w="8617"/>
            <w:tcMar>
              <w:top w:w="20" w:type="dxa"/>
              <w:bottom w:w="20" w:type="dxa"/>
              <w:left w:w="40" w:type="dxa"/>
              <w:right w:w="40" w:type="dxa"/>
            </w:tcMar>
          </w:tcPr>
          <w:p>
            <w:r>
              <w:rPr>
                <w:rFonts w:ascii="Calibri" w:hAnsi="Calibri"/>
                <w:b/>
                <w:i w:val="0"/>
                <w:color w:val="1B365D"/>
                <w:sz w:val="19"/>
              </w:rPr>
              <w:t>Acknowledgement of AI Use</w:t>
            </w:r>
          </w:p>
        </w:tc>
        <w:tc>
          <w:tcPr>
            <w:tcW w:type="dxa" w:w="1020"/>
            <w:tcMar>
              <w:top w:w="20" w:type="dxa"/>
              <w:bottom w:w="20" w:type="dxa"/>
              <w:left w:w="40" w:type="dxa"/>
              <w:right w:w="40" w:type="dxa"/>
            </w:tcMar>
          </w:tcPr>
          <w:p>
            <w:pPr>
              <w:jc w:val="right"/>
            </w:pPr>
            <w:r>
              <w:rPr>
                <w:rFonts w:ascii="Calibri" w:hAnsi="Calibri"/>
                <w:b/>
                <w:i w:val="0"/>
                <w:color w:val="111111"/>
                <w:sz w:val="18"/>
              </w:rPr>
              <w:t>16</w:t>
            </w:r>
          </w:p>
        </w:tc>
      </w:tr>
    </w:tbl>
    <w:p>
      <w:r>
        <w:br w:type="page"/>
      </w:r>
    </w:p>
    <w:p>
      <w:pPr>
        <w:pStyle w:val="Heading1"/>
        <w:keepNext/>
        <w:spacing w:before="240" w:after="80"/>
      </w:pPr>
      <w:r>
        <w:rPr>
          <w:rFonts w:ascii="Calibri" w:hAnsi="Calibri"/>
          <w:b/>
          <w:i w:val="0"/>
          <w:color w:val="1B365D"/>
          <w:sz w:val="26"/>
        </w:rPr>
        <w:t>1. Introduction</w:t>
      </w:r>
    </w:p>
    <w:p>
      <w:pPr>
        <w:spacing w:after="100" w:line="276" w:lineRule="auto"/>
        <w:jc w:val="both"/>
      </w:pPr>
      <w:r>
        <w:rPr>
          <w:rFonts w:ascii="Calibri" w:hAnsi="Calibri"/>
          <w:b w:val="0"/>
          <w:i w:val="0"/>
          <w:color w:val="111111"/>
          <w:sz w:val="20"/>
        </w:rPr>
        <w:t xml:space="preserve">Linear time-invariant (LTI) systems form the analytical backbone of modern signal processing, telecommunications, control engineering, and electronic instrumentation (Oppenheim et al., 1997). A defining mathematical property of any continuous-time LTI system is that complex exponential signals of the form </w:t>
      </w:r>
      <w:r>
        <w:rPr>
          <w:rFonts w:ascii="Calibri" w:hAnsi="Calibri"/>
          <w:b w:val="0"/>
          <w:i/>
          <w:color w:val="111111"/>
          <w:sz w:val="20"/>
        </w:rPr>
        <w:t>e</w:t>
      </w:r>
      <w:r>
        <w:rPr>
          <w:rFonts w:ascii="Calibri" w:hAnsi="Calibri"/>
          <w:b w:val="0"/>
          <w:i/>
          <w:color w:val="111111"/>
          <w:sz w:val="20"/>
          <w:vertAlign w:val="superscript"/>
        </w:rPr>
        <w:t>st</w:t>
      </w:r>
      <w:r>
        <w:rPr>
          <w:rFonts w:ascii="Calibri" w:hAnsi="Calibri"/>
          <w:b w:val="0"/>
          <w:i w:val="0"/>
          <w:color w:val="111111"/>
          <w:sz w:val="20"/>
        </w:rPr>
        <w:t xml:space="preserve"> act as eigenfunctions: applying </w:t>
      </w:r>
      <w:r>
        <w:rPr>
          <w:rFonts w:ascii="Calibri" w:hAnsi="Calibri"/>
          <w:b w:val="0"/>
          <w:i/>
          <w:color w:val="111111"/>
          <w:sz w:val="20"/>
        </w:rPr>
        <w:t>e</w:t>
      </w:r>
      <w:r>
        <w:rPr>
          <w:rFonts w:ascii="Calibri" w:hAnsi="Calibri"/>
          <w:b w:val="0"/>
          <w:i/>
          <w:color w:val="111111"/>
          <w:sz w:val="20"/>
          <w:vertAlign w:val="superscript"/>
        </w:rPr>
        <w:t>st</w:t>
      </w:r>
      <w:r>
        <w:rPr>
          <w:rFonts w:ascii="Calibri" w:hAnsi="Calibri"/>
          <w:b w:val="0"/>
          <w:i w:val="0"/>
          <w:color w:val="111111"/>
          <w:sz w:val="20"/>
        </w:rPr>
        <w:t xml:space="preserve"> at the system input produces the identical exponential at the output scaled by a complex transfer factor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s</w:t>
      </w:r>
      <w:r>
        <w:rPr>
          <w:rFonts w:ascii="Calibri" w:hAnsi="Calibri"/>
          <w:b w:val="0"/>
          <w:i w:val="0"/>
          <w:color w:val="111111"/>
          <w:sz w:val="20"/>
        </w:rPr>
        <w:t>) (Lathi &amp; Green, 2018). Evaluating this transfer factor along the imaginary axis (</w:t>
      </w:r>
      <w:r>
        <w:rPr>
          <w:rFonts w:ascii="Calibri" w:hAnsi="Calibri"/>
          <w:b w:val="0"/>
          <w:i/>
          <w:color w:val="111111"/>
          <w:sz w:val="20"/>
        </w:rPr>
        <w:t>s</w:t>
      </w:r>
      <w:r>
        <w:rPr>
          <w:rFonts w:ascii="Calibri" w:hAnsi="Calibri"/>
          <w:b w:val="0"/>
          <w:i w:val="0"/>
          <w:color w:val="111111"/>
          <w:sz w:val="20"/>
        </w:rPr>
        <w:t xml:space="preserve"> = </w:t>
      </w:r>
      <w:r>
        <w:rPr>
          <w:rFonts w:ascii="Calibri" w:hAnsi="Calibri"/>
          <w:b w:val="0"/>
          <w:i/>
          <w:color w:val="111111"/>
          <w:sz w:val="20"/>
        </w:rPr>
        <w:t>j</w:t>
      </w:r>
      <w:r>
        <w:rPr>
          <w:rFonts w:ascii="Calibri" w:hAnsi="Calibri"/>
          <w:b w:val="0"/>
          <w:i w:val="0"/>
          <w:color w:val="111111"/>
          <w:sz w:val="20"/>
        </w:rPr>
        <w:t xml:space="preserve">ω) yields the continuous-time frequency response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whose magnitude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quantifies the steady-state amplitude gain imposed on a sinusoid of angular frequency ω and whose angle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specifies the corresponding phase shift (Edith Cowan University School of Engineering [ECU], 2026a).</w:t>
      </w:r>
    </w:p>
    <w:p>
      <w:pPr>
        <w:spacing w:after="100" w:line="276" w:lineRule="auto"/>
        <w:jc w:val="both"/>
      </w:pPr>
      <w:r>
        <w:rPr>
          <w:rFonts w:ascii="Calibri" w:hAnsi="Calibri"/>
          <w:b w:val="0"/>
          <w:i w:val="0"/>
          <w:color w:val="111111"/>
          <w:sz w:val="20"/>
        </w:rPr>
        <w:t xml:space="preserve">By Fourier’s theorem, any practical periodic waveform of fundamental frequency </w:t>
      </w:r>
      <w:r>
        <w:rPr>
          <w:rFonts w:ascii="Calibri" w:hAnsi="Calibri"/>
          <w:b w:val="0"/>
          <w:i/>
          <w:color w:val="111111"/>
          <w:sz w:val="20"/>
        </w:rPr>
        <w:t>f</w:t>
      </w:r>
      <w:r>
        <w:rPr>
          <w:rFonts w:ascii="Calibri" w:hAnsi="Calibri"/>
          <w:b w:val="0"/>
          <w:i w:val="0"/>
          <w:color w:val="111111"/>
          <w:sz w:val="20"/>
          <w:vertAlign w:val="subscript"/>
        </w:rPr>
        <w:t>0</w:t>
      </w:r>
      <w:r>
        <w:rPr>
          <w:rFonts w:ascii="Calibri" w:hAnsi="Calibri"/>
          <w:b w:val="0"/>
          <w:i w:val="0"/>
          <w:color w:val="111111"/>
          <w:sz w:val="20"/>
        </w:rPr>
        <w:t xml:space="preserve"> = ω</w:t>
      </w:r>
      <w:r>
        <w:rPr>
          <w:rFonts w:ascii="Calibri" w:hAnsi="Calibri"/>
          <w:b w:val="0"/>
          <w:i w:val="0"/>
          <w:color w:val="111111"/>
          <w:sz w:val="20"/>
          <w:vertAlign w:val="subscript"/>
        </w:rPr>
        <w:t>0</w:t>
      </w:r>
      <w:r>
        <w:rPr>
          <w:rFonts w:ascii="Calibri" w:hAnsi="Calibri"/>
          <w:b w:val="0"/>
          <w:i w:val="0"/>
          <w:color w:val="111111"/>
          <w:sz w:val="20"/>
        </w:rPr>
        <w:t xml:space="preserve"> / (2π) can be decomposed into a superposition of harmonically related sinusoids at integer multiples </w:t>
      </w:r>
      <w:r>
        <w:rPr>
          <w:rFonts w:ascii="Calibri" w:hAnsi="Calibri"/>
          <w:b w:val="0"/>
          <w:i/>
          <w:color w:val="111111"/>
          <w:sz w:val="20"/>
        </w:rPr>
        <w:t>nf</w:t>
      </w:r>
      <w:r>
        <w:rPr>
          <w:rFonts w:ascii="Calibri" w:hAnsi="Calibri"/>
          <w:b w:val="0"/>
          <w:i w:val="0"/>
          <w:color w:val="111111"/>
          <w:sz w:val="20"/>
          <w:vertAlign w:val="subscript"/>
        </w:rPr>
        <w:t>0</w:t>
      </w:r>
      <w:r>
        <w:rPr>
          <w:rFonts w:ascii="Calibri" w:hAnsi="Calibri"/>
          <w:b w:val="0"/>
          <w:i w:val="0"/>
          <w:color w:val="111111"/>
          <w:sz w:val="20"/>
        </w:rPr>
        <w:t xml:space="preserve"> (Oppenheim et al., 1997). Superposition in an LTI system guarantees that each input harmonic is scaled independently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and phase-shifted by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jn</w:t>
      </w:r>
      <w:r>
        <w:rPr>
          <w:rFonts w:ascii="Calibri" w:hAnsi="Calibri"/>
          <w:b w:val="0"/>
          <w:i w:val="0"/>
          <w:color w:val="111111"/>
          <w:sz w:val="20"/>
        </w:rPr>
        <w:t>ω</w:t>
      </w:r>
      <w:r>
        <w:rPr>
          <w:rFonts w:ascii="Calibri" w:hAnsi="Calibri"/>
          <w:b w:val="0"/>
          <w:i w:val="0"/>
          <w:color w:val="111111"/>
          <w:sz w:val="20"/>
          <w:vertAlign w:val="subscript"/>
        </w:rPr>
        <w:t>0</w:t>
      </w:r>
      <w:r>
        <w:rPr>
          <w:rFonts w:ascii="Calibri" w:hAnsi="Calibri"/>
          <w:b w:val="0"/>
          <w:i w:val="0"/>
          <w:color w:val="111111"/>
          <w:sz w:val="20"/>
        </w:rPr>
        <w:t>) without generating any new spectral frequencies (ECU, 2026a). Selective attenuation of undesired frequency bands—filtering—underpins critical real-world applications including anti-aliasing pre-filters ahead of analogue-to-digital converters (ADCs), pulse-width-modulation (PWM) digital-to-analogue reconstruction, biomedical sensor noise rejection, and audio crossover networks (Horowitz &amp; Hill, 2015).</w:t>
      </w:r>
    </w:p>
    <w:p>
      <w:pPr>
        <w:spacing w:after="100" w:line="276" w:lineRule="auto"/>
        <w:jc w:val="both"/>
      </w:pPr>
      <w:r>
        <w:rPr>
          <w:rFonts w:ascii="Calibri" w:hAnsi="Calibri"/>
          <w:b w:val="0"/>
          <w:i w:val="0"/>
          <w:color w:val="111111"/>
          <w:sz w:val="20"/>
        </w:rPr>
        <w:t>The canonical hardware realisation of a continuous-time low-pass filter is a first-order series resistor–capacitor (RC) network with the output voltage measured across the capacitor. At low frequencies the capacitor’s reactance 1/(ω</w:t>
      </w:r>
      <w:r>
        <w:rPr>
          <w:rFonts w:ascii="Calibri" w:hAnsi="Calibri"/>
          <w:b w:val="0"/>
          <w:i/>
          <w:color w:val="111111"/>
          <w:sz w:val="20"/>
        </w:rPr>
        <w:t>C</w:t>
      </w:r>
      <w:r>
        <w:rPr>
          <w:rFonts w:ascii="Calibri" w:hAnsi="Calibri"/>
          <w:b w:val="0"/>
          <w:i w:val="0"/>
          <w:color w:val="111111"/>
          <w:sz w:val="20"/>
        </w:rPr>
        <w:t xml:space="preserve">) far exceeds the series resistance </w:t>
      </w:r>
      <w:r>
        <w:rPr>
          <w:rFonts w:ascii="Calibri" w:hAnsi="Calibri"/>
          <w:b w:val="0"/>
          <w:i/>
          <w:color w:val="111111"/>
          <w:sz w:val="20"/>
        </w:rPr>
        <w:t>R</w:t>
      </w:r>
      <w:r>
        <w:rPr>
          <w:rFonts w:ascii="Calibri" w:hAnsi="Calibri"/>
          <w:b w:val="0"/>
          <w:i w:val="0"/>
          <w:color w:val="111111"/>
          <w:sz w:val="20"/>
        </w:rPr>
        <w:t xml:space="preserve">, passing signals with near-unity gain, whereas at high frequencies the capacitor shunts signal current to ground, rolling off the output at −20 dB/decade above the −3 dB half-power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1/(2π</w:t>
      </w:r>
      <w:r>
        <w:rPr>
          <w:rFonts w:ascii="Calibri" w:hAnsi="Calibri"/>
          <w:b w:val="0"/>
          <w:i/>
          <w:color w:val="111111"/>
          <w:sz w:val="20"/>
        </w:rPr>
        <w:t>RC</w:t>
      </w:r>
      <w:r>
        <w:rPr>
          <w:rFonts w:ascii="Calibri" w:hAnsi="Calibri"/>
          <w:b w:val="0"/>
          <w:i w:val="0"/>
          <w:color w:val="111111"/>
          <w:sz w:val="20"/>
        </w:rPr>
        <w:t>) (Horowitz &amp; Hill, 2015; Lathi &amp; Green, 2018). Combining time-domain waveform measurements with digital storage oscilloscope fast Fourier transform (FFT) spectral analysis bridges abstract differential-equation theory and observable hardware behaviour.</w:t>
      </w:r>
    </w:p>
    <w:p>
      <w:pPr>
        <w:spacing w:after="100" w:line="276" w:lineRule="auto"/>
        <w:jc w:val="both"/>
      </w:pPr>
      <w:r>
        <w:rPr>
          <w:rFonts w:ascii="Calibri" w:hAnsi="Calibri"/>
          <w:b w:val="0"/>
          <w:i w:val="0"/>
          <w:color w:val="111111"/>
          <w:sz w:val="20"/>
        </w:rPr>
        <w:t xml:space="preserve">The aims of this laboratory experiment were to: (1) derive the theoretical frequency response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of a first-order RC filter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from its governing differential equation; (2) predict its steady-state output for sinusoidal inputs (1, 10, and 40 kHz) and a periodic square wave (8 kHz); and (3) experimentally measure the circuit’s response in both the time and frequency domains to validate LTI filtering theory and relate time-constant behaviour to spectral bandwidth.</w:t>
      </w:r>
    </w:p>
    <w:p>
      <w:pPr>
        <w:pStyle w:val="Heading1"/>
        <w:keepNext/>
        <w:spacing w:before="240" w:after="80"/>
      </w:pPr>
      <w:r>
        <w:rPr>
          <w:rFonts w:ascii="Calibri" w:hAnsi="Calibri"/>
          <w:b/>
          <w:i w:val="0"/>
          <w:color w:val="1B365D"/>
          <w:sz w:val="26"/>
        </w:rPr>
        <w:t>2. Method</w:t>
      </w:r>
    </w:p>
    <w:p>
      <w:pPr>
        <w:pStyle w:val="Heading2"/>
        <w:keepNext/>
        <w:spacing w:before="170" w:after="60"/>
      </w:pPr>
      <w:r>
        <w:rPr>
          <w:rFonts w:ascii="Calibri" w:hAnsi="Calibri"/>
          <w:b/>
          <w:i w:val="0"/>
          <w:color w:val="2C3E50"/>
          <w:sz w:val="22"/>
        </w:rPr>
        <w:t>2.1 Circuit Model and Theoretical Pre-Laboratory Formulation</w:t>
      </w:r>
    </w:p>
    <w:p>
      <w:pPr>
        <w:spacing w:after="100" w:line="276" w:lineRule="auto"/>
        <w:jc w:val="both"/>
      </w:pPr>
      <w:r>
        <w:rPr>
          <w:rFonts w:ascii="Calibri" w:hAnsi="Calibri"/>
          <w:b w:val="0"/>
          <w:i w:val="0"/>
          <w:color w:val="111111"/>
          <w:sz w:val="20"/>
        </w:rPr>
        <w:t xml:space="preserve">The network under test consists of a series resistor </w:t>
      </w:r>
      <w:r>
        <w:rPr>
          <w:rFonts w:ascii="Calibri" w:hAnsi="Calibri"/>
          <w:b w:val="0"/>
          <w:i/>
          <w:color w:val="111111"/>
          <w:sz w:val="20"/>
        </w:rPr>
        <w:t>R</w:t>
      </w:r>
      <w:r>
        <w:rPr>
          <w:rFonts w:ascii="Calibri" w:hAnsi="Calibri"/>
          <w:b w:val="0"/>
          <w:i w:val="0"/>
          <w:color w:val="111111"/>
          <w:sz w:val="20"/>
        </w:rPr>
        <w:t xml:space="preserve"> = 1.5 kΩ and capacitor </w:t>
      </w:r>
      <w:r>
        <w:rPr>
          <w:rFonts w:ascii="Calibri" w:hAnsi="Calibri"/>
          <w:b w:val="0"/>
          <w:i/>
          <w:color w:val="111111"/>
          <w:sz w:val="20"/>
        </w:rPr>
        <w:t>C</w:t>
      </w:r>
      <w:r>
        <w:rPr>
          <w:rFonts w:ascii="Calibri" w:hAnsi="Calibri"/>
          <w:b w:val="0"/>
          <w:i w:val="0"/>
          <w:color w:val="111111"/>
          <w:sz w:val="20"/>
        </w:rPr>
        <w:t xml:space="preserve"> = 0.01 µF (10 nF) driven by an input voltage source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with the output voltage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C</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taken across the capacitor (ECU, 2026b). Since the series current through both elements is </w:t>
      </w:r>
      <w:r>
        <w:rPr>
          <w:rFonts w:ascii="Calibri" w:hAnsi="Calibri"/>
          <w:b w:val="0"/>
          <w:i/>
          <w:color w:val="111111"/>
          <w:sz w:val="20"/>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C</w:t>
      </w:r>
      <w:r>
        <w:rPr>
          <w:rFonts w:ascii="Calibri" w:hAnsi="Calibri"/>
          <w:b w:val="0"/>
          <w:i w:val="0"/>
          <w:color w:val="111111"/>
          <w:sz w:val="20"/>
        </w:rPr>
        <w:t xml:space="preserve"> d</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)/d</w:t>
      </w:r>
      <w:r>
        <w:rPr>
          <w:rFonts w:ascii="Calibri" w:hAnsi="Calibri"/>
          <w:b w:val="0"/>
          <w:i/>
          <w:color w:val="111111"/>
          <w:sz w:val="20"/>
        </w:rPr>
        <w:t>t</w:t>
      </w:r>
      <w:r>
        <w:rPr>
          <w:rFonts w:ascii="Calibri" w:hAnsi="Calibri"/>
          <w:b w:val="0"/>
          <w:i w:val="0"/>
          <w:color w:val="111111"/>
          <w:sz w:val="20"/>
        </w:rPr>
        <w:t>, applying Kirchhoff’s voltage law around the loop yields the first-order linear constant-coefficient differential equation (LCCDE):</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1274064" cy="235712"/>
                  <wp:docPr id="1" name="Picture 1"/>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1274064" cy="235712"/>
                          </a:xfrm>
                          <a:prstGeom prst="rect"/>
                        </pic:spPr>
                      </pic:pic>
                    </a:graphicData>
                  </a:graphic>
                </wp:inline>
              </w:drawing>
            </w:r>
          </w:p>
        </w:tc>
        <w:tc>
          <w:tcPr>
            <w:tcW w:type="dxa" w:w="1020"/>
            <w:vAlign w:val="center"/>
          </w:tcPr>
          <w:p>
            <w:pPr>
              <w:jc w:val="right"/>
            </w:pPr>
            <w:r>
              <w:rPr>
                <w:rFonts w:ascii="Calibri" w:hAnsi="Calibri"/>
                <w:b w:val="0"/>
                <w:i w:val="0"/>
                <w:color w:val="111111"/>
                <w:sz w:val="20"/>
              </w:rPr>
              <w:t>(1)</w:t>
            </w:r>
          </w:p>
        </w:tc>
      </w:tr>
    </w:tbl>
    <w:p>
      <w:pPr>
        <w:spacing w:after="100" w:line="276" w:lineRule="auto"/>
        <w:jc w:val="both"/>
      </w:pPr>
      <w:r>
        <w:rPr>
          <w:rFonts w:ascii="Calibri" w:hAnsi="Calibri"/>
          <w:b w:val="0"/>
          <w:i w:val="0"/>
          <w:color w:val="111111"/>
          <w:sz w:val="20"/>
        </w:rPr>
        <w:t xml:space="preserve">Following the eigenfunction method established in Tutorial 5 Question 6 (ECU, 2026b), let the everlasting complex exponential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e</w:t>
      </w:r>
      <w:r>
        <w:rPr>
          <w:rFonts w:ascii="Calibri" w:hAnsi="Calibri"/>
          <w:b w:val="0"/>
          <w:i/>
          <w:color w:val="111111"/>
          <w:sz w:val="20"/>
          <w:vertAlign w:val="superscript"/>
        </w:rPr>
        <w:t>jωt</w:t>
      </w:r>
      <w:r>
        <w:rPr>
          <w:rFonts w:ascii="Calibri" w:hAnsi="Calibri"/>
          <w:b w:val="0"/>
          <w:i w:val="0"/>
          <w:color w:val="111111"/>
          <w:sz w:val="20"/>
        </w:rPr>
        <w:t xml:space="preserve"> excite the LTI circuit, producing the forced steady-state output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e</w:t>
      </w:r>
      <w:r>
        <w:rPr>
          <w:rFonts w:ascii="Calibri" w:hAnsi="Calibri"/>
          <w:b w:val="0"/>
          <w:i/>
          <w:color w:val="111111"/>
          <w:sz w:val="20"/>
          <w:vertAlign w:val="superscript"/>
        </w:rPr>
        <w:t>jωt</w:t>
      </w:r>
      <w:r>
        <w:rPr>
          <w:rFonts w:ascii="Calibri" w:hAnsi="Calibri"/>
          <w:b w:val="0"/>
          <w:i w:val="0"/>
          <w:color w:val="111111"/>
          <w:sz w:val="20"/>
        </w:rPr>
        <w:t xml:space="preserve">. Substituting both expressions into Equation (1) and dividing through by the non-zero factor </w:t>
      </w:r>
      <w:r>
        <w:rPr>
          <w:rFonts w:ascii="Calibri" w:hAnsi="Calibri"/>
          <w:b w:val="0"/>
          <w:i/>
          <w:color w:val="111111"/>
          <w:sz w:val="20"/>
        </w:rPr>
        <w:t>e</w:t>
      </w:r>
      <w:r>
        <w:rPr>
          <w:rFonts w:ascii="Calibri" w:hAnsi="Calibri"/>
          <w:b w:val="0"/>
          <w:i/>
          <w:color w:val="111111"/>
          <w:sz w:val="20"/>
          <w:vertAlign w:val="superscript"/>
        </w:rPr>
        <w:t>jωt</w:t>
      </w:r>
      <w:r>
        <w:rPr>
          <w:rFonts w:ascii="Calibri" w:hAnsi="Calibri"/>
          <w:b w:val="0"/>
          <w:i w:val="0"/>
          <w:color w:val="111111"/>
          <w:sz w:val="20"/>
        </w:rPr>
        <w:t xml:space="preserve"> gives:</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3434080" cy="241808"/>
                  <wp:docPr id="2" name="Picture 2"/>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3434080" cy="241808"/>
                          </a:xfrm>
                          <a:prstGeom prst="rect"/>
                        </pic:spPr>
                      </pic:pic>
                    </a:graphicData>
                  </a:graphic>
                </wp:inline>
              </w:drawing>
            </w:r>
          </w:p>
        </w:tc>
        <w:tc>
          <w:tcPr>
            <w:tcW w:type="dxa" w:w="1020"/>
            <w:vAlign w:val="center"/>
          </w:tcPr>
          <w:p>
            <w:pPr>
              <w:jc w:val="right"/>
            </w:pPr>
            <w:r>
              <w:rPr>
                <w:rFonts w:ascii="Calibri" w:hAnsi="Calibri"/>
                <w:b w:val="0"/>
                <w:i w:val="0"/>
                <w:color w:val="111111"/>
                <w:sz w:val="20"/>
              </w:rPr>
              <w:t>(2)</w:t>
            </w:r>
          </w:p>
        </w:tc>
      </w:tr>
    </w:tbl>
    <w:p>
      <w:pPr>
        <w:spacing w:after="100" w:line="276" w:lineRule="auto"/>
        <w:jc w:val="both"/>
      </w:pPr>
      <w:r>
        <w:rPr>
          <w:rFonts w:ascii="Calibri" w:hAnsi="Calibri"/>
          <w:b w:val="0"/>
          <w:i w:val="0"/>
          <w:color w:val="111111"/>
          <w:sz w:val="20"/>
        </w:rPr>
        <w:t>Expressing Equation (2) in polar form yields the linear amplitude ratio, logarithmic gain in decibels, and phase response:</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4724400" cy="288544"/>
                  <wp:docPr id="3" name="Picture 3"/>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4724400" cy="288544"/>
                          </a:xfrm>
                          <a:prstGeom prst="rect"/>
                        </pic:spPr>
                      </pic:pic>
                    </a:graphicData>
                  </a:graphic>
                </wp:inline>
              </w:drawing>
            </w:r>
          </w:p>
        </w:tc>
        <w:tc>
          <w:tcPr>
            <w:tcW w:type="dxa" w:w="1020"/>
            <w:vAlign w:val="center"/>
          </w:tcPr>
          <w:p>
            <w:pPr>
              <w:jc w:val="right"/>
            </w:pPr>
            <w:r>
              <w:rPr>
                <w:rFonts w:ascii="Calibri" w:hAnsi="Calibri"/>
                <w:b w:val="0"/>
                <w:i w:val="0"/>
                <w:color w:val="111111"/>
                <w:sz w:val="20"/>
              </w:rPr>
              <w:t>(3)</w:t>
            </w:r>
          </w:p>
        </w:tc>
      </w:tr>
    </w:tbl>
    <w:p>
      <w:pPr>
        <w:spacing w:after="100" w:line="276" w:lineRule="auto"/>
        <w:jc w:val="both"/>
      </w:pPr>
      <w:r>
        <w:rPr>
          <w:rFonts w:ascii="Calibri" w:hAnsi="Calibri"/>
          <w:b w:val="0"/>
          <w:i w:val="0"/>
          <w:color w:val="111111"/>
          <w:sz w:val="20"/>
        </w:rPr>
        <w:t xml:space="preserve">For the nominal component values, the circuit time constant is τ = </w:t>
      </w:r>
      <w:r>
        <w:rPr>
          <w:rFonts w:ascii="Calibri" w:hAnsi="Calibri"/>
          <w:b w:val="0"/>
          <w:i/>
          <w:color w:val="111111"/>
          <w:sz w:val="20"/>
        </w:rPr>
        <w:t>RC</w:t>
      </w:r>
      <w:r>
        <w:rPr>
          <w:rFonts w:ascii="Calibri" w:hAnsi="Calibri"/>
          <w:b w:val="0"/>
          <w:i w:val="0"/>
          <w:color w:val="111111"/>
          <w:sz w:val="20"/>
        </w:rPr>
        <w:t xml:space="preserve"> = (1.5 × 10</w:t>
      </w:r>
      <w:r>
        <w:rPr>
          <w:rFonts w:ascii="Calibri" w:hAnsi="Calibri"/>
          <w:b w:val="0"/>
          <w:i w:val="0"/>
          <w:color w:val="111111"/>
          <w:sz w:val="20"/>
          <w:vertAlign w:val="superscript"/>
        </w:rPr>
        <w:t>3</w:t>
      </w:r>
      <w:r>
        <w:rPr>
          <w:rFonts w:ascii="Calibri" w:hAnsi="Calibri"/>
          <w:b w:val="0"/>
          <w:i w:val="0"/>
          <w:color w:val="111111"/>
          <w:sz w:val="20"/>
        </w:rPr>
        <w:t xml:space="preserve"> Ω)(0.01 × 10</w:t>
      </w:r>
      <w:r>
        <w:rPr>
          <w:rFonts w:ascii="Calibri" w:hAnsi="Calibri"/>
          <w:b w:val="0"/>
          <w:i w:val="0"/>
          <w:color w:val="111111"/>
          <w:sz w:val="20"/>
          <w:vertAlign w:val="superscript"/>
        </w:rPr>
        <w:t>−6</w:t>
      </w:r>
      <w:r>
        <w:rPr>
          <w:rFonts w:ascii="Calibri" w:hAnsi="Calibri"/>
          <w:b w:val="0"/>
          <w:i w:val="0"/>
          <w:color w:val="111111"/>
          <w:sz w:val="20"/>
        </w:rPr>
        <w:t xml:space="preserve"> F) = 15 µs. The half-power (−3 dB) cut-off frequency occurs where ω</w:t>
      </w:r>
      <w:r>
        <w:rPr>
          <w:rFonts w:ascii="Calibri" w:hAnsi="Calibri"/>
          <w:b w:val="0"/>
          <w:i/>
          <w:color w:val="111111"/>
          <w:sz w:val="20"/>
          <w:vertAlign w:val="subscript"/>
        </w:rPr>
        <w:t>c</w:t>
      </w:r>
      <w:r>
        <w:rPr>
          <w:rFonts w:ascii="Calibri" w:hAnsi="Calibri"/>
          <w:b w:val="0"/>
          <w:i/>
          <w:color w:val="111111"/>
          <w:sz w:val="20"/>
        </w:rPr>
        <w:t>RC</w:t>
      </w:r>
      <w:r>
        <w:rPr>
          <w:rFonts w:ascii="Calibri" w:hAnsi="Calibri"/>
          <w:b w:val="0"/>
          <w:i w:val="0"/>
          <w:color w:val="111111"/>
          <w:sz w:val="20"/>
        </w:rPr>
        <w:t xml:space="preserve"> = 1, corresponding to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vertAlign w:val="subscript"/>
        </w:rPr>
        <w:t>c</w:t>
      </w:r>
      <w:r>
        <w:rPr>
          <w:rFonts w:ascii="Calibri" w:hAnsi="Calibri"/>
          <w:b w:val="0"/>
          <w:i w:val="0"/>
          <w:color w:val="111111"/>
          <w:sz w:val="20"/>
        </w:rPr>
        <w:t>)| = 1/√2 ≈ 0.7071 (−3.01 dB) and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vertAlign w:val="subscript"/>
        </w:rPr>
        <w:t>c</w:t>
      </w:r>
      <w:r>
        <w:rPr>
          <w:rFonts w:ascii="Calibri" w:hAnsi="Calibri"/>
          <w:b w:val="0"/>
          <w:i w:val="0"/>
          <w:color w:val="111111"/>
          <w:sz w:val="20"/>
        </w:rPr>
        <w:t>) = −45°:</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2940304" cy="237744"/>
                  <wp:docPr id="4" name="Picture 4"/>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940304" cy="237744"/>
                          </a:xfrm>
                          <a:prstGeom prst="rect"/>
                        </pic:spPr>
                      </pic:pic>
                    </a:graphicData>
                  </a:graphic>
                </wp:inline>
              </w:drawing>
            </w:r>
          </w:p>
        </w:tc>
        <w:tc>
          <w:tcPr>
            <w:tcW w:type="dxa" w:w="1020"/>
            <w:vAlign w:val="center"/>
          </w:tcPr>
          <w:p>
            <w:pPr>
              <w:jc w:val="right"/>
            </w:pPr>
            <w:r>
              <w:rPr>
                <w:rFonts w:ascii="Calibri" w:hAnsi="Calibri"/>
                <w:b w:val="0"/>
                <w:i w:val="0"/>
                <w:color w:val="111111"/>
                <w:sz w:val="20"/>
              </w:rPr>
              <w:t>(4)</w:t>
            </w:r>
          </w:p>
        </w:tc>
      </w:tr>
    </w:tbl>
    <w:p>
      <w:pPr>
        <w:spacing w:after="100" w:line="276" w:lineRule="auto"/>
        <w:jc w:val="both"/>
      </w:pPr>
      <w:r>
        <w:rPr>
          <w:rFonts w:ascii="Calibri" w:hAnsi="Calibri"/>
          <w:b w:val="0"/>
          <w:i w:val="0"/>
          <w:color w:val="111111"/>
          <w:sz w:val="20"/>
        </w:rPr>
        <w:t xml:space="preserve">Continuous magnitude and phase curves were computed over 0 ≤ </w:t>
      </w:r>
      <w:r>
        <w:rPr>
          <w:rFonts w:ascii="Calibri" w:hAnsi="Calibri"/>
          <w:b w:val="0"/>
          <w:i/>
          <w:color w:val="111111"/>
          <w:sz w:val="20"/>
        </w:rPr>
        <w:t>f</w:t>
      </w:r>
      <w:r>
        <w:rPr>
          <w:rFonts w:ascii="Calibri" w:hAnsi="Calibri"/>
          <w:b w:val="0"/>
          <w:i w:val="0"/>
          <w:color w:val="111111"/>
          <w:sz w:val="20"/>
        </w:rPr>
        <w:t xml:space="preserve"> ≤ 60 kHz in Python (implementing the vectorised frequency-response evaluation demonstrated in the Module 6 lecture slides; ECU, 2026a). For a zero-phase sinusoidal excitation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A</w:t>
      </w:r>
      <w:r>
        <w:rPr>
          <w:rFonts w:ascii="Calibri" w:hAnsi="Calibri"/>
          <w:b w:val="0"/>
          <w:i w:val="0"/>
          <w:color w:val="111111"/>
          <w:sz w:val="20"/>
        </w:rPr>
        <w:t xml:space="preserve"> cos(ω</w:t>
      </w:r>
      <w:r>
        <w:rPr>
          <w:rFonts w:ascii="Calibri" w:hAnsi="Calibri"/>
          <w:b w:val="0"/>
          <w:i/>
          <w:color w:val="111111"/>
          <w:sz w:val="20"/>
        </w:rPr>
        <w:t>t</w:t>
      </w:r>
      <w:r>
        <w:rPr>
          <w:rFonts w:ascii="Calibri" w:hAnsi="Calibri"/>
          <w:b w:val="0"/>
          <w:i w:val="0"/>
          <w:color w:val="111111"/>
          <w:sz w:val="20"/>
        </w:rPr>
        <w:t>) of 15 V</w:t>
      </w:r>
      <w:r>
        <w:rPr>
          <w:rFonts w:ascii="Calibri" w:hAnsi="Calibri"/>
          <w:b w:val="0"/>
          <w:i w:val="0"/>
          <w:color w:val="111111"/>
          <w:sz w:val="20"/>
          <w:vertAlign w:val="subscript"/>
        </w:rPr>
        <w:t>pp</w:t>
      </w:r>
      <w:r>
        <w:rPr>
          <w:rFonts w:ascii="Calibri" w:hAnsi="Calibri"/>
          <w:b w:val="0"/>
          <w:i w:val="0"/>
          <w:color w:val="111111"/>
          <w:sz w:val="20"/>
        </w:rPr>
        <w:t xml:space="preserve"> (peak amplitude </w:t>
      </w:r>
      <w:r>
        <w:rPr>
          <w:rFonts w:ascii="Calibri" w:hAnsi="Calibri"/>
          <w:b w:val="0"/>
          <w:i/>
          <w:color w:val="111111"/>
          <w:sz w:val="20"/>
        </w:rPr>
        <w:t>A</w:t>
      </w:r>
      <w:r>
        <w:rPr>
          <w:rFonts w:ascii="Calibri" w:hAnsi="Calibri"/>
          <w:b w:val="0"/>
          <w:i w:val="0"/>
          <w:color w:val="111111"/>
          <w:sz w:val="20"/>
        </w:rPr>
        <w:t xml:space="preserve"> = 7.50 V) at 1, 10, and 40 kHz, the steady-state output is:</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1979168" cy="182880"/>
                  <wp:docPr id="5" name="Picture 5"/>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979168" cy="182880"/>
                          </a:xfrm>
                          <a:prstGeom prst="rect"/>
                        </pic:spPr>
                      </pic:pic>
                    </a:graphicData>
                  </a:graphic>
                </wp:inline>
              </w:drawing>
            </w:r>
          </w:p>
        </w:tc>
        <w:tc>
          <w:tcPr>
            <w:tcW w:type="dxa" w:w="1020"/>
            <w:vAlign w:val="center"/>
          </w:tcPr>
          <w:p>
            <w:pPr>
              <w:jc w:val="right"/>
            </w:pPr>
            <w:r>
              <w:rPr>
                <w:rFonts w:ascii="Calibri" w:hAnsi="Calibri"/>
                <w:b w:val="0"/>
                <w:i w:val="0"/>
                <w:color w:val="111111"/>
                <w:sz w:val="20"/>
              </w:rPr>
              <w:t>(5)</w:t>
            </w:r>
          </w:p>
        </w:tc>
      </w:tr>
    </w:tbl>
    <w:p>
      <w:pPr>
        <w:spacing w:after="100" w:line="276" w:lineRule="auto"/>
        <w:jc w:val="both"/>
      </w:pPr>
      <w:r>
        <w:rPr>
          <w:rFonts w:ascii="Calibri" w:hAnsi="Calibri"/>
          <w:b w:val="0"/>
          <w:i w:val="0"/>
          <w:color w:val="111111"/>
          <w:sz w:val="20"/>
        </w:rPr>
        <w:t>For a zero-mean, odd-symmetric periodic square wave of 15 V</w:t>
      </w:r>
      <w:r>
        <w:rPr>
          <w:rFonts w:ascii="Calibri" w:hAnsi="Calibri"/>
          <w:b w:val="0"/>
          <w:i w:val="0"/>
          <w:color w:val="111111"/>
          <w:sz w:val="20"/>
          <w:vertAlign w:val="subscript"/>
        </w:rPr>
        <w:t>pp</w:t>
      </w:r>
      <w:r>
        <w:rPr>
          <w:rFonts w:ascii="Calibri" w:hAnsi="Calibri"/>
          <w:b w:val="0"/>
          <w:i w:val="0"/>
          <w:color w:val="111111"/>
          <w:sz w:val="20"/>
        </w:rPr>
        <w:t xml:space="preserve"> (half-amplitude </w:t>
      </w:r>
      <w:r>
        <w:rPr>
          <w:rFonts w:ascii="Calibri" w:hAnsi="Calibri"/>
          <w:b w:val="0"/>
          <w:i/>
          <w:color w:val="111111"/>
          <w:sz w:val="20"/>
        </w:rPr>
        <w:t>h</w:t>
      </w:r>
      <w:r>
        <w:rPr>
          <w:rFonts w:ascii="Calibri" w:hAnsi="Calibri"/>
          <w:b w:val="0"/>
          <w:i w:val="0"/>
          <w:color w:val="111111"/>
          <w:sz w:val="20"/>
        </w:rPr>
        <w:t xml:space="preserve"> = 7.50 V), fundamental frequency </w:t>
      </w:r>
      <w:r>
        <w:rPr>
          <w:rFonts w:ascii="Calibri" w:hAnsi="Calibri"/>
          <w:b w:val="0"/>
          <w:i/>
          <w:color w:val="111111"/>
          <w:sz w:val="20"/>
        </w:rPr>
        <w:t>f</w:t>
      </w:r>
      <w:r>
        <w:rPr>
          <w:rFonts w:ascii="Calibri" w:hAnsi="Calibri"/>
          <w:b w:val="0"/>
          <w:i w:val="0"/>
          <w:color w:val="111111"/>
          <w:sz w:val="20"/>
          <w:vertAlign w:val="subscript"/>
        </w:rPr>
        <w:t>0</w:t>
      </w:r>
      <w:r>
        <w:rPr>
          <w:rFonts w:ascii="Calibri" w:hAnsi="Calibri"/>
          <w:b w:val="0"/>
          <w:i w:val="0"/>
          <w:color w:val="111111"/>
          <w:sz w:val="20"/>
        </w:rPr>
        <w:t xml:space="preserve"> = 8 kHz (ω</w:t>
      </w:r>
      <w:r>
        <w:rPr>
          <w:rFonts w:ascii="Calibri" w:hAnsi="Calibri"/>
          <w:b w:val="0"/>
          <w:i w:val="0"/>
          <w:color w:val="111111"/>
          <w:sz w:val="20"/>
          <w:vertAlign w:val="subscript"/>
        </w:rPr>
        <w:t>0</w:t>
      </w:r>
      <w:r>
        <w:rPr>
          <w:rFonts w:ascii="Calibri" w:hAnsi="Calibri"/>
          <w:b w:val="0"/>
          <w:i w:val="0"/>
          <w:color w:val="111111"/>
          <w:sz w:val="20"/>
        </w:rPr>
        <w:t xml:space="preserve"> = 16,000π rad/s = 50,265.48 rad/s, period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 xml:space="preserve"> = 125 µs), and 50% duty cycle, the trigonometric Fourier series contains only odd sine harmonics (ECU, 2026a; Lathi &amp; Green, 2018):</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4094480" cy="375920"/>
                  <wp:docPr id="6" name="Picture 6"/>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4094480" cy="375920"/>
                          </a:xfrm>
                          <a:prstGeom prst="rect"/>
                        </pic:spPr>
                      </pic:pic>
                    </a:graphicData>
                  </a:graphic>
                </wp:inline>
              </w:drawing>
            </w:r>
          </w:p>
        </w:tc>
        <w:tc>
          <w:tcPr>
            <w:tcW w:type="dxa" w:w="1020"/>
            <w:vAlign w:val="center"/>
          </w:tcPr>
          <w:p>
            <w:pPr>
              <w:jc w:val="right"/>
            </w:pPr>
            <w:r>
              <w:rPr>
                <w:rFonts w:ascii="Calibri" w:hAnsi="Calibri"/>
                <w:b w:val="0"/>
                <w:i w:val="0"/>
                <w:color w:val="111111"/>
                <w:sz w:val="20"/>
              </w:rPr>
              <w:t>(6)</w:t>
            </w:r>
          </w:p>
        </w:tc>
      </w:tr>
    </w:tbl>
    <w:p>
      <w:pPr>
        <w:spacing w:after="100" w:line="276" w:lineRule="auto"/>
        <w:jc w:val="both"/>
      </w:pPr>
      <w:r>
        <w:rPr>
          <w:rFonts w:ascii="Calibri" w:hAnsi="Calibri"/>
          <w:b w:val="0"/>
          <w:i w:val="0"/>
          <w:color w:val="111111"/>
          <w:sz w:val="20"/>
        </w:rPr>
        <w:t>By LTI superposition, passing Equation (6) through the RC filter scales and phase-shifts each harmonic independently:</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2917952" cy="375920"/>
                  <wp:docPr id="7" name="Picture 7"/>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2917952" cy="375920"/>
                          </a:xfrm>
                          <a:prstGeom prst="rect"/>
                        </pic:spPr>
                      </pic:pic>
                    </a:graphicData>
                  </a:graphic>
                </wp:inline>
              </w:drawing>
            </w:r>
          </w:p>
        </w:tc>
        <w:tc>
          <w:tcPr>
            <w:tcW w:type="dxa" w:w="1020"/>
            <w:vAlign w:val="center"/>
          </w:tcPr>
          <w:p>
            <w:pPr>
              <w:jc w:val="right"/>
            </w:pPr>
            <w:r>
              <w:rPr>
                <w:rFonts w:ascii="Calibri" w:hAnsi="Calibri"/>
                <w:b w:val="0"/>
                <w:i w:val="0"/>
                <w:color w:val="111111"/>
                <w:sz w:val="20"/>
              </w:rPr>
              <w:t>(7)</w:t>
            </w:r>
          </w:p>
        </w:tc>
      </w:tr>
    </w:tbl>
    <w:p>
      <w:pPr>
        <w:spacing w:after="100" w:line="276" w:lineRule="auto"/>
        <w:jc w:val="both"/>
      </w:pPr>
      <w:r>
        <w:rPr>
          <w:rFonts w:ascii="Calibri" w:hAnsi="Calibri"/>
          <w:b w:val="0"/>
          <w:i w:val="0"/>
          <w:color w:val="111111"/>
          <w:sz w:val="20"/>
        </w:rPr>
        <w:t>In the time domain, solving Equation (1) directly under symmetric periodic switching between +</w:t>
      </w:r>
      <w:r>
        <w:rPr>
          <w:rFonts w:ascii="Calibri" w:hAnsi="Calibri"/>
          <w:b w:val="0"/>
          <w:i/>
          <w:color w:val="111111"/>
          <w:sz w:val="20"/>
        </w:rPr>
        <w:t>h</w:t>
      </w:r>
      <w:r>
        <w:rPr>
          <w:rFonts w:ascii="Calibri" w:hAnsi="Calibri"/>
          <w:b w:val="0"/>
          <w:i w:val="0"/>
          <w:color w:val="111111"/>
          <w:sz w:val="20"/>
        </w:rPr>
        <w:t xml:space="preserve"> and −</w:t>
      </w:r>
      <w:r>
        <w:rPr>
          <w:rFonts w:ascii="Calibri" w:hAnsi="Calibri"/>
          <w:b w:val="0"/>
          <w:i/>
          <w:color w:val="111111"/>
          <w:sz w:val="20"/>
        </w:rPr>
        <w:t>h</w:t>
      </w:r>
      <w:r>
        <w:rPr>
          <w:rFonts w:ascii="Calibri" w:hAnsi="Calibri"/>
          <w:b w:val="0"/>
          <w:i w:val="0"/>
          <w:color w:val="111111"/>
          <w:sz w:val="20"/>
        </w:rPr>
        <w:t xml:space="preserve"> every half-period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/2 = 62.5 µs yields the exact steady-state peak excursion across the capacitor:</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3570224" cy="264160"/>
                  <wp:docPr id="8" name="Picture 8"/>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3570224" cy="264160"/>
                          </a:xfrm>
                          <a:prstGeom prst="rect"/>
                        </pic:spPr>
                      </pic:pic>
                    </a:graphicData>
                  </a:graphic>
                </wp:inline>
              </w:drawing>
            </w:r>
          </w:p>
        </w:tc>
        <w:tc>
          <w:tcPr>
            <w:tcW w:type="dxa" w:w="1020"/>
            <w:vAlign w:val="center"/>
          </w:tcPr>
          <w:p>
            <w:pPr>
              <w:jc w:val="right"/>
            </w:pPr>
            <w:r>
              <w:rPr>
                <w:rFonts w:ascii="Calibri" w:hAnsi="Calibri"/>
                <w:b w:val="0"/>
                <w:i w:val="0"/>
                <w:color w:val="111111"/>
                <w:sz w:val="20"/>
              </w:rPr>
              <w:t>(8)</w:t>
            </w:r>
          </w:p>
        </w:tc>
      </w:tr>
    </w:tbl>
    <w:p>
      <w:pPr>
        <w:spacing w:after="100" w:line="276" w:lineRule="auto"/>
        <w:jc w:val="both"/>
      </w:pPr>
      <w:r>
        <w:rPr>
          <w:rFonts w:ascii="Calibri" w:hAnsi="Calibri"/>
          <w:b w:val="0"/>
          <w:i w:val="0"/>
          <w:color w:val="111111"/>
          <w:sz w:val="20"/>
        </w:rPr>
        <w:t xml:space="preserve">Finally, whereas Fourier coefficients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denote peak harmonic amplitudes (V</w:t>
      </w:r>
      <w:r>
        <w:rPr>
          <w:rFonts w:ascii="Calibri" w:hAnsi="Calibri"/>
          <w:b w:val="0"/>
          <w:i w:val="0"/>
          <w:color w:val="111111"/>
          <w:sz w:val="20"/>
          <w:vertAlign w:val="subscript"/>
        </w:rPr>
        <w:t>pk</w:t>
      </w:r>
      <w:r>
        <w:rPr>
          <w:rFonts w:ascii="Calibri" w:hAnsi="Calibri"/>
          <w:b w:val="0"/>
          <w:i w:val="0"/>
          <w:color w:val="111111"/>
          <w:sz w:val="20"/>
        </w:rPr>
        <w:t>), the Keysight DSOX4024G oscilloscope FFT displays spectral magnitudes in dBV referenced to 1 V</w:t>
      </w:r>
      <w:r>
        <w:rPr>
          <w:rFonts w:ascii="Calibri" w:hAnsi="Calibri"/>
          <w:b w:val="0"/>
          <w:i w:val="0"/>
          <w:color w:val="111111"/>
          <w:sz w:val="20"/>
          <w:vertAlign w:val="subscript"/>
        </w:rPr>
        <w:t>rms</w:t>
      </w:r>
      <w:r>
        <w:rPr>
          <w:rFonts w:ascii="Calibri" w:hAnsi="Calibri"/>
          <w:b w:val="0"/>
          <w:i w:val="0"/>
          <w:color w:val="111111"/>
          <w:sz w:val="20"/>
        </w:rPr>
        <w:t xml:space="preserve"> (Keysight Technologies, 2022). Converting peak harmonic amplitude to RMS dBV introduces a constant −3.01 dB offset that cancels when computing filter gain:</w:t>
      </w:r>
    </w:p>
    <w:tbl>
      <w:tblPr>
        <w:tblW w:type="auto" w:w="0"/>
        <w:jc w:val="center"/>
        <w:tblLook w:firstColumn="1" w:firstRow="1" w:lastColumn="0" w:lastRow="0" w:noHBand="0" w:noVBand="1" w:val="04A0"/>
      </w:tblPr>
      <w:tblGrid>
        <w:gridCol w:w="4819"/>
        <w:gridCol w:w="4819"/>
      </w:tblGrid>
      <w:tr>
        <w:trPr>
          <w:cantSplit/>
        </w:trPr>
        <w:tc>
          <w:tcPr>
            <w:tcW w:type="dxa" w:w="8617"/>
            <w:vAlign w:val="center"/>
          </w:tcPr>
          <w:p>
            <w:pPr>
              <w:jc w:val="center"/>
            </w:pPr>
            <w:r>
              <w:drawing>
                <wp:inline xmlns:a="http://schemas.openxmlformats.org/drawingml/2006/main" xmlns:pic="http://schemas.openxmlformats.org/drawingml/2006/picture">
                  <wp:extent cx="3141472" cy="300736"/>
                  <wp:docPr id="9" name="Picture 9"/>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3141472" cy="300736"/>
                          </a:xfrm>
                          <a:prstGeom prst="rect"/>
                        </pic:spPr>
                      </pic:pic>
                    </a:graphicData>
                  </a:graphic>
                </wp:inline>
              </w:drawing>
            </w:r>
          </w:p>
        </w:tc>
        <w:tc>
          <w:tcPr>
            <w:tcW w:type="dxa" w:w="1020"/>
            <w:vAlign w:val="center"/>
          </w:tcPr>
          <w:p>
            <w:pPr>
              <w:jc w:val="right"/>
            </w:pPr>
            <w:r>
              <w:rPr>
                <w:rFonts w:ascii="Calibri" w:hAnsi="Calibri"/>
                <w:b w:val="0"/>
                <w:i w:val="0"/>
                <w:color w:val="111111"/>
                <w:sz w:val="20"/>
              </w:rPr>
              <w:t>(9)</w:t>
            </w:r>
          </w:p>
        </w:tc>
      </w:tr>
    </w:tbl>
    <w:p>
      <w:pPr>
        <w:pStyle w:val="Heading2"/>
        <w:keepNext/>
        <w:spacing w:before="170" w:after="60"/>
      </w:pPr>
      <w:r>
        <w:rPr>
          <w:rFonts w:ascii="Calibri" w:hAnsi="Calibri"/>
          <w:b/>
          <w:i w:val="0"/>
          <w:color w:val="2C3E50"/>
          <w:sz w:val="22"/>
        </w:rPr>
        <w:t>2.2 Apparatus and Circuit Configuration</w:t>
      </w:r>
    </w:p>
    <w:p>
      <w:pPr>
        <w:spacing w:after="100" w:line="276" w:lineRule="auto"/>
        <w:jc w:val="both"/>
      </w:pPr>
      <w:r>
        <w:rPr>
          <w:rFonts w:ascii="Calibri" w:hAnsi="Calibri"/>
          <w:b w:val="0"/>
          <w:i w:val="0"/>
          <w:color w:val="111111"/>
          <w:sz w:val="20"/>
        </w:rPr>
        <w:t>The experiment utilised the following laboratory instrumentation and passive components:</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Function Generator:</w:t>
      </w:r>
      <w:r>
        <w:rPr>
          <w:rFonts w:ascii="Calibri" w:hAnsi="Calibri"/>
          <w:b w:val="0"/>
          <w:i w:val="0"/>
          <w:color w:val="111111"/>
          <w:sz w:val="20"/>
        </w:rPr>
        <w:t xml:space="preserve"> Agilent/Keysight 33220A 20 MHz Function/Arbitrary Waveform Generator (50 Ω nominal output resistance; Keysight Technologies, 2014).</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Digital Storage Oscilloscope:</w:t>
      </w:r>
      <w:r>
        <w:rPr>
          <w:rFonts w:ascii="Calibri" w:hAnsi="Calibri"/>
          <w:b w:val="0"/>
          <w:i w:val="0"/>
          <w:color w:val="111111"/>
          <w:sz w:val="20"/>
        </w:rPr>
        <w:t xml:space="preserve"> Keysight InfiniiVision DSOX4024G (200 MHz bandwidth, 5 GSa/s maximum sample rate, 1 MΩ ∥ 16 pF passive probe input impedance, built-in hardware Math FFT; Keysight Technologies, 2022).</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Passive Components &amp; Prototyping:</w:t>
      </w:r>
      <w:r>
        <w:rPr>
          <w:rFonts w:ascii="Calibri" w:hAnsi="Calibri"/>
          <w:b w:val="0"/>
          <w:i w:val="0"/>
          <w:color w:val="111111"/>
          <w:sz w:val="20"/>
        </w:rPr>
        <w:t xml:space="preserve"> Solderless breadboard, carbon-film resistor </w:t>
      </w:r>
      <w:r>
        <w:rPr>
          <w:rFonts w:ascii="Calibri" w:hAnsi="Calibri"/>
          <w:b w:val="0"/>
          <w:i/>
          <w:color w:val="111111"/>
          <w:sz w:val="20"/>
        </w:rPr>
        <w:t>R</w:t>
      </w:r>
      <w:r>
        <w:rPr>
          <w:rFonts w:ascii="Calibri" w:hAnsi="Calibri"/>
          <w:b w:val="0"/>
          <w:i w:val="0"/>
          <w:color w:val="111111"/>
          <w:sz w:val="20"/>
        </w:rPr>
        <w:t xml:space="preserve"> = 1.5 kΩ, monolithic capacitor </w:t>
      </w:r>
      <w:r>
        <w:rPr>
          <w:rFonts w:ascii="Calibri" w:hAnsi="Calibri"/>
          <w:b w:val="0"/>
          <w:i/>
          <w:color w:val="111111"/>
          <w:sz w:val="20"/>
        </w:rPr>
        <w:t>C</w:t>
      </w:r>
      <w:r>
        <w:rPr>
          <w:rFonts w:ascii="Calibri" w:hAnsi="Calibri"/>
          <w:b w:val="0"/>
          <w:i w:val="0"/>
          <w:color w:val="111111"/>
          <w:sz w:val="20"/>
        </w:rPr>
        <w:t xml:space="preserve"> = 0.01 µF (10 nF), BNC-to-alligator coaxial lead, and two passive oscilloscope probes.</w:t>
      </w:r>
    </w:p>
    <w:p>
      <w:pPr>
        <w:spacing w:after="100" w:line="276" w:lineRule="auto"/>
        <w:jc w:val="both"/>
      </w:pPr>
      <w:r>
        <w:rPr>
          <w:rFonts w:ascii="Calibri" w:hAnsi="Calibri"/>
          <w:b w:val="0"/>
          <w:i w:val="0"/>
          <w:color w:val="111111"/>
          <w:sz w:val="20"/>
        </w:rPr>
        <w:t xml:space="preserve">The series RC network was constructed on the breadboard as depicted in Figure 1. Oscilloscope Channel 1 (yellow trace) was connected directly across the input rails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and Channel 2 (green trace) was connected across the capacitor terminals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sharing a common ground reference.</w:t>
      </w:r>
    </w:p>
    <w:p>
      <w:pPr>
        <w:keepNext/>
        <w:spacing w:before="80" w:after="40"/>
        <w:jc w:val="center"/>
      </w:pPr>
      <w:r>
        <w:drawing>
          <wp:inline xmlns:a="http://schemas.openxmlformats.org/drawingml/2006/main" xmlns:pic="http://schemas.openxmlformats.org/drawingml/2006/picture">
            <wp:extent cx="5688000" cy="2607000"/>
            <wp:docPr id="10" name="Picture 10"/>
            <wp:cNvGraphicFramePr>
              <a:graphicFrameLocks noChangeAspect="1"/>
            </wp:cNvGraphicFramePr>
            <a:graphic>
              <a:graphicData uri="http://schemas.openxmlformats.org/drawingml/2006/picture">
                <pic:pic>
                  <pic:nvPicPr>
                    <pic:cNvPr id="0" name="fig01_circuit_schematic.png"/>
                    <pic:cNvPicPr/>
                  </pic:nvPicPr>
                  <pic:blipFill>
                    <a:blip r:embed="rId20"/>
                    <a:stretch>
                      <a:fillRect/>
                    </a:stretch>
                  </pic:blipFill>
                  <pic:spPr>
                    <a:xfrm>
                      <a:off x="0" y="0"/>
                      <a:ext cx="5688000" cy="2607000"/>
                    </a:xfrm>
                    <a:prstGeom prst="rect"/>
                  </pic:spPr>
                </pic:pic>
              </a:graphicData>
            </a:graphic>
          </wp:inline>
        </w:drawing>
      </w:r>
    </w:p>
    <w:p>
      <w:pPr>
        <w:spacing w:after="150"/>
        <w:jc w:val="center"/>
      </w:pPr>
      <w:r>
        <w:rPr>
          <w:rFonts w:ascii="Calibri" w:hAnsi="Calibri"/>
          <w:b w:val="0"/>
          <w:i/>
          <w:color w:val="222222"/>
          <w:sz w:val="18"/>
        </w:rPr>
        <w:t>Figure 1. Experimental circuit schematic and instrumentation wiring showing the Agilent 33220A generator source impedance (</w:t>
      </w:r>
      <w:r>
        <w:rPr>
          <w:rFonts w:ascii="Calibri" w:hAnsi="Calibri"/>
          <w:b w:val="0"/>
          <w:i/>
          <w:color w:val="222222"/>
          <w:sz w:val="18"/>
        </w:rPr>
        <w:t>R</w:t>
      </w:r>
      <w:r>
        <w:rPr>
          <w:rFonts w:ascii="Calibri" w:hAnsi="Calibri"/>
          <w:b w:val="0"/>
          <w:i/>
          <w:color w:val="222222"/>
          <w:sz w:val="18"/>
          <w:vertAlign w:val="subscript"/>
        </w:rPr>
        <w:t>s</w:t>
      </w:r>
      <w:r>
        <w:rPr>
          <w:rFonts w:ascii="Calibri" w:hAnsi="Calibri"/>
          <w:b w:val="0"/>
          <w:i/>
          <w:color w:val="222222"/>
          <w:sz w:val="18"/>
        </w:rPr>
        <w:t xml:space="preserve"> = 50 Ω), series RC low-pass network (</w:t>
      </w:r>
      <w:r>
        <w:rPr>
          <w:rFonts w:ascii="Calibri" w:hAnsi="Calibri"/>
          <w:b w:val="0"/>
          <w:i/>
          <w:color w:val="222222"/>
          <w:sz w:val="18"/>
        </w:rPr>
        <w:t>R</w:t>
      </w:r>
      <w:r>
        <w:rPr>
          <w:rFonts w:ascii="Calibri" w:hAnsi="Calibri"/>
          <w:b w:val="0"/>
          <w:i/>
          <w:color w:val="222222"/>
          <w:sz w:val="18"/>
        </w:rPr>
        <w:t xml:space="preserve"> = 1.5 kΩ, </w:t>
      </w:r>
      <w:r>
        <w:rPr>
          <w:rFonts w:ascii="Calibri" w:hAnsi="Calibri"/>
          <w:b w:val="0"/>
          <w:i/>
          <w:color w:val="222222"/>
          <w:sz w:val="18"/>
        </w:rPr>
        <w:t>C</w:t>
      </w:r>
      <w:r>
        <w:rPr>
          <w:rFonts w:ascii="Calibri" w:hAnsi="Calibri"/>
          <w:b w:val="0"/>
          <w:i/>
          <w:color w:val="222222"/>
          <w:sz w:val="18"/>
        </w:rPr>
        <w:t xml:space="preserve"> = 0.01 µF), and Keysight DSOX4024G Channel 1 and Channel 2 probe connections.</w:t>
      </w:r>
    </w:p>
    <w:p>
      <w:pPr>
        <w:pStyle w:val="Heading2"/>
        <w:keepNext/>
        <w:spacing w:before="170" w:after="60"/>
      </w:pPr>
      <w:r>
        <w:rPr>
          <w:rFonts w:ascii="Calibri" w:hAnsi="Calibri"/>
          <w:b/>
          <w:i w:val="0"/>
          <w:color w:val="2C3E50"/>
          <w:sz w:val="22"/>
        </w:rPr>
        <w:t>2.3 Experimental Procedure</w:t>
      </w:r>
    </w:p>
    <w:p>
      <w:pPr>
        <w:spacing w:after="100" w:line="276" w:lineRule="auto"/>
        <w:jc w:val="both"/>
      </w:pPr>
      <w:r>
        <w:rPr>
          <w:rFonts w:ascii="Calibri" w:hAnsi="Calibri"/>
          <w:b/>
          <w:i w:val="0"/>
          <w:color w:val="111111"/>
          <w:sz w:val="20"/>
        </w:rPr>
        <w:t>Part 1 — Time-Domain Sinusoidal Verification:</w:t>
      </w:r>
      <w:r>
        <w:rPr>
          <w:rFonts w:ascii="Calibri" w:hAnsi="Calibri"/>
          <w:b w:val="0"/>
          <w:i w:val="0"/>
          <w:color w:val="111111"/>
          <w:sz w:val="20"/>
        </w:rPr>
        <w:t xml:space="preserve"> The function generator was configured for a 15 V</w:t>
      </w:r>
      <w:r>
        <w:rPr>
          <w:rFonts w:ascii="Calibri" w:hAnsi="Calibri"/>
          <w:b w:val="0"/>
          <w:i w:val="0"/>
          <w:color w:val="111111"/>
          <w:sz w:val="20"/>
          <w:vertAlign w:val="subscript"/>
        </w:rPr>
        <w:t>pp</w:t>
      </w:r>
      <w:r>
        <w:rPr>
          <w:rFonts w:ascii="Calibri" w:hAnsi="Calibri"/>
          <w:b w:val="0"/>
          <w:i w:val="0"/>
          <w:color w:val="111111"/>
          <w:sz w:val="20"/>
        </w:rPr>
        <w:t xml:space="preserve"> sinusoidal output at 1 kHz, 10 kHz, and 40 kHz sequentially. Horizontal timebases (500 µs/div at 1 kHz; 20 µs/div at 10 kHz) and vertical scales (5.00 V/div on both channels, vertically offset for visual clarity) were adjusted to display clear steady-state cycles. Using the oscilloscope’s automated measurement engine, actual input peak-to-peak voltage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vertAlign w:val="subscript"/>
        </w:rPr>
        <w:t>,pp</w:t>
      </w:r>
      <w:r>
        <w:rPr>
          <w:rFonts w:ascii="Calibri" w:hAnsi="Calibri"/>
          <w:b w:val="0"/>
          <w:i w:val="0"/>
          <w:color w:val="111111"/>
          <w:sz w:val="20"/>
        </w:rPr>
        <w:t xml:space="preserve"> = Pk-Pk(1), capacitor output voltage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vertAlign w:val="subscript"/>
        </w:rPr>
        <w:t>,pp</w:t>
      </w:r>
      <w:r>
        <w:rPr>
          <w:rFonts w:ascii="Calibri" w:hAnsi="Calibri"/>
          <w:b w:val="0"/>
          <w:i w:val="0"/>
          <w:color w:val="111111"/>
          <w:sz w:val="20"/>
        </w:rPr>
        <w:t xml:space="preserve"> = Pk-Pk(2), and inter-channel phase lag ∠</w:t>
      </w:r>
      <w:r>
        <w:rPr>
          <w:rFonts w:ascii="Calibri" w:hAnsi="Calibri"/>
          <w:b w:val="0"/>
          <w:i/>
          <w:color w:val="111111"/>
          <w:sz w:val="20"/>
        </w:rPr>
        <w:t>H</w:t>
      </w:r>
      <w:r>
        <w:rPr>
          <w:rFonts w:ascii="Calibri" w:hAnsi="Calibri"/>
          <w:b w:val="0"/>
          <w:i w:val="0"/>
          <w:color w:val="111111"/>
          <w:sz w:val="20"/>
          <w:vertAlign w:val="subscript"/>
        </w:rPr>
        <w:t>meas</w:t>
      </w:r>
      <w:r>
        <w:rPr>
          <w:rFonts w:ascii="Calibri" w:hAnsi="Calibri"/>
          <w:b w:val="0"/>
          <w:i w:val="0"/>
          <w:color w:val="111111"/>
          <w:sz w:val="20"/>
        </w:rPr>
        <w:t xml:space="preserve"> = −Phase(1→2) were recorded. Normalised magnitude gain was evaluated as |</w:t>
      </w:r>
      <w:r>
        <w:rPr>
          <w:rFonts w:ascii="Calibri" w:hAnsi="Calibri"/>
          <w:b w:val="0"/>
          <w:i/>
          <w:color w:val="111111"/>
          <w:sz w:val="20"/>
        </w:rPr>
        <w:t>H</w:t>
      </w:r>
      <w:r>
        <w:rPr>
          <w:rFonts w:ascii="Calibri" w:hAnsi="Calibri"/>
          <w:b w:val="0"/>
          <w:i w:val="0"/>
          <w:color w:val="111111"/>
          <w:sz w:val="20"/>
          <w:vertAlign w:val="subscript"/>
        </w:rPr>
        <w:t>meas</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vertAlign w:val="subscript"/>
        </w:rPr>
        <w:t>,pp</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vertAlign w:val="subscript"/>
        </w:rPr>
        <w:t>,pp</w:t>
      </w:r>
      <w:r>
        <w:rPr>
          <w:rFonts w:ascii="Calibri" w:hAnsi="Calibri"/>
          <w:b w:val="0"/>
          <w:i w:val="0"/>
          <w:color w:val="111111"/>
          <w:sz w:val="20"/>
        </w:rPr>
        <w:t xml:space="preserve"> so generator terminal voltage variations did not bias the transfer-function comparison.</w:t>
      </w:r>
    </w:p>
    <w:p>
      <w:pPr>
        <w:spacing w:after="100" w:line="276" w:lineRule="auto"/>
        <w:jc w:val="both"/>
      </w:pPr>
      <w:r>
        <w:rPr>
          <w:rFonts w:ascii="Calibri" w:hAnsi="Calibri"/>
          <w:b/>
          <w:i w:val="0"/>
          <w:color w:val="111111"/>
          <w:sz w:val="20"/>
        </w:rPr>
        <w:t>Part 2 — Frequency-Domain Sinusoidal Verification:</w:t>
      </w:r>
      <w:r>
        <w:rPr>
          <w:rFonts w:ascii="Calibri" w:hAnsi="Calibri"/>
          <w:b w:val="0"/>
          <w:i w:val="0"/>
          <w:color w:val="111111"/>
          <w:sz w:val="20"/>
        </w:rPr>
        <w:t xml:space="preserve"> At each sinusoidal test frequency (1, 10, and 40 kHz), spectral magnitudes of the capacitor output </w:t>
      </w:r>
      <w:r>
        <w:rPr>
          <w:rFonts w:ascii="Calibri" w:hAnsi="Calibri"/>
          <w:b w:val="0"/>
          <w:i/>
          <w:color w:val="111111"/>
          <w:sz w:val="20"/>
        </w:rPr>
        <w:t>Y</w:t>
      </w:r>
      <w:r>
        <w:rPr>
          <w:rFonts w:ascii="Calibri" w:hAnsi="Calibri"/>
          <w:b w:val="0"/>
          <w:i w:val="0"/>
          <w:color w:val="111111"/>
          <w:sz w:val="20"/>
          <w:vertAlign w:val="subscript"/>
        </w:rPr>
        <w:t>out</w:t>
      </w:r>
      <w:r>
        <w:rPr>
          <w:rFonts w:ascii="Calibri" w:hAnsi="Calibri"/>
          <w:b w:val="0"/>
          <w:i w:val="0"/>
          <w:color w:val="111111"/>
          <w:sz w:val="20"/>
        </w:rPr>
        <w:t xml:space="preserve"> (dBV</w:t>
      </w:r>
      <w:r>
        <w:rPr>
          <w:rFonts w:ascii="Calibri" w:hAnsi="Calibri"/>
          <w:b w:val="0"/>
          <w:i w:val="0"/>
          <w:color w:val="111111"/>
          <w:sz w:val="20"/>
          <w:vertAlign w:val="subscript"/>
        </w:rPr>
        <w:t>rms</w:t>
      </w:r>
      <w:r>
        <w:rPr>
          <w:rFonts w:ascii="Calibri" w:hAnsi="Calibri"/>
          <w:b w:val="0"/>
          <w:i w:val="0"/>
          <w:color w:val="111111"/>
          <w:sz w:val="20"/>
        </w:rPr>
        <w:t xml:space="preserve">) and input </w:t>
      </w:r>
      <w:r>
        <w:rPr>
          <w:rFonts w:ascii="Calibri" w:hAnsi="Calibri"/>
          <w:b w:val="0"/>
          <w:i/>
          <w:color w:val="111111"/>
          <w:sz w:val="20"/>
        </w:rPr>
        <w:t>Y</w:t>
      </w:r>
      <w:r>
        <w:rPr>
          <w:rFonts w:ascii="Calibri" w:hAnsi="Calibri"/>
          <w:b w:val="0"/>
          <w:i w:val="0"/>
          <w:color w:val="111111"/>
          <w:sz w:val="20"/>
          <w:vertAlign w:val="subscript"/>
        </w:rPr>
        <w:t>in</w:t>
      </w:r>
      <w:r>
        <w:rPr>
          <w:rFonts w:ascii="Calibri" w:hAnsi="Calibri"/>
          <w:b w:val="0"/>
          <w:i w:val="0"/>
          <w:color w:val="111111"/>
          <w:sz w:val="20"/>
        </w:rPr>
        <w:t xml:space="preserve"> (dBV</w:t>
      </w:r>
      <w:r>
        <w:rPr>
          <w:rFonts w:ascii="Calibri" w:hAnsi="Calibri"/>
          <w:b w:val="0"/>
          <w:i w:val="0"/>
          <w:color w:val="111111"/>
          <w:sz w:val="20"/>
          <w:vertAlign w:val="subscript"/>
        </w:rPr>
        <w:t>rms</w:t>
      </w:r>
      <w:r>
        <w:rPr>
          <w:rFonts w:ascii="Calibri" w:hAnsi="Calibri"/>
          <w:b w:val="0"/>
          <w:i w:val="0"/>
          <w:color w:val="111111"/>
          <w:sz w:val="20"/>
        </w:rPr>
        <w:t xml:space="preserve">) were determined at the fundamental signal frequency. Measured decibel gain was obtained via logarithmic subtraction, </w:t>
      </w:r>
      <w:r>
        <w:rPr>
          <w:rFonts w:ascii="Calibri" w:hAnsi="Calibri"/>
          <w:b w:val="0"/>
          <w:i/>
          <w:color w:val="111111"/>
          <w:sz w:val="20"/>
        </w:rPr>
        <w:t>G</w:t>
      </w:r>
      <w:r>
        <w:rPr>
          <w:rFonts w:ascii="Calibri" w:hAnsi="Calibri"/>
          <w:b w:val="0"/>
          <w:i w:val="0"/>
          <w:color w:val="111111"/>
          <w:sz w:val="20"/>
          <w:vertAlign w:val="subscript"/>
        </w:rPr>
        <w:t>meas,dB</w:t>
      </w:r>
      <w:r>
        <w:rPr>
          <w:rFonts w:ascii="Calibri" w:hAnsi="Calibri"/>
          <w:b w:val="0"/>
          <w:i w:val="0"/>
          <w:color w:val="111111"/>
          <w:sz w:val="20"/>
        </w:rPr>
        <w:t xml:space="preserve"> = </w:t>
      </w:r>
      <w:r>
        <w:rPr>
          <w:rFonts w:ascii="Calibri" w:hAnsi="Calibri"/>
          <w:b w:val="0"/>
          <w:i/>
          <w:color w:val="111111"/>
          <w:sz w:val="20"/>
        </w:rPr>
        <w:t>Y</w:t>
      </w:r>
      <w:r>
        <w:rPr>
          <w:rFonts w:ascii="Calibri" w:hAnsi="Calibri"/>
          <w:b w:val="0"/>
          <w:i w:val="0"/>
          <w:color w:val="111111"/>
          <w:sz w:val="20"/>
          <w:vertAlign w:val="subscript"/>
        </w:rPr>
        <w:t>out</w:t>
      </w:r>
      <w:r>
        <w:rPr>
          <w:rFonts w:ascii="Calibri" w:hAnsi="Calibri"/>
          <w:b w:val="0"/>
          <w:i w:val="0"/>
          <w:color w:val="111111"/>
          <w:sz w:val="20"/>
        </w:rPr>
        <w:t xml:space="preserve"> − </w:t>
      </w:r>
      <w:r>
        <w:rPr>
          <w:rFonts w:ascii="Calibri" w:hAnsi="Calibri"/>
          <w:b w:val="0"/>
          <w:i/>
          <w:color w:val="111111"/>
          <w:sz w:val="20"/>
        </w:rPr>
        <w:t>Y</w:t>
      </w:r>
      <w:r>
        <w:rPr>
          <w:rFonts w:ascii="Calibri" w:hAnsi="Calibri"/>
          <w:b w:val="0"/>
          <w:i w:val="0"/>
          <w:color w:val="111111"/>
          <w:sz w:val="20"/>
          <w:vertAlign w:val="subscript"/>
        </w:rPr>
        <w:t>in</w:t>
      </w:r>
      <w:r>
        <w:rPr>
          <w:rFonts w:ascii="Calibri" w:hAnsi="Calibri"/>
          <w:b w:val="0"/>
          <w:i w:val="0"/>
          <w:color w:val="111111"/>
          <w:sz w:val="20"/>
        </w:rPr>
        <w:t>, and compared against 20 log</w:t>
      </w:r>
      <w:r>
        <w:rPr>
          <w:rFonts w:ascii="Calibri" w:hAnsi="Calibri"/>
          <w:b w:val="0"/>
          <w:i w:val="0"/>
          <w:color w:val="111111"/>
          <w:sz w:val="20"/>
          <w:vertAlign w:val="subscript"/>
        </w:rPr>
        <w:t>10</w:t>
      </w:r>
      <w:r>
        <w:rPr>
          <w:rFonts w:ascii="Calibri" w:hAnsi="Calibri"/>
          <w:b w:val="0"/>
          <w:i w:val="0"/>
          <w:color w:val="111111"/>
          <w:sz w:val="20"/>
        </w:rPr>
        <w:t>|</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p>
    <w:p>
      <w:pPr>
        <w:spacing w:after="100" w:line="276" w:lineRule="auto"/>
        <w:jc w:val="both"/>
      </w:pPr>
      <w:r>
        <w:rPr>
          <w:rFonts w:ascii="Calibri" w:hAnsi="Calibri"/>
          <w:b/>
          <w:i w:val="0"/>
          <w:color w:val="111111"/>
          <w:sz w:val="20"/>
        </w:rPr>
        <w:t>Part 3 — Periodic Square-Wave Verification:</w:t>
      </w:r>
      <w:r>
        <w:rPr>
          <w:rFonts w:ascii="Calibri" w:hAnsi="Calibri"/>
          <w:b w:val="0"/>
          <w:i w:val="0"/>
          <w:color w:val="111111"/>
          <w:sz w:val="20"/>
        </w:rPr>
        <w:t xml:space="preserve"> The generator was set to an 8 kHz, 15 V</w:t>
      </w:r>
      <w:r>
        <w:rPr>
          <w:rFonts w:ascii="Calibri" w:hAnsi="Calibri"/>
          <w:b w:val="0"/>
          <w:i w:val="0"/>
          <w:color w:val="111111"/>
          <w:sz w:val="20"/>
          <w:vertAlign w:val="subscript"/>
        </w:rPr>
        <w:t>pp</w:t>
      </w:r>
      <w:r>
        <w:rPr>
          <w:rFonts w:ascii="Calibri" w:hAnsi="Calibri"/>
          <w:b w:val="0"/>
          <w:i w:val="0"/>
          <w:color w:val="111111"/>
          <w:sz w:val="20"/>
        </w:rPr>
        <w:t>, 50% duty-cycle square wave (timebase 50.0 µs/div; Channel 1 at 10.0 V/div, Channel 2 at 5.00 V/div). The oscilloscope Math FFT operator was configured over a 50.0 kHz span centred at 25.0 kHz (5.00 dB/div vertical scale, 0.0 dBV offset, 954 Hz FFT bin resolution) to encompass the first three odd harmonics at 8, 24, and 40 kHz. Manual horizontal and vertical cursors (X1, Y1) were positioned sequentially on each odd-harmonic peak of FFT(Ch1) for the input spectrum and FFT(Ch2) for the capacitor output spectrum, recording both peak frequency and magnitude in dBV</w:t>
      </w:r>
      <w:r>
        <w:rPr>
          <w:rFonts w:ascii="Calibri" w:hAnsi="Calibri"/>
          <w:b w:val="0"/>
          <w:i w:val="0"/>
          <w:color w:val="111111"/>
          <w:sz w:val="20"/>
          <w:vertAlign w:val="subscript"/>
        </w:rPr>
        <w:t>rms</w:t>
      </w:r>
      <w:r>
        <w:rPr>
          <w:rFonts w:ascii="Calibri" w:hAnsi="Calibri"/>
          <w:b w:val="0"/>
          <w:i w:val="0"/>
          <w:color w:val="111111"/>
          <w:sz w:val="20"/>
        </w:rPr>
        <w:t>.</w:t>
      </w:r>
    </w:p>
    <w:p>
      <w:pPr>
        <w:pStyle w:val="Heading2"/>
        <w:keepNext/>
        <w:spacing w:before="170" w:after="60"/>
      </w:pPr>
      <w:r>
        <w:rPr>
          <w:rFonts w:ascii="Calibri" w:hAnsi="Calibri"/>
          <w:b/>
          <w:i w:val="0"/>
          <w:color w:val="2C3E50"/>
          <w:sz w:val="22"/>
        </w:rPr>
        <w:t>2.4 Modelling Assumptions and Justification</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Nominal Passive Component Values:</w:t>
      </w:r>
      <w:r>
        <w:rPr>
          <w:rFonts w:ascii="Calibri" w:hAnsi="Calibri"/>
          <w:b w:val="0"/>
          <w:i w:val="0"/>
          <w:color w:val="111111"/>
          <w:sz w:val="20"/>
        </w:rPr>
        <w:t xml:space="preserve"> Theoretical predictions assume exact </w:t>
      </w:r>
      <w:r>
        <w:rPr>
          <w:rFonts w:ascii="Calibri" w:hAnsi="Calibri"/>
          <w:b w:val="0"/>
          <w:i/>
          <w:color w:val="111111"/>
          <w:sz w:val="20"/>
        </w:rPr>
        <w:t>R</w:t>
      </w:r>
      <w:r>
        <w:rPr>
          <w:rFonts w:ascii="Calibri" w:hAnsi="Calibri"/>
          <w:b w:val="0"/>
          <w:i w:val="0"/>
          <w:color w:val="111111"/>
          <w:sz w:val="20"/>
        </w:rPr>
        <w:t xml:space="preserve"> = 1.50 kΩ and </w:t>
      </w:r>
      <w:r>
        <w:rPr>
          <w:rFonts w:ascii="Calibri" w:hAnsi="Calibri"/>
          <w:b w:val="0"/>
          <w:i/>
          <w:color w:val="111111"/>
          <w:sz w:val="20"/>
        </w:rPr>
        <w:t>C</w:t>
      </w:r>
      <w:r>
        <w:rPr>
          <w:rFonts w:ascii="Calibri" w:hAnsi="Calibri"/>
          <w:b w:val="0"/>
          <w:i w:val="0"/>
          <w:color w:val="111111"/>
          <w:sz w:val="20"/>
        </w:rPr>
        <w:t xml:space="preserve"> = 0.0100 µF. Standard laboratory carbon-film resistors (±5%) and ceramic/film capacitors (±5% to ±10%) can shift τ = </w:t>
      </w:r>
      <w:r>
        <w:rPr>
          <w:rFonts w:ascii="Calibri" w:hAnsi="Calibri"/>
          <w:b w:val="0"/>
          <w:i/>
          <w:color w:val="111111"/>
          <w:sz w:val="20"/>
        </w:rPr>
        <w:t>RC</w:t>
      </w:r>
      <w:r>
        <w:rPr>
          <w:rFonts w:ascii="Calibri" w:hAnsi="Calibri"/>
          <w:b w:val="0"/>
          <w:i w:val="0"/>
          <w:color w:val="111111"/>
          <w:sz w:val="20"/>
        </w:rPr>
        <w:t xml:space="preserve"> and hence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by up to ±10%–15% if unmeasured with an LCR meter (Horowitz &amp; Hill, 2015).</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Negligible Oscilloscope Probe Loading:</w:t>
      </w:r>
      <w:r>
        <w:rPr>
          <w:rFonts w:ascii="Calibri" w:hAnsi="Calibri"/>
          <w:b w:val="0"/>
          <w:i w:val="0"/>
          <w:color w:val="111111"/>
          <w:sz w:val="20"/>
        </w:rPr>
        <w:t xml:space="preserve"> Each Keysight DSOX4024G channel presents </w:t>
      </w:r>
      <w:r>
        <w:rPr>
          <w:rFonts w:ascii="Calibri" w:hAnsi="Calibri"/>
          <w:b w:val="0"/>
          <w:i/>
          <w:color w:val="111111"/>
          <w:sz w:val="20"/>
        </w:rPr>
        <w:t>R</w:t>
      </w:r>
      <w:r>
        <w:rPr>
          <w:rFonts w:ascii="Calibri" w:hAnsi="Calibri"/>
          <w:b w:val="0"/>
          <w:i/>
          <w:color w:val="111111"/>
          <w:sz w:val="20"/>
          <w:vertAlign w:val="subscript"/>
        </w:rPr>
        <w:t>p</w:t>
      </w:r>
      <w:r>
        <w:rPr>
          <w:rFonts w:ascii="Calibri" w:hAnsi="Calibri"/>
          <w:b w:val="0"/>
          <w:i w:val="0"/>
          <w:color w:val="111111"/>
          <w:sz w:val="20"/>
        </w:rPr>
        <w:t xml:space="preserve"> = 1 MΩ in parallel with </w:t>
      </w:r>
      <w:r>
        <w:rPr>
          <w:rFonts w:ascii="Calibri" w:hAnsi="Calibri"/>
          <w:b w:val="0"/>
          <w:i/>
          <w:color w:val="111111"/>
          <w:sz w:val="20"/>
        </w:rPr>
        <w:t>C</w:t>
      </w:r>
      <w:r>
        <w:rPr>
          <w:rFonts w:ascii="Calibri" w:hAnsi="Calibri"/>
          <w:b w:val="0"/>
          <w:i/>
          <w:color w:val="111111"/>
          <w:sz w:val="20"/>
          <w:vertAlign w:val="subscript"/>
        </w:rPr>
        <w:t>p</w:t>
      </w:r>
      <w:r>
        <w:rPr>
          <w:rFonts w:ascii="Calibri" w:hAnsi="Calibri"/>
          <w:b w:val="0"/>
          <w:i w:val="0"/>
          <w:color w:val="111111"/>
          <w:sz w:val="20"/>
        </w:rPr>
        <w:t xml:space="preserve"> = 16 pF (Keysight Technologies, 2022). Across the capacitor, </w:t>
      </w:r>
      <w:r>
        <w:rPr>
          <w:rFonts w:ascii="Calibri" w:hAnsi="Calibri"/>
          <w:b w:val="0"/>
          <w:i/>
          <w:color w:val="111111"/>
          <w:sz w:val="20"/>
        </w:rPr>
        <w:t>R</w:t>
      </w:r>
      <w:r>
        <w:rPr>
          <w:rFonts w:ascii="Calibri" w:hAnsi="Calibri"/>
          <w:b w:val="0"/>
          <w:i/>
          <w:color w:val="111111"/>
          <w:sz w:val="20"/>
          <w:vertAlign w:val="subscript"/>
        </w:rPr>
        <w:t>p</w:t>
      </w:r>
      <w:r>
        <w:rPr>
          <w:rFonts w:ascii="Calibri" w:hAnsi="Calibri"/>
          <w:b w:val="0"/>
          <w:i w:val="0"/>
          <w:color w:val="111111"/>
          <w:sz w:val="20"/>
        </w:rPr>
        <w:t xml:space="preserve"> forms a DC divider </w:t>
      </w:r>
      <w:r>
        <w:rPr>
          <w:rFonts w:ascii="Calibri" w:hAnsi="Calibri"/>
          <w:b w:val="0"/>
          <w:i/>
          <w:color w:val="111111"/>
          <w:sz w:val="20"/>
        </w:rPr>
        <w:t>R</w:t>
      </w:r>
      <w:r>
        <w:rPr>
          <w:rFonts w:ascii="Calibri" w:hAnsi="Calibri"/>
          <w:b w:val="0"/>
          <w:i/>
          <w:color w:val="111111"/>
          <w:sz w:val="20"/>
          <w:vertAlign w:val="subscript"/>
        </w:rPr>
        <w:t>p</w:t>
      </w:r>
      <w:r>
        <w:rPr>
          <w:rFonts w:ascii="Calibri" w:hAnsi="Calibri"/>
          <w:b w:val="0"/>
          <w:i w:val="0"/>
          <w:color w:val="111111"/>
          <w:sz w:val="20"/>
        </w:rPr>
        <w:t>/(</w:t>
      </w:r>
      <w:r>
        <w:rPr>
          <w:rFonts w:ascii="Calibri" w:hAnsi="Calibri"/>
          <w:b w:val="0"/>
          <w:i/>
          <w:color w:val="111111"/>
          <w:sz w:val="20"/>
        </w:rPr>
        <w:t>R</w:t>
      </w:r>
      <w:r>
        <w:rPr>
          <w:rFonts w:ascii="Calibri" w:hAnsi="Calibri"/>
          <w:b w:val="0"/>
          <w:i w:val="0"/>
          <w:color w:val="111111"/>
          <w:sz w:val="20"/>
        </w:rPr>
        <w:t xml:space="preserve"> + </w:t>
      </w:r>
      <w:r>
        <w:rPr>
          <w:rFonts w:ascii="Calibri" w:hAnsi="Calibri"/>
          <w:b w:val="0"/>
          <w:i/>
          <w:color w:val="111111"/>
          <w:sz w:val="20"/>
        </w:rPr>
        <w:t>R</w:t>
      </w:r>
      <w:r>
        <w:rPr>
          <w:rFonts w:ascii="Calibri" w:hAnsi="Calibri"/>
          <w:b w:val="0"/>
          <w:i/>
          <w:color w:val="111111"/>
          <w:sz w:val="20"/>
          <w:vertAlign w:val="subscript"/>
        </w:rPr>
        <w:t>p</w:t>
      </w:r>
      <w:r>
        <w:rPr>
          <w:rFonts w:ascii="Calibri" w:hAnsi="Calibri"/>
          <w:b w:val="0"/>
          <w:i w:val="0"/>
          <w:color w:val="111111"/>
          <w:sz w:val="20"/>
        </w:rPr>
        <w:t xml:space="preserve">) = 0.9985 (−0.013 dB) and increases total capacitance from 10.000 nF to 10.016 nF (+0.16%), shifting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from 10,610.3 Hz to 10,609.3 Hz (&lt;0.01%), fully justifying ideal open-circuit output modelling.</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Elimination of Generator Output Impedance via Input Probing:</w:t>
      </w:r>
      <w:r>
        <w:rPr>
          <w:rFonts w:ascii="Calibri" w:hAnsi="Calibri"/>
          <w:b w:val="0"/>
          <w:i w:val="0"/>
          <w:color w:val="111111"/>
          <w:sz w:val="20"/>
        </w:rPr>
        <w:t xml:space="preserve"> Although the Agilent 33220A possesses a 50 Ω internal series resistance and outputs higher terminal voltage into a high-impedance load when set to 50 Ω termination display mode (Keysight Technologies, 2014), probing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t</w:t>
      </w:r>
      <w:r>
        <w:rPr>
          <w:rFonts w:ascii="Calibri" w:hAnsi="Calibri"/>
          <w:b w:val="0"/>
          <w:i w:val="0"/>
          <w:color w:val="111111"/>
          <w:sz w:val="20"/>
        </w:rPr>
        <w:t xml:space="preserve">) directly at the breadboard input node (Figure 1) measures the true boundary voltage applied to the RC network. Thus, </w:t>
      </w:r>
      <w:r>
        <w:rPr>
          <w:rFonts w:ascii="Calibri" w:hAnsi="Calibri"/>
          <w:b w:val="0"/>
          <w:i/>
          <w:color w:val="111111"/>
          <w:sz w:val="20"/>
        </w:rPr>
        <w:t>R</w:t>
      </w:r>
      <w:r>
        <w:rPr>
          <w:rFonts w:ascii="Calibri" w:hAnsi="Calibri"/>
          <w:b w:val="0"/>
          <w:i/>
          <w:color w:val="111111"/>
          <w:sz w:val="20"/>
          <w:vertAlign w:val="subscript"/>
        </w:rPr>
        <w:t>s</w:t>
      </w:r>
      <w:r>
        <w:rPr>
          <w:rFonts w:ascii="Calibri" w:hAnsi="Calibri"/>
          <w:b w:val="0"/>
          <w:i w:val="0"/>
          <w:color w:val="111111"/>
          <w:sz w:val="20"/>
        </w:rPr>
        <w:t xml:space="preserve"> = 50 Ω does not alter the measured ratio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Steady-State Forced Response and Windowed FFT Peak Accuracy:</w:t>
      </w:r>
      <w:r>
        <w:rPr>
          <w:rFonts w:ascii="Calibri" w:hAnsi="Calibri"/>
          <w:b w:val="0"/>
          <w:i w:val="0"/>
          <w:color w:val="111111"/>
          <w:sz w:val="20"/>
        </w:rPr>
        <w:t xml:space="preserve"> Because the natural transient </w:t>
      </w:r>
      <w:r>
        <w:rPr>
          <w:rFonts w:ascii="Calibri" w:hAnsi="Calibri"/>
          <w:b w:val="0"/>
          <w:i/>
          <w:color w:val="111111"/>
          <w:sz w:val="20"/>
        </w:rPr>
        <w:t>e</w:t>
      </w:r>
      <w:r>
        <w:rPr>
          <w:rFonts w:ascii="Calibri" w:hAnsi="Calibri"/>
          <w:b w:val="0"/>
          <w:i w:val="0"/>
          <w:color w:val="111111"/>
          <w:sz w:val="20"/>
          <w:vertAlign w:val="superscript"/>
        </w:rPr>
        <w:t>−</w:t>
      </w:r>
      <w:r>
        <w:rPr>
          <w:rFonts w:ascii="Calibri" w:hAnsi="Calibri"/>
          <w:b w:val="0"/>
          <w:i/>
          <w:color w:val="111111"/>
          <w:sz w:val="20"/>
          <w:vertAlign w:val="superscript"/>
        </w:rPr>
        <w:t>t</w:t>
      </w:r>
      <w:r>
        <w:rPr>
          <w:rFonts w:ascii="Calibri" w:hAnsi="Calibri"/>
          <w:b w:val="0"/>
          <w:i w:val="0"/>
          <w:color w:val="111111"/>
          <w:sz w:val="20"/>
          <w:vertAlign w:val="superscript"/>
        </w:rPr>
        <w:t>/τ</w:t>
      </w:r>
      <w:r>
        <w:rPr>
          <w:rFonts w:ascii="Calibri" w:hAnsi="Calibri"/>
          <w:b w:val="0"/>
          <w:i w:val="0"/>
          <w:color w:val="111111"/>
          <w:sz w:val="20"/>
        </w:rPr>
        <w:t xml:space="preserve"> decays below 1% after 5τ = 75 µs (Oppenheim et al., 1997), continuous oscilloscope acquisitions reflect pure steady-state behaviour. Furthermore, with flat-top/Hanning internal FFT windowing, cursor readings at spectral peaks estimate harmonic RMS magnitudes within ±0.1–0.2 dB despite finite 954 Hz bin spacing (Harris, 1978; Keysight Technologies, 2022).</w:t>
      </w:r>
    </w:p>
    <w:p>
      <w:pPr>
        <w:pStyle w:val="Heading1"/>
        <w:keepNext/>
        <w:spacing w:before="240" w:after="80"/>
      </w:pPr>
      <w:r>
        <w:rPr>
          <w:rFonts w:ascii="Calibri" w:hAnsi="Calibri"/>
          <w:b/>
          <w:i w:val="0"/>
          <w:color w:val="1B365D"/>
          <w:sz w:val="26"/>
        </w:rPr>
        <w:t>3. Results</w:t>
      </w:r>
    </w:p>
    <w:p>
      <w:pPr>
        <w:pStyle w:val="Heading2"/>
        <w:keepNext/>
        <w:spacing w:before="170" w:after="60"/>
      </w:pPr>
      <w:r>
        <w:rPr>
          <w:rFonts w:ascii="Calibri" w:hAnsi="Calibri"/>
          <w:b/>
          <w:i w:val="0"/>
          <w:color w:val="2C3E50"/>
          <w:sz w:val="22"/>
        </w:rPr>
        <w:t>3.1 Theoretical Frequency Response</w:t>
      </w:r>
    </w:p>
    <w:p>
      <w:pPr>
        <w:spacing w:after="100" w:line="276" w:lineRule="auto"/>
        <w:jc w:val="both"/>
      </w:pPr>
      <w:r>
        <w:rPr>
          <w:rFonts w:ascii="Calibri" w:hAnsi="Calibri"/>
          <w:b w:val="0"/>
          <w:i w:val="0"/>
          <w:color w:val="111111"/>
          <w:sz w:val="20"/>
        </w:rPr>
        <w:t>Figure 2 presents the theoretical linear magnitude, logarithmic magnitude (dB), and phase responses of the RC circuit across 0–60 kHz, and Table 1 summarises the exact numerical values at the three test frequencies alongside the −3 dB cut-off point. Magnitude decreases monotonically from 1.0000 (0 dB) at DC towards zero at high frequencies, crossing |</w:t>
      </w:r>
      <w:r>
        <w:rPr>
          <w:rFonts w:ascii="Calibri" w:hAnsi="Calibri"/>
          <w:b w:val="0"/>
          <w:i/>
          <w:color w:val="111111"/>
          <w:sz w:val="20"/>
        </w:rPr>
        <w:t>H</w:t>
      </w:r>
      <w:r>
        <w:rPr>
          <w:rFonts w:ascii="Calibri" w:hAnsi="Calibri"/>
          <w:b w:val="0"/>
          <w:i w:val="0"/>
          <w:color w:val="111111"/>
          <w:sz w:val="20"/>
        </w:rPr>
        <w:t>| = 0.7071 (−3.01 dB) and ∠</w:t>
      </w:r>
      <w:r>
        <w:rPr>
          <w:rFonts w:ascii="Calibri" w:hAnsi="Calibri"/>
          <w:b w:val="0"/>
          <w:i/>
          <w:color w:val="111111"/>
          <w:sz w:val="20"/>
        </w:rPr>
        <w:t>H</w:t>
      </w:r>
      <w:r>
        <w:rPr>
          <w:rFonts w:ascii="Calibri" w:hAnsi="Calibri"/>
          <w:b w:val="0"/>
          <w:i w:val="0"/>
          <w:color w:val="111111"/>
          <w:sz w:val="20"/>
        </w:rPr>
        <w:t xml:space="preserve"> = −45.00° at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w:t>
      </w:r>
    </w:p>
    <w:p>
      <w:pPr>
        <w:keepNext/>
        <w:spacing w:before="80" w:after="40"/>
        <w:jc w:val="center"/>
      </w:pPr>
      <w:r>
        <w:drawing>
          <wp:inline xmlns:a="http://schemas.openxmlformats.org/drawingml/2006/main" xmlns:pic="http://schemas.openxmlformats.org/drawingml/2006/picture">
            <wp:extent cx="5472000" cy="5311059"/>
            <wp:docPr id="11" name="Picture 11"/>
            <wp:cNvGraphicFramePr>
              <a:graphicFrameLocks noChangeAspect="1"/>
            </wp:cNvGraphicFramePr>
            <a:graphic>
              <a:graphicData uri="http://schemas.openxmlformats.org/drawingml/2006/picture">
                <pic:pic>
                  <pic:nvPicPr>
                    <pic:cNvPr id="0" name="fig02_bode_response.png"/>
                    <pic:cNvPicPr/>
                  </pic:nvPicPr>
                  <pic:blipFill>
                    <a:blip r:embed="rId21"/>
                    <a:stretch>
                      <a:fillRect/>
                    </a:stretch>
                  </pic:blipFill>
                  <pic:spPr>
                    <a:xfrm>
                      <a:off x="0" y="0"/>
                      <a:ext cx="5472000" cy="5311059"/>
                    </a:xfrm>
                    <a:prstGeom prst="rect"/>
                  </pic:spPr>
                </pic:pic>
              </a:graphicData>
            </a:graphic>
          </wp:inline>
        </w:drawing>
      </w:r>
    </w:p>
    <w:p>
      <w:pPr>
        <w:spacing w:after="150"/>
        <w:jc w:val="center"/>
      </w:pPr>
      <w:r>
        <w:rPr>
          <w:rFonts w:ascii="Calibri" w:hAnsi="Calibri"/>
          <w:b w:val="0"/>
          <w:i/>
          <w:color w:val="222222"/>
          <w:sz w:val="18"/>
        </w:rPr>
        <w:t>Figure 2. Theoretical frequency response of the RC circuit (</w:t>
      </w:r>
      <w:r>
        <w:rPr>
          <w:rFonts w:ascii="Calibri" w:hAnsi="Calibri"/>
          <w:b w:val="0"/>
          <w:i/>
          <w:color w:val="222222"/>
          <w:sz w:val="18"/>
        </w:rPr>
        <w:t>R</w:t>
      </w:r>
      <w:r>
        <w:rPr>
          <w:rFonts w:ascii="Calibri" w:hAnsi="Calibri"/>
          <w:b w:val="0"/>
          <w:i/>
          <w:color w:val="222222"/>
          <w:sz w:val="18"/>
        </w:rPr>
        <w:t xml:space="preserve"> = 1.5 kΩ, </w:t>
      </w:r>
      <w:r>
        <w:rPr>
          <w:rFonts w:ascii="Calibri" w:hAnsi="Calibri"/>
          <w:b w:val="0"/>
          <w:i/>
          <w:color w:val="222222"/>
          <w:sz w:val="18"/>
        </w:rPr>
        <w:t>C</w:t>
      </w:r>
      <w:r>
        <w:rPr>
          <w:rFonts w:ascii="Calibri" w:hAnsi="Calibri"/>
          <w:b w:val="0"/>
          <w:i/>
          <w:color w:val="222222"/>
          <w:sz w:val="18"/>
        </w:rPr>
        <w:t xml:space="preserve"> = 0.01 µF) over 0–60 kHz: (a) linear amplitude ratio |</w:t>
      </w:r>
      <w:r>
        <w:rPr>
          <w:rFonts w:ascii="Calibri" w:hAnsi="Calibri"/>
          <w:b w:val="0"/>
          <w:i/>
          <w:color w:val="222222"/>
          <w:sz w:val="18"/>
        </w:rPr>
        <w:t>H</w:t>
      </w:r>
      <w:r>
        <w:rPr>
          <w:rFonts w:ascii="Calibri" w:hAnsi="Calibri"/>
          <w:b w:val="0"/>
          <w:i/>
          <w:color w:val="222222"/>
          <w:sz w:val="18"/>
        </w:rPr>
        <w:t>(</w:t>
      </w:r>
      <w:r>
        <w:rPr>
          <w:rFonts w:ascii="Calibri" w:hAnsi="Calibri"/>
          <w:b w:val="0"/>
          <w:i/>
          <w:color w:val="222222"/>
          <w:sz w:val="18"/>
        </w:rPr>
        <w:t>j</w:t>
      </w:r>
      <w:r>
        <w:rPr>
          <w:rFonts w:ascii="Calibri" w:hAnsi="Calibri"/>
          <w:b w:val="0"/>
          <w:i/>
          <w:color w:val="222222"/>
          <w:sz w:val="18"/>
        </w:rPr>
        <w:t>ω)|, (b) decibel gain 20 log</w:t>
      </w:r>
      <w:r>
        <w:rPr>
          <w:rFonts w:ascii="Calibri" w:hAnsi="Calibri"/>
          <w:b w:val="0"/>
          <w:i/>
          <w:color w:val="222222"/>
          <w:sz w:val="18"/>
          <w:vertAlign w:val="subscript"/>
        </w:rPr>
        <w:t>10</w:t>
      </w:r>
      <w:r>
        <w:rPr>
          <w:rFonts w:ascii="Calibri" w:hAnsi="Calibri"/>
          <w:b w:val="0"/>
          <w:i/>
          <w:color w:val="222222"/>
          <w:sz w:val="18"/>
        </w:rPr>
        <w:t>|</w:t>
      </w:r>
      <w:r>
        <w:rPr>
          <w:rFonts w:ascii="Calibri" w:hAnsi="Calibri"/>
          <w:b w:val="0"/>
          <w:i/>
          <w:color w:val="222222"/>
          <w:sz w:val="18"/>
        </w:rPr>
        <w:t>H</w:t>
      </w:r>
      <w:r>
        <w:rPr>
          <w:rFonts w:ascii="Calibri" w:hAnsi="Calibri"/>
          <w:b w:val="0"/>
          <w:i/>
          <w:color w:val="222222"/>
          <w:sz w:val="18"/>
        </w:rPr>
        <w:t>(</w:t>
      </w:r>
      <w:r>
        <w:rPr>
          <w:rFonts w:ascii="Calibri" w:hAnsi="Calibri"/>
          <w:b w:val="0"/>
          <w:i/>
          <w:color w:val="222222"/>
          <w:sz w:val="18"/>
        </w:rPr>
        <w:t>j</w:t>
      </w:r>
      <w:r>
        <w:rPr>
          <w:rFonts w:ascii="Calibri" w:hAnsi="Calibri"/>
          <w:b w:val="0"/>
          <w:i/>
          <w:color w:val="222222"/>
          <w:sz w:val="18"/>
        </w:rPr>
        <w:t>ω)|, and (c) phase angle ∠</w:t>
      </w:r>
      <w:r>
        <w:rPr>
          <w:rFonts w:ascii="Calibri" w:hAnsi="Calibri"/>
          <w:b w:val="0"/>
          <w:i/>
          <w:color w:val="222222"/>
          <w:sz w:val="18"/>
        </w:rPr>
        <w:t>H</w:t>
      </w:r>
      <w:r>
        <w:rPr>
          <w:rFonts w:ascii="Calibri" w:hAnsi="Calibri"/>
          <w:b w:val="0"/>
          <w:i/>
          <w:color w:val="222222"/>
          <w:sz w:val="18"/>
        </w:rPr>
        <w:t>(</w:t>
      </w:r>
      <w:r>
        <w:rPr>
          <w:rFonts w:ascii="Calibri" w:hAnsi="Calibri"/>
          <w:b w:val="0"/>
          <w:i/>
          <w:color w:val="222222"/>
          <w:sz w:val="18"/>
        </w:rPr>
        <w:t>j</w:t>
      </w:r>
      <w:r>
        <w:rPr>
          <w:rFonts w:ascii="Calibri" w:hAnsi="Calibri"/>
          <w:b w:val="0"/>
          <w:i/>
          <w:color w:val="222222"/>
          <w:sz w:val="18"/>
        </w:rPr>
        <w:t xml:space="preserve">ω). Dashed red lines denote </w:t>
      </w:r>
      <w:r>
        <w:rPr>
          <w:rFonts w:ascii="Calibri" w:hAnsi="Calibri"/>
          <w:b w:val="0"/>
          <w:i/>
          <w:color w:val="222222"/>
          <w:sz w:val="18"/>
        </w:rPr>
        <w:t>f</w:t>
      </w:r>
      <w:r>
        <w:rPr>
          <w:rFonts w:ascii="Calibri" w:hAnsi="Calibri"/>
          <w:b w:val="0"/>
          <w:i/>
          <w:color w:val="222222"/>
          <w:sz w:val="18"/>
          <w:vertAlign w:val="subscript"/>
        </w:rPr>
        <w:t>c</w:t>
      </w:r>
      <w:r>
        <w:rPr>
          <w:rFonts w:ascii="Calibri" w:hAnsi="Calibri"/>
          <w:b w:val="0"/>
          <w:i/>
          <w:color w:val="222222"/>
          <w:sz w:val="18"/>
        </w:rPr>
        <w:t xml:space="preserve"> = 10.61 kHz.</w:t>
      </w:r>
    </w:p>
    <w:p>
      <w:pPr>
        <w:keepNext/>
        <w:spacing w:before="130" w:after="50"/>
      </w:pPr>
      <w:r>
        <w:rPr>
          <w:rFonts w:ascii="Calibri" w:hAnsi="Calibri"/>
          <w:b w:val="0"/>
          <w:i/>
          <w:color w:val="111111"/>
          <w:sz w:val="18"/>
        </w:rPr>
        <w:t>Table 1. Theoretical post-laboratory frequency response of the RC circuit (</w:t>
      </w:r>
      <w:r>
        <w:rPr>
          <w:rFonts w:ascii="Calibri" w:hAnsi="Calibri"/>
          <w:b w:val="0"/>
          <w:i/>
          <w:color w:val="111111"/>
          <w:sz w:val="18"/>
        </w:rPr>
        <w:t>R</w:t>
      </w:r>
      <w:r>
        <w:rPr>
          <w:rFonts w:ascii="Calibri" w:hAnsi="Calibri"/>
          <w:b w:val="0"/>
          <w:i/>
          <w:color w:val="111111"/>
          <w:sz w:val="18"/>
        </w:rPr>
        <w:t xml:space="preserve"> = 1.5 kΩ, </w:t>
      </w:r>
      <w:r>
        <w:rPr>
          <w:rFonts w:ascii="Calibri" w:hAnsi="Calibri"/>
          <w:b w:val="0"/>
          <w:i/>
          <w:color w:val="111111"/>
          <w:sz w:val="18"/>
        </w:rPr>
        <w:t>C</w:t>
      </w:r>
      <w:r>
        <w:rPr>
          <w:rFonts w:ascii="Calibri" w:hAnsi="Calibri"/>
          <w:b w:val="0"/>
          <w:i/>
          <w:color w:val="111111"/>
          <w:sz w:val="18"/>
        </w:rPr>
        <w:t xml:space="preserve"> = 0.01 µF).</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928"/>
        <w:gridCol w:w="1928"/>
        <w:gridCol w:w="1928"/>
        <w:gridCol w:w="1928"/>
        <w:gridCol w:w="1928"/>
      </w:tblGrid>
      <w:tr>
        <w:trPr>
          <w:tblHeader/>
          <w:cantSplit/>
        </w:trPr>
        <w:tc>
          <w:tcPr>
            <w:tcW w:type="dxa" w:w="1701"/>
            <w:vAlign w:val="center"/>
            <w:shd w:fill="EAF0F6"/>
            <w:tcMar>
              <w:top w:w="60" w:type="dxa"/>
              <w:bottom w:w="60" w:type="dxa"/>
              <w:left w:w="60" w:type="dxa"/>
              <w:right w:w="60" w:type="dxa"/>
            </w:tcMar>
          </w:tcPr>
          <w:p>
            <w:pPr>
              <w:jc w:val="center"/>
            </w:pPr>
            <w:r>
              <w:rPr>
                <w:rFonts w:ascii="Calibri" w:hAnsi="Calibri"/>
                <w:b/>
                <w:i w:val="0"/>
                <w:color w:val="1B365D"/>
                <w:sz w:val="17"/>
              </w:rPr>
              <w:t xml:space="preserve">Frequency </w:t>
            </w:r>
            <w:r>
              <w:rPr>
                <w:rFonts w:ascii="Calibri" w:hAnsi="Calibri"/>
                <w:b/>
                <w:i/>
                <w:color w:val="1B365D"/>
                <w:sz w:val="17"/>
              </w:rPr>
              <w:t>f</w:t>
            </w:r>
          </w:p>
        </w:tc>
        <w:tc>
          <w:tcPr>
            <w:tcW w:type="dxa" w:w="2381"/>
            <w:vAlign w:val="center"/>
            <w:shd w:fill="EAF0F6"/>
            <w:tcMar>
              <w:top w:w="60" w:type="dxa"/>
              <w:bottom w:w="60" w:type="dxa"/>
              <w:left w:w="60" w:type="dxa"/>
              <w:right w:w="60" w:type="dxa"/>
            </w:tcMar>
          </w:tcPr>
          <w:p>
            <w:pPr>
              <w:jc w:val="center"/>
            </w:pPr>
            <w:r>
              <w:rPr>
                <w:rFonts w:ascii="Calibri" w:hAnsi="Calibri"/>
                <w:b/>
                <w:i w:val="0"/>
                <w:color w:val="1B365D"/>
                <w:sz w:val="17"/>
              </w:rPr>
              <w:t>Angular Frequency ω (rad/s)</w:t>
            </w:r>
          </w:p>
        </w:tc>
        <w:tc>
          <w:tcPr>
            <w:tcW w:type="dxa" w:w="1928"/>
            <w:vAlign w:val="center"/>
            <w:shd w:fill="EAF0F6"/>
            <w:tcMar>
              <w:top w:w="60" w:type="dxa"/>
              <w:bottom w:w="60" w:type="dxa"/>
              <w:left w:w="60" w:type="dxa"/>
              <w:right w:w="60" w:type="dxa"/>
            </w:tcMar>
          </w:tcPr>
          <w:p>
            <w:pPr>
              <w:jc w:val="center"/>
            </w:pPr>
            <w:r>
              <w:rPr>
                <w:rFonts w:ascii="Calibri" w:hAnsi="Calibri"/>
                <w:b/>
                <w:i w:val="0"/>
                <w:color w:val="1B365D"/>
                <w:sz w:val="17"/>
              </w:rPr>
              <w:t>Magnitude |</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c>
          <w:tcPr>
            <w:tcW w:type="dxa" w:w="2154"/>
            <w:vAlign w:val="center"/>
            <w:shd w:fill="EAF0F6"/>
            <w:tcMar>
              <w:top w:w="60" w:type="dxa"/>
              <w:bottom w:w="60" w:type="dxa"/>
              <w:left w:w="60" w:type="dxa"/>
              <w:right w:w="60" w:type="dxa"/>
            </w:tcMar>
          </w:tcPr>
          <w:p>
            <w:pPr>
              <w:jc w:val="center"/>
            </w:pPr>
            <w:r>
              <w:rPr>
                <w:rFonts w:ascii="Calibri" w:hAnsi="Calibri"/>
                <w:b/>
                <w:i w:val="0"/>
                <w:color w:val="1B365D"/>
                <w:sz w:val="17"/>
              </w:rPr>
              <w:t>Magnitude |</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 (dB)</w:t>
            </w:r>
          </w:p>
        </w:tc>
        <w:tc>
          <w:tcPr>
            <w:tcW w:type="dxa" w:w="1474"/>
            <w:vAlign w:val="center"/>
            <w:shd w:fill="EAF0F6"/>
            <w:tcMar>
              <w:top w:w="60" w:type="dxa"/>
              <w:bottom w:w="60" w:type="dxa"/>
              <w:left w:w="60" w:type="dxa"/>
              <w:right w:w="60" w:type="dxa"/>
            </w:tcMar>
          </w:tcPr>
          <w:p>
            <w:pPr>
              <w:jc w:val="center"/>
            </w:pPr>
            <w:r>
              <w:rPr>
                <w:rFonts w:ascii="Calibri" w:hAnsi="Calibri"/>
                <w:b/>
                <w:i w:val="0"/>
                <w:color w:val="1B365D"/>
                <w:sz w:val="17"/>
              </w:rPr>
              <w:t>Phase ∠</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w:t>
            </w:r>
            <w:r>
              <w:rPr>
                <w:rFonts w:ascii="Calibri" w:hAnsi="Calibri"/>
                <w:b/>
                <w:i w:val="0"/>
                <w:color w:val="1B365D"/>
                <w:sz w:val="17"/>
              </w:rPr>
              <w:t>ω)</w:t>
            </w:r>
          </w:p>
        </w:tc>
      </w:tr>
      <w:tr>
        <w:trPr>
          <w:cantSplit/>
        </w:trPr>
        <w:tc>
          <w:tcPr>
            <w:tcW w:type="dxa" w:w="1701"/>
            <w:vAlign w:val="center"/>
            <w:tcMar>
              <w:top w:w="50" w:type="dxa"/>
              <w:bottom w:w="50" w:type="dxa"/>
              <w:left w:w="60" w:type="dxa"/>
              <w:right w:w="60" w:type="dxa"/>
            </w:tcMar>
          </w:tcPr>
          <w:p>
            <w:pPr>
              <w:jc w:val="center"/>
            </w:pPr>
            <w:r>
              <w:rPr>
                <w:rFonts w:ascii="Calibri" w:hAnsi="Calibri"/>
                <w:b w:val="0"/>
                <w:i w:val="0"/>
                <w:color w:val="111111"/>
                <w:sz w:val="17"/>
              </w:rPr>
              <w:t>1 kHz</w:t>
            </w:r>
          </w:p>
        </w:tc>
        <w:tc>
          <w:tcPr>
            <w:tcW w:type="dxa" w:w="2381"/>
            <w:vAlign w:val="center"/>
            <w:tcMar>
              <w:top w:w="50" w:type="dxa"/>
              <w:bottom w:w="50" w:type="dxa"/>
              <w:left w:w="60" w:type="dxa"/>
              <w:right w:w="60" w:type="dxa"/>
            </w:tcMar>
          </w:tcPr>
          <w:p>
            <w:pPr>
              <w:jc w:val="center"/>
            </w:pPr>
            <w:r>
              <w:rPr>
                <w:rFonts w:ascii="Calibri" w:hAnsi="Calibri"/>
                <w:b w:val="0"/>
                <w:i w:val="0"/>
                <w:color w:val="111111"/>
                <w:sz w:val="17"/>
              </w:rPr>
              <w:t>6,283.19</w:t>
            </w:r>
          </w:p>
        </w:tc>
        <w:tc>
          <w:tcPr>
            <w:tcW w:type="dxa" w:w="1928"/>
            <w:vAlign w:val="center"/>
            <w:tcMar>
              <w:top w:w="50" w:type="dxa"/>
              <w:bottom w:w="50" w:type="dxa"/>
              <w:left w:w="60" w:type="dxa"/>
              <w:right w:w="60" w:type="dxa"/>
            </w:tcMar>
          </w:tcPr>
          <w:p>
            <w:pPr>
              <w:jc w:val="center"/>
            </w:pPr>
            <w:r>
              <w:rPr>
                <w:rFonts w:ascii="Calibri" w:hAnsi="Calibri"/>
                <w:b w:val="0"/>
                <w:i w:val="0"/>
                <w:color w:val="111111"/>
                <w:sz w:val="17"/>
              </w:rPr>
              <w:t>0.9956</w:t>
            </w:r>
          </w:p>
        </w:tc>
        <w:tc>
          <w:tcPr>
            <w:tcW w:type="dxa" w:w="2154"/>
            <w:vAlign w:val="center"/>
            <w:tcMar>
              <w:top w:w="50" w:type="dxa"/>
              <w:bottom w:w="50" w:type="dxa"/>
              <w:left w:w="60" w:type="dxa"/>
              <w:right w:w="60" w:type="dxa"/>
            </w:tcMar>
          </w:tcPr>
          <w:p>
            <w:pPr>
              <w:jc w:val="center"/>
            </w:pPr>
            <w:r>
              <w:rPr>
                <w:rFonts w:ascii="Calibri" w:hAnsi="Calibri"/>
                <w:b w:val="0"/>
                <w:i w:val="0"/>
                <w:color w:val="111111"/>
                <w:sz w:val="17"/>
              </w:rPr>
              <w:t>−0.04 (−0.0384)</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−5.38°</w:t>
            </w:r>
          </w:p>
        </w:tc>
      </w:tr>
      <w:tr>
        <w:trPr>
          <w:cantSplit/>
        </w:trPr>
        <w:tc>
          <w:tcPr>
            <w:tcW w:type="dxa" w:w="1701"/>
            <w:vAlign w:val="center"/>
            <w:shd w:fill="F8FAFC"/>
            <w:tcMar>
              <w:top w:w="50" w:type="dxa"/>
              <w:bottom w:w="50" w:type="dxa"/>
              <w:left w:w="60" w:type="dxa"/>
              <w:right w:w="60" w:type="dxa"/>
            </w:tcMar>
          </w:tcPr>
          <w:p>
            <w:pPr>
              <w:jc w:val="center"/>
            </w:pPr>
            <w:r>
              <w:rPr>
                <w:rFonts w:ascii="Calibri" w:hAnsi="Calibri"/>
                <w:b w:val="0"/>
                <w:i w:val="0"/>
                <w:color w:val="111111"/>
                <w:sz w:val="17"/>
              </w:rPr>
              <w:t>10 kHz</w:t>
            </w:r>
          </w:p>
        </w:tc>
        <w:tc>
          <w:tcPr>
            <w:tcW w:type="dxa" w:w="2381"/>
            <w:vAlign w:val="center"/>
            <w:shd w:fill="F8FAFC"/>
            <w:tcMar>
              <w:top w:w="50" w:type="dxa"/>
              <w:bottom w:w="50" w:type="dxa"/>
              <w:left w:w="60" w:type="dxa"/>
              <w:right w:w="60" w:type="dxa"/>
            </w:tcMar>
          </w:tcPr>
          <w:p>
            <w:pPr>
              <w:jc w:val="center"/>
            </w:pPr>
            <w:r>
              <w:rPr>
                <w:rFonts w:ascii="Calibri" w:hAnsi="Calibri"/>
                <w:b w:val="0"/>
                <w:i w:val="0"/>
                <w:color w:val="111111"/>
                <w:sz w:val="17"/>
              </w:rPr>
              <w:t>62,831.85</w:t>
            </w:r>
          </w:p>
        </w:tc>
        <w:tc>
          <w:tcPr>
            <w:tcW w:type="dxa" w:w="1928"/>
            <w:vAlign w:val="center"/>
            <w:shd w:fill="F8FAFC"/>
            <w:tcMar>
              <w:top w:w="50" w:type="dxa"/>
              <w:bottom w:w="50" w:type="dxa"/>
              <w:left w:w="60" w:type="dxa"/>
              <w:right w:w="60" w:type="dxa"/>
            </w:tcMar>
          </w:tcPr>
          <w:p>
            <w:pPr>
              <w:jc w:val="center"/>
            </w:pPr>
            <w:r>
              <w:rPr>
                <w:rFonts w:ascii="Calibri" w:hAnsi="Calibri"/>
                <w:b w:val="0"/>
                <w:i w:val="0"/>
                <w:color w:val="111111"/>
                <w:sz w:val="17"/>
              </w:rPr>
              <w:t>0.7277</w:t>
            </w:r>
          </w:p>
        </w:tc>
        <w:tc>
          <w:tcPr>
            <w:tcW w:type="dxa" w:w="2154"/>
            <w:vAlign w:val="center"/>
            <w:shd w:fill="F8FAFC"/>
            <w:tcMar>
              <w:top w:w="50" w:type="dxa"/>
              <w:bottom w:w="50" w:type="dxa"/>
              <w:left w:w="60" w:type="dxa"/>
              <w:right w:w="60" w:type="dxa"/>
            </w:tcMar>
          </w:tcPr>
          <w:p>
            <w:pPr>
              <w:jc w:val="center"/>
            </w:pPr>
            <w:r>
              <w:rPr>
                <w:rFonts w:ascii="Calibri" w:hAnsi="Calibri"/>
                <w:b w:val="0"/>
                <w:i w:val="0"/>
                <w:color w:val="111111"/>
                <w:sz w:val="17"/>
              </w:rPr>
              <w:t>−2.76 (−2.7606)</w:t>
            </w:r>
          </w:p>
        </w:tc>
        <w:tc>
          <w:tcPr>
            <w:tcW w:type="dxa" w:w="1474"/>
            <w:vAlign w:val="center"/>
            <w:shd w:fill="F8FAFC"/>
            <w:tcMar>
              <w:top w:w="50" w:type="dxa"/>
              <w:bottom w:w="50" w:type="dxa"/>
              <w:left w:w="60" w:type="dxa"/>
              <w:right w:w="60" w:type="dxa"/>
            </w:tcMar>
          </w:tcPr>
          <w:p>
            <w:pPr>
              <w:jc w:val="center"/>
            </w:pPr>
            <w:r>
              <w:rPr>
                <w:rFonts w:ascii="Calibri" w:hAnsi="Calibri"/>
                <w:b w:val="0"/>
                <w:i w:val="0"/>
                <w:color w:val="111111"/>
                <w:sz w:val="17"/>
              </w:rPr>
              <w:t>−43.30°</w:t>
            </w:r>
          </w:p>
        </w:tc>
      </w:tr>
      <w:tr>
        <w:trPr>
          <w:cantSplit/>
        </w:trPr>
        <w:tc>
          <w:tcPr>
            <w:tcW w:type="dxa" w:w="1701"/>
            <w:vAlign w:val="center"/>
            <w:tcMar>
              <w:top w:w="50" w:type="dxa"/>
              <w:bottom w:w="50" w:type="dxa"/>
              <w:left w:w="60" w:type="dxa"/>
              <w:right w:w="60" w:type="dxa"/>
            </w:tcMar>
          </w:tcPr>
          <w:p>
            <w:pPr>
              <w:jc w:val="center"/>
            </w:pPr>
            <w:r>
              <w:rPr>
                <w:rFonts w:ascii="Calibri" w:hAnsi="Calibri"/>
                <w:b w:val="0"/>
                <w:i w:val="0"/>
                <w:color w:val="111111"/>
                <w:sz w:val="17"/>
              </w:rPr>
              <w:t>40 kHz</w:t>
            </w:r>
          </w:p>
        </w:tc>
        <w:tc>
          <w:tcPr>
            <w:tcW w:type="dxa" w:w="2381"/>
            <w:vAlign w:val="center"/>
            <w:tcMar>
              <w:top w:w="50" w:type="dxa"/>
              <w:bottom w:w="50" w:type="dxa"/>
              <w:left w:w="60" w:type="dxa"/>
              <w:right w:w="60" w:type="dxa"/>
            </w:tcMar>
          </w:tcPr>
          <w:p>
            <w:pPr>
              <w:jc w:val="center"/>
            </w:pPr>
            <w:r>
              <w:rPr>
                <w:rFonts w:ascii="Calibri" w:hAnsi="Calibri"/>
                <w:b w:val="0"/>
                <w:i w:val="0"/>
                <w:color w:val="111111"/>
                <w:sz w:val="17"/>
              </w:rPr>
              <w:t>251,327.41</w:t>
            </w:r>
          </w:p>
        </w:tc>
        <w:tc>
          <w:tcPr>
            <w:tcW w:type="dxa" w:w="1928"/>
            <w:vAlign w:val="center"/>
            <w:tcMar>
              <w:top w:w="50" w:type="dxa"/>
              <w:bottom w:w="50" w:type="dxa"/>
              <w:left w:w="60" w:type="dxa"/>
              <w:right w:w="60" w:type="dxa"/>
            </w:tcMar>
          </w:tcPr>
          <w:p>
            <w:pPr>
              <w:jc w:val="center"/>
            </w:pPr>
            <w:r>
              <w:rPr>
                <w:rFonts w:ascii="Calibri" w:hAnsi="Calibri"/>
                <w:b w:val="0"/>
                <w:i w:val="0"/>
                <w:color w:val="111111"/>
                <w:sz w:val="17"/>
              </w:rPr>
              <w:t>0.2564</w:t>
            </w:r>
          </w:p>
        </w:tc>
        <w:tc>
          <w:tcPr>
            <w:tcW w:type="dxa" w:w="2154"/>
            <w:vAlign w:val="center"/>
            <w:tcMar>
              <w:top w:w="50" w:type="dxa"/>
              <w:bottom w:w="50" w:type="dxa"/>
              <w:left w:w="60" w:type="dxa"/>
              <w:right w:w="60" w:type="dxa"/>
            </w:tcMar>
          </w:tcPr>
          <w:p>
            <w:pPr>
              <w:jc w:val="center"/>
            </w:pPr>
            <w:r>
              <w:rPr>
                <w:rFonts w:ascii="Calibri" w:hAnsi="Calibri"/>
                <w:b w:val="0"/>
                <w:i w:val="0"/>
                <w:color w:val="111111"/>
                <w:sz w:val="17"/>
              </w:rPr>
              <w:t>−11.82 (−11.8219)</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−75.14°</w:t>
            </w:r>
          </w:p>
        </w:tc>
      </w:tr>
      <w:tr>
        <w:trPr>
          <w:cantSplit/>
        </w:trPr>
        <w:tc>
          <w:tcPr>
            <w:tcW w:type="dxa" w:w="1701"/>
            <w:vAlign w:val="center"/>
            <w:shd w:fill="F8FAFC"/>
            <w:tcMar>
              <w:top w:w="50" w:type="dxa"/>
              <w:bottom w:w="50" w:type="dxa"/>
              <w:left w:w="60" w:type="dxa"/>
              <w:right w:w="60" w:type="dxa"/>
            </w:tcMar>
          </w:tcPr>
          <w:p>
            <w:pPr>
              <w:jc w:val="left"/>
            </w:pPr>
            <w:r>
              <w:rPr>
                <w:rFonts w:ascii="Calibri" w:hAnsi="Calibri"/>
                <w:b w:val="0"/>
                <w:i/>
                <w:color w:val="111111"/>
                <w:sz w:val="17"/>
              </w:rPr>
              <w:t>f</w:t>
            </w:r>
            <w:r>
              <w:rPr>
                <w:rFonts w:ascii="Calibri" w:hAnsi="Calibri"/>
                <w:b w:val="0"/>
                <w:i/>
                <w:color w:val="111111"/>
                <w:sz w:val="17"/>
                <w:vertAlign w:val="subscript"/>
              </w:rPr>
              <w:t>c</w:t>
            </w:r>
            <w:r>
              <w:rPr>
                <w:rFonts w:ascii="Calibri" w:hAnsi="Calibri"/>
                <w:b w:val="0"/>
                <w:i w:val="0"/>
                <w:color w:val="111111"/>
                <w:sz w:val="17"/>
              </w:rPr>
              <w:t xml:space="preserve"> = 10.61 kHz</w:t>
            </w:r>
          </w:p>
        </w:tc>
        <w:tc>
          <w:tcPr>
            <w:tcW w:type="dxa" w:w="2381"/>
            <w:vAlign w:val="center"/>
            <w:shd w:fill="F8FAFC"/>
            <w:tcMar>
              <w:top w:w="50" w:type="dxa"/>
              <w:bottom w:w="50" w:type="dxa"/>
              <w:left w:w="60" w:type="dxa"/>
              <w:right w:w="60" w:type="dxa"/>
            </w:tcMar>
          </w:tcPr>
          <w:p>
            <w:pPr>
              <w:jc w:val="center"/>
            </w:pPr>
            <w:r>
              <w:rPr>
                <w:rFonts w:ascii="Calibri" w:hAnsi="Calibri"/>
                <w:b w:val="0"/>
                <w:i w:val="0"/>
                <w:color w:val="111111"/>
                <w:sz w:val="17"/>
              </w:rPr>
              <w:t>66,666.67</w:t>
            </w:r>
          </w:p>
        </w:tc>
        <w:tc>
          <w:tcPr>
            <w:tcW w:type="dxa" w:w="1928"/>
            <w:vAlign w:val="center"/>
            <w:shd w:fill="F8FAFC"/>
            <w:tcMar>
              <w:top w:w="50" w:type="dxa"/>
              <w:bottom w:w="50" w:type="dxa"/>
              <w:left w:w="60" w:type="dxa"/>
              <w:right w:w="60" w:type="dxa"/>
            </w:tcMar>
          </w:tcPr>
          <w:p>
            <w:pPr>
              <w:jc w:val="center"/>
            </w:pPr>
            <w:r>
              <w:rPr>
                <w:rFonts w:ascii="Calibri" w:hAnsi="Calibri"/>
                <w:b w:val="0"/>
                <w:i w:val="0"/>
                <w:color w:val="111111"/>
                <w:sz w:val="17"/>
              </w:rPr>
              <w:t>0.7071 (1/√2)</w:t>
            </w:r>
          </w:p>
        </w:tc>
        <w:tc>
          <w:tcPr>
            <w:tcW w:type="dxa" w:w="2154"/>
            <w:vAlign w:val="center"/>
            <w:shd w:fill="F8FAFC"/>
            <w:tcMar>
              <w:top w:w="50" w:type="dxa"/>
              <w:bottom w:w="50" w:type="dxa"/>
              <w:left w:w="60" w:type="dxa"/>
              <w:right w:w="60" w:type="dxa"/>
            </w:tcMar>
          </w:tcPr>
          <w:p>
            <w:pPr>
              <w:jc w:val="center"/>
            </w:pPr>
            <w:r>
              <w:rPr>
                <w:rFonts w:ascii="Calibri" w:hAnsi="Calibri"/>
                <w:b w:val="0"/>
                <w:i w:val="0"/>
                <w:color w:val="111111"/>
                <w:sz w:val="17"/>
              </w:rPr>
              <w:t>−3.01</w:t>
            </w:r>
          </w:p>
        </w:tc>
        <w:tc>
          <w:tcPr>
            <w:tcW w:type="dxa" w:w="1474"/>
            <w:vAlign w:val="center"/>
            <w:shd w:fill="F8FAFC"/>
            <w:tcMar>
              <w:top w:w="50" w:type="dxa"/>
              <w:bottom w:w="50" w:type="dxa"/>
              <w:left w:w="60" w:type="dxa"/>
              <w:right w:w="60" w:type="dxa"/>
            </w:tcMar>
          </w:tcPr>
          <w:p>
            <w:pPr>
              <w:jc w:val="center"/>
            </w:pPr>
            <w:r>
              <w:rPr>
                <w:rFonts w:ascii="Calibri" w:hAnsi="Calibri"/>
                <w:b w:val="0"/>
                <w:i w:val="0"/>
                <w:color w:val="111111"/>
                <w:sz w:val="17"/>
              </w:rPr>
              <w:t>−45.00°</w:t>
            </w:r>
          </w:p>
        </w:tc>
      </w:tr>
    </w:tbl>
    <w:p>
      <w:pPr>
        <w:pStyle w:val="Heading2"/>
        <w:keepNext/>
        <w:spacing w:before="170" w:after="60"/>
      </w:pPr>
      <w:r>
        <w:rPr>
          <w:rFonts w:ascii="Calibri" w:hAnsi="Calibri"/>
          <w:b/>
          <w:i w:val="0"/>
          <w:color w:val="2C3E50"/>
          <w:sz w:val="22"/>
        </w:rPr>
        <w:t>3.2 Predicted Response to Sinusoidal Inputs</w:t>
      </w:r>
    </w:p>
    <w:p>
      <w:pPr>
        <w:spacing w:after="100" w:line="276" w:lineRule="auto"/>
        <w:jc w:val="both"/>
      </w:pPr>
      <w:r>
        <w:rPr>
          <w:rFonts w:ascii="Calibri" w:hAnsi="Calibri"/>
          <w:b w:val="0"/>
          <w:i w:val="0"/>
          <w:color w:val="111111"/>
          <w:sz w:val="20"/>
        </w:rPr>
        <w:t>For a 15 V</w:t>
      </w:r>
      <w:r>
        <w:rPr>
          <w:rFonts w:ascii="Calibri" w:hAnsi="Calibri"/>
          <w:b w:val="0"/>
          <w:i w:val="0"/>
          <w:color w:val="111111"/>
          <w:sz w:val="20"/>
          <w:vertAlign w:val="subscript"/>
        </w:rPr>
        <w:t>pp</w:t>
      </w:r>
      <w:r>
        <w:rPr>
          <w:rFonts w:ascii="Calibri" w:hAnsi="Calibri"/>
          <w:b w:val="0"/>
          <w:i w:val="0"/>
          <w:color w:val="111111"/>
          <w:sz w:val="20"/>
        </w:rPr>
        <w:t xml:space="preserve"> (7.50 V</w:t>
      </w:r>
      <w:r>
        <w:rPr>
          <w:rFonts w:ascii="Calibri" w:hAnsi="Calibri"/>
          <w:b w:val="0"/>
          <w:i w:val="0"/>
          <w:color w:val="111111"/>
          <w:sz w:val="20"/>
          <w:vertAlign w:val="subscript"/>
        </w:rPr>
        <w:t>pk</w:t>
      </w:r>
      <w:r>
        <w:rPr>
          <w:rFonts w:ascii="Calibri" w:hAnsi="Calibri"/>
          <w:b w:val="0"/>
          <w:i w:val="0"/>
          <w:color w:val="111111"/>
          <w:sz w:val="20"/>
        </w:rPr>
        <w:t>, 14.49 dBV</w:t>
      </w:r>
      <w:r>
        <w:rPr>
          <w:rFonts w:ascii="Calibri" w:hAnsi="Calibri"/>
          <w:b w:val="0"/>
          <w:i w:val="0"/>
          <w:color w:val="111111"/>
          <w:sz w:val="20"/>
          <w:vertAlign w:val="subscript"/>
        </w:rPr>
        <w:t>rms</w:t>
      </w:r>
      <w:r>
        <w:rPr>
          <w:rFonts w:ascii="Calibri" w:hAnsi="Calibri"/>
          <w:b w:val="0"/>
          <w:i w:val="0"/>
          <w:color w:val="111111"/>
          <w:sz w:val="20"/>
        </w:rPr>
        <w:t>) zero-phase sinusoidal input, Table 2 lists the predicted peak, peak-to-peak, and RMS dBV output magnitudes and phase angles at 1, 10, and 40 kHz. Figure 3 displays the corresponding single-sided discrete magnitude and phase stem spectra. At 1 kHz (well inside the passband), attenuation is negligible (7.47 V</w:t>
      </w:r>
      <w:r>
        <w:rPr>
          <w:rFonts w:ascii="Calibri" w:hAnsi="Calibri"/>
          <w:b w:val="0"/>
          <w:i w:val="0"/>
          <w:color w:val="111111"/>
          <w:sz w:val="20"/>
          <w:vertAlign w:val="subscript"/>
        </w:rPr>
        <w:t>pk</w:t>
      </w:r>
      <w:r>
        <w:rPr>
          <w:rFonts w:ascii="Calibri" w:hAnsi="Calibri"/>
          <w:b w:val="0"/>
          <w:i w:val="0"/>
          <w:color w:val="111111"/>
          <w:sz w:val="20"/>
        </w:rPr>
        <w:t xml:space="preserve">, −5.38°), whereas at 40 kHz (nearly two octaves above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the output drops to 1.92 V</w:t>
      </w:r>
      <w:r>
        <w:rPr>
          <w:rFonts w:ascii="Calibri" w:hAnsi="Calibri"/>
          <w:b w:val="0"/>
          <w:i w:val="0"/>
          <w:color w:val="111111"/>
          <w:sz w:val="20"/>
          <w:vertAlign w:val="subscript"/>
        </w:rPr>
        <w:t>pk</w:t>
      </w:r>
      <w:r>
        <w:rPr>
          <w:rFonts w:ascii="Calibri" w:hAnsi="Calibri"/>
          <w:b w:val="0"/>
          <w:i w:val="0"/>
          <w:color w:val="111111"/>
          <w:sz w:val="20"/>
        </w:rPr>
        <w:t xml:space="preserve"> with a −75.14° lag.</w:t>
      </w:r>
    </w:p>
    <w:p>
      <w:pPr>
        <w:keepNext/>
        <w:spacing w:before="130" w:after="50"/>
      </w:pPr>
      <w:r>
        <w:rPr>
          <w:rFonts w:ascii="Calibri" w:hAnsi="Calibri"/>
          <w:b w:val="0"/>
          <w:i/>
          <w:color w:val="111111"/>
          <w:sz w:val="18"/>
        </w:rPr>
        <w:t>Table 2. Predicted steady-state sinusoidal output for a 15 V</w:t>
      </w:r>
      <w:r>
        <w:rPr>
          <w:rFonts w:ascii="Calibri" w:hAnsi="Calibri"/>
          <w:b w:val="0"/>
          <w:i/>
          <w:color w:val="111111"/>
          <w:sz w:val="18"/>
          <w:vertAlign w:val="subscript"/>
        </w:rPr>
        <w:t>pp</w:t>
      </w:r>
      <w:r>
        <w:rPr>
          <w:rFonts w:ascii="Calibri" w:hAnsi="Calibri"/>
          <w:b w:val="0"/>
          <w:i/>
          <w:color w:val="111111"/>
          <w:sz w:val="18"/>
        </w:rPr>
        <w:t xml:space="preserve"> (7.50 V</w:t>
      </w:r>
      <w:r>
        <w:rPr>
          <w:rFonts w:ascii="Calibri" w:hAnsi="Calibri"/>
          <w:b w:val="0"/>
          <w:i/>
          <w:color w:val="111111"/>
          <w:sz w:val="18"/>
          <w:vertAlign w:val="subscript"/>
        </w:rPr>
        <w:t>pk</w:t>
      </w:r>
      <w:r>
        <w:rPr>
          <w:rFonts w:ascii="Calibri" w:hAnsi="Calibri"/>
          <w:b w:val="0"/>
          <w:i/>
          <w:color w:val="111111"/>
          <w:sz w:val="18"/>
        </w:rPr>
        <w:t>, 0° phase) input.</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606"/>
        <w:gridCol w:w="1606"/>
        <w:gridCol w:w="1606"/>
        <w:gridCol w:w="1606"/>
        <w:gridCol w:w="1606"/>
        <w:gridCol w:w="1606"/>
      </w:tblGrid>
      <w:tr>
        <w:trPr>
          <w:tblHeader/>
          <w:cantSplit/>
        </w:trPr>
        <w:tc>
          <w:tcPr>
            <w:tcW w:type="dxa" w:w="1247"/>
            <w:vAlign w:val="center"/>
            <w:shd w:fill="EAF0F6"/>
            <w:tcMar>
              <w:top w:w="60" w:type="dxa"/>
              <w:bottom w:w="60" w:type="dxa"/>
              <w:left w:w="60" w:type="dxa"/>
              <w:right w:w="60" w:type="dxa"/>
            </w:tcMar>
          </w:tcPr>
          <w:p>
            <w:pPr>
              <w:jc w:val="center"/>
            </w:pPr>
            <w:r>
              <w:rPr>
                <w:rFonts w:ascii="Calibri" w:hAnsi="Calibri"/>
                <w:b/>
                <w:i/>
                <w:color w:val="1B365D"/>
                <w:sz w:val="17"/>
              </w:rPr>
              <w:t>f</w:t>
            </w:r>
          </w:p>
        </w:tc>
        <w:tc>
          <w:tcPr>
            <w:tcW w:type="dxa" w:w="1474"/>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i</w:t>
            </w:r>
            <w:r>
              <w:rPr>
                <w:rFonts w:ascii="Calibri" w:hAnsi="Calibri"/>
                <w:b/>
                <w:i w:val="0"/>
                <w:color w:val="1B365D"/>
                <w:sz w:val="17"/>
              </w:rPr>
              <w:t>| (V</w:t>
            </w:r>
            <w:r>
              <w:rPr>
                <w:rFonts w:ascii="Calibri" w:hAnsi="Calibri"/>
                <w:b/>
                <w:i w:val="0"/>
                <w:color w:val="1B365D"/>
                <w:sz w:val="17"/>
                <w:vertAlign w:val="subscript"/>
              </w:rPr>
              <w:t>pk</w:t>
            </w:r>
            <w:r>
              <w:rPr>
                <w:rFonts w:ascii="Calibri" w:hAnsi="Calibri"/>
                <w:b/>
                <w:i w:val="0"/>
                <w:color w:val="1B365D"/>
                <w:sz w:val="17"/>
              </w:rPr>
              <w:t>)</w:t>
            </w:r>
          </w:p>
        </w:tc>
        <w:tc>
          <w:tcPr>
            <w:tcW w:type="dxa" w:w="1814"/>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o</w:t>
            </w:r>
            <w:r>
              <w:rPr>
                <w:rFonts w:ascii="Calibri" w:hAnsi="Calibri"/>
                <w:b/>
                <w:i w:val="0"/>
                <w:color w:val="1B365D"/>
                <w:sz w:val="17"/>
              </w:rPr>
              <w:t>| (V</w:t>
            </w:r>
            <w:r>
              <w:rPr>
                <w:rFonts w:ascii="Calibri" w:hAnsi="Calibri"/>
                <w:b/>
                <w:i w:val="0"/>
                <w:color w:val="1B365D"/>
                <w:sz w:val="17"/>
                <w:vertAlign w:val="subscript"/>
              </w:rPr>
              <w:t>pk</w:t>
            </w:r>
            <w:r>
              <w:rPr>
                <w:rFonts w:ascii="Calibri" w:hAnsi="Calibri"/>
                <w:b/>
                <w:i w:val="0"/>
                <w:color w:val="1B365D"/>
                <w:sz w:val="17"/>
              </w:rPr>
              <w:t>)</w:t>
            </w:r>
          </w:p>
        </w:tc>
        <w:tc>
          <w:tcPr>
            <w:tcW w:type="dxa" w:w="1587"/>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o</w:t>
            </w:r>
            <w:r>
              <w:rPr>
                <w:rFonts w:ascii="Calibri" w:hAnsi="Calibri"/>
                <w:b/>
                <w:i w:val="0"/>
                <w:color w:val="1B365D"/>
                <w:sz w:val="17"/>
              </w:rPr>
              <w:t>| (V</w:t>
            </w:r>
            <w:r>
              <w:rPr>
                <w:rFonts w:ascii="Calibri" w:hAnsi="Calibri"/>
                <w:b/>
                <w:i w:val="0"/>
                <w:color w:val="1B365D"/>
                <w:sz w:val="17"/>
                <w:vertAlign w:val="subscript"/>
              </w:rPr>
              <w:t>pp</w:t>
            </w:r>
            <w:r>
              <w:rPr>
                <w:rFonts w:ascii="Calibri" w:hAnsi="Calibri"/>
                <w:b/>
                <w:i w:val="0"/>
                <w:color w:val="1B365D"/>
                <w:sz w:val="17"/>
              </w:rPr>
              <w:t>)</w:t>
            </w:r>
          </w:p>
        </w:tc>
        <w:tc>
          <w:tcPr>
            <w:tcW w:type="dxa" w:w="1928"/>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o</w:t>
            </w:r>
            <w:r>
              <w:rPr>
                <w:rFonts w:ascii="Calibri" w:hAnsi="Calibri"/>
                <w:b/>
                <w:i w:val="0"/>
                <w:color w:val="1B365D"/>
                <w:sz w:val="17"/>
              </w:rPr>
              <w:t>| (dBV</w:t>
            </w:r>
            <w:r>
              <w:rPr>
                <w:rFonts w:ascii="Calibri" w:hAnsi="Calibri"/>
                <w:b/>
                <w:i w:val="0"/>
                <w:color w:val="1B365D"/>
                <w:sz w:val="17"/>
                <w:vertAlign w:val="subscript"/>
              </w:rPr>
              <w:t>rms</w:t>
            </w:r>
            <w:r>
              <w:rPr>
                <w:rFonts w:ascii="Calibri" w:hAnsi="Calibri"/>
                <w:b/>
                <w:i w:val="0"/>
                <w:color w:val="1B365D"/>
                <w:sz w:val="17"/>
              </w:rPr>
              <w:t>)</w:t>
            </w:r>
          </w:p>
        </w:tc>
        <w:tc>
          <w:tcPr>
            <w:tcW w:type="dxa" w:w="1587"/>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o</w:t>
            </w:r>
          </w:p>
        </w:tc>
      </w:tr>
      <w:tr>
        <w:trPr>
          <w:cantSplit/>
        </w:trPr>
        <w:tc>
          <w:tcPr>
            <w:tcW w:type="dxa" w:w="1247"/>
            <w:vAlign w:val="center"/>
            <w:tcMar>
              <w:top w:w="50" w:type="dxa"/>
              <w:bottom w:w="50" w:type="dxa"/>
              <w:left w:w="60" w:type="dxa"/>
              <w:right w:w="60" w:type="dxa"/>
            </w:tcMar>
          </w:tcPr>
          <w:p>
            <w:pPr>
              <w:jc w:val="center"/>
            </w:pPr>
            <w:r>
              <w:rPr>
                <w:rFonts w:ascii="Calibri" w:hAnsi="Calibri"/>
                <w:b w:val="0"/>
                <w:i w:val="0"/>
                <w:color w:val="111111"/>
                <w:sz w:val="17"/>
              </w:rPr>
              <w:t>1 kHz</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7.50</w:t>
            </w:r>
          </w:p>
        </w:tc>
        <w:tc>
          <w:tcPr>
            <w:tcW w:type="dxa" w:w="1814"/>
            <w:vAlign w:val="center"/>
            <w:tcMar>
              <w:top w:w="50" w:type="dxa"/>
              <w:bottom w:w="50" w:type="dxa"/>
              <w:left w:w="60" w:type="dxa"/>
              <w:right w:w="60" w:type="dxa"/>
            </w:tcMar>
          </w:tcPr>
          <w:p>
            <w:pPr>
              <w:jc w:val="center"/>
            </w:pPr>
            <w:r>
              <w:rPr>
                <w:rFonts w:ascii="Calibri" w:hAnsi="Calibri"/>
                <w:b w:val="0"/>
                <w:i w:val="0"/>
                <w:color w:val="111111"/>
                <w:sz w:val="17"/>
              </w:rPr>
              <w:t>7.47 (7.467)</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14.93</w:t>
            </w:r>
          </w:p>
        </w:tc>
        <w:tc>
          <w:tcPr>
            <w:tcW w:type="dxa" w:w="1928"/>
            <w:vAlign w:val="center"/>
            <w:tcMar>
              <w:top w:w="50" w:type="dxa"/>
              <w:bottom w:w="50" w:type="dxa"/>
              <w:left w:w="60" w:type="dxa"/>
              <w:right w:w="60" w:type="dxa"/>
            </w:tcMar>
          </w:tcPr>
          <w:p>
            <w:pPr>
              <w:jc w:val="center"/>
            </w:pPr>
            <w:r>
              <w:rPr>
                <w:rFonts w:ascii="Calibri" w:hAnsi="Calibri"/>
                <w:b w:val="0"/>
                <w:i w:val="0"/>
                <w:color w:val="111111"/>
                <w:sz w:val="17"/>
              </w:rPr>
              <w:t>14.45</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−5.38°</w:t>
            </w:r>
          </w:p>
        </w:tc>
      </w:tr>
      <w:tr>
        <w:trPr>
          <w:cantSplit/>
        </w:trPr>
        <w:tc>
          <w:tcPr>
            <w:tcW w:type="dxa" w:w="1247"/>
            <w:vAlign w:val="center"/>
            <w:shd w:fill="F8FAFC"/>
            <w:tcMar>
              <w:top w:w="50" w:type="dxa"/>
              <w:bottom w:w="50" w:type="dxa"/>
              <w:left w:w="60" w:type="dxa"/>
              <w:right w:w="60" w:type="dxa"/>
            </w:tcMar>
          </w:tcPr>
          <w:p>
            <w:pPr>
              <w:jc w:val="center"/>
            </w:pPr>
            <w:r>
              <w:rPr>
                <w:rFonts w:ascii="Calibri" w:hAnsi="Calibri"/>
                <w:b w:val="0"/>
                <w:i w:val="0"/>
                <w:color w:val="111111"/>
                <w:sz w:val="17"/>
              </w:rPr>
              <w:t>10 kHz</w:t>
            </w:r>
          </w:p>
        </w:tc>
        <w:tc>
          <w:tcPr>
            <w:tcW w:type="dxa" w:w="1474"/>
            <w:vAlign w:val="center"/>
            <w:shd w:fill="F8FAFC"/>
            <w:tcMar>
              <w:top w:w="50" w:type="dxa"/>
              <w:bottom w:w="50" w:type="dxa"/>
              <w:left w:w="60" w:type="dxa"/>
              <w:right w:w="60" w:type="dxa"/>
            </w:tcMar>
          </w:tcPr>
          <w:p>
            <w:pPr>
              <w:jc w:val="center"/>
            </w:pPr>
            <w:r>
              <w:rPr>
                <w:rFonts w:ascii="Calibri" w:hAnsi="Calibri"/>
                <w:b w:val="0"/>
                <w:i w:val="0"/>
                <w:color w:val="111111"/>
                <w:sz w:val="17"/>
              </w:rPr>
              <w:t>7.50</w:t>
            </w:r>
          </w:p>
        </w:tc>
        <w:tc>
          <w:tcPr>
            <w:tcW w:type="dxa" w:w="1814"/>
            <w:vAlign w:val="center"/>
            <w:shd w:fill="F8FAFC"/>
            <w:tcMar>
              <w:top w:w="50" w:type="dxa"/>
              <w:bottom w:w="50" w:type="dxa"/>
              <w:left w:w="60" w:type="dxa"/>
              <w:right w:w="60" w:type="dxa"/>
            </w:tcMar>
          </w:tcPr>
          <w:p>
            <w:pPr>
              <w:jc w:val="center"/>
            </w:pPr>
            <w:r>
              <w:rPr>
                <w:rFonts w:ascii="Calibri" w:hAnsi="Calibri"/>
                <w:b w:val="0"/>
                <w:i w:val="0"/>
                <w:color w:val="111111"/>
                <w:sz w:val="17"/>
              </w:rPr>
              <w:t>5.46 (5.458)</w:t>
            </w:r>
          </w:p>
        </w:tc>
        <w:tc>
          <w:tcPr>
            <w:tcW w:type="dxa" w:w="1587"/>
            <w:vAlign w:val="center"/>
            <w:shd w:fill="F8FAFC"/>
            <w:tcMar>
              <w:top w:w="50" w:type="dxa"/>
              <w:bottom w:w="50" w:type="dxa"/>
              <w:left w:w="60" w:type="dxa"/>
              <w:right w:w="60" w:type="dxa"/>
            </w:tcMar>
          </w:tcPr>
          <w:p>
            <w:pPr>
              <w:jc w:val="center"/>
            </w:pPr>
            <w:r>
              <w:rPr>
                <w:rFonts w:ascii="Calibri" w:hAnsi="Calibri"/>
                <w:b w:val="0"/>
                <w:i w:val="0"/>
                <w:color w:val="111111"/>
                <w:sz w:val="17"/>
              </w:rPr>
              <w:t>10.92</w:t>
            </w:r>
          </w:p>
        </w:tc>
        <w:tc>
          <w:tcPr>
            <w:tcW w:type="dxa" w:w="1928"/>
            <w:vAlign w:val="center"/>
            <w:shd w:fill="F8FAFC"/>
            <w:tcMar>
              <w:top w:w="50" w:type="dxa"/>
              <w:bottom w:w="50" w:type="dxa"/>
              <w:left w:w="60" w:type="dxa"/>
              <w:right w:w="60" w:type="dxa"/>
            </w:tcMar>
          </w:tcPr>
          <w:p>
            <w:pPr>
              <w:jc w:val="center"/>
            </w:pPr>
            <w:r>
              <w:rPr>
                <w:rFonts w:ascii="Calibri" w:hAnsi="Calibri"/>
                <w:b w:val="0"/>
                <w:i w:val="0"/>
                <w:color w:val="111111"/>
                <w:sz w:val="17"/>
              </w:rPr>
              <w:t>11.73</w:t>
            </w:r>
          </w:p>
        </w:tc>
        <w:tc>
          <w:tcPr>
            <w:tcW w:type="dxa" w:w="1587"/>
            <w:vAlign w:val="center"/>
            <w:shd w:fill="F8FAFC"/>
            <w:tcMar>
              <w:top w:w="50" w:type="dxa"/>
              <w:bottom w:w="50" w:type="dxa"/>
              <w:left w:w="60" w:type="dxa"/>
              <w:right w:w="60" w:type="dxa"/>
            </w:tcMar>
          </w:tcPr>
          <w:p>
            <w:pPr>
              <w:jc w:val="center"/>
            </w:pPr>
            <w:r>
              <w:rPr>
                <w:rFonts w:ascii="Calibri" w:hAnsi="Calibri"/>
                <w:b w:val="0"/>
                <w:i w:val="0"/>
                <w:color w:val="111111"/>
                <w:sz w:val="17"/>
              </w:rPr>
              <w:t>−43.30°</w:t>
            </w:r>
          </w:p>
        </w:tc>
      </w:tr>
      <w:tr>
        <w:trPr>
          <w:cantSplit/>
        </w:trPr>
        <w:tc>
          <w:tcPr>
            <w:tcW w:type="dxa" w:w="1247"/>
            <w:vAlign w:val="center"/>
            <w:tcMar>
              <w:top w:w="50" w:type="dxa"/>
              <w:bottom w:w="50" w:type="dxa"/>
              <w:left w:w="60" w:type="dxa"/>
              <w:right w:w="60" w:type="dxa"/>
            </w:tcMar>
          </w:tcPr>
          <w:p>
            <w:pPr>
              <w:jc w:val="center"/>
            </w:pPr>
            <w:r>
              <w:rPr>
                <w:rFonts w:ascii="Calibri" w:hAnsi="Calibri"/>
                <w:b w:val="0"/>
                <w:i w:val="0"/>
                <w:color w:val="111111"/>
                <w:sz w:val="17"/>
              </w:rPr>
              <w:t>40 kHz</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7.50</w:t>
            </w:r>
          </w:p>
        </w:tc>
        <w:tc>
          <w:tcPr>
            <w:tcW w:type="dxa" w:w="1814"/>
            <w:vAlign w:val="center"/>
            <w:tcMar>
              <w:top w:w="50" w:type="dxa"/>
              <w:bottom w:w="50" w:type="dxa"/>
              <w:left w:w="60" w:type="dxa"/>
              <w:right w:w="60" w:type="dxa"/>
            </w:tcMar>
          </w:tcPr>
          <w:p>
            <w:pPr>
              <w:jc w:val="center"/>
            </w:pPr>
            <w:r>
              <w:rPr>
                <w:rFonts w:ascii="Calibri" w:hAnsi="Calibri"/>
                <w:b w:val="0"/>
                <w:i w:val="0"/>
                <w:color w:val="111111"/>
                <w:sz w:val="17"/>
              </w:rPr>
              <w:t>1.92 (1.923)</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3.85</w:t>
            </w:r>
          </w:p>
        </w:tc>
        <w:tc>
          <w:tcPr>
            <w:tcW w:type="dxa" w:w="1928"/>
            <w:vAlign w:val="center"/>
            <w:tcMar>
              <w:top w:w="50" w:type="dxa"/>
              <w:bottom w:w="50" w:type="dxa"/>
              <w:left w:w="60" w:type="dxa"/>
              <w:right w:w="60" w:type="dxa"/>
            </w:tcMar>
          </w:tcPr>
          <w:p>
            <w:pPr>
              <w:jc w:val="center"/>
            </w:pPr>
            <w:r>
              <w:rPr>
                <w:rFonts w:ascii="Calibri" w:hAnsi="Calibri"/>
                <w:b w:val="0"/>
                <w:i w:val="0"/>
                <w:color w:val="111111"/>
                <w:sz w:val="17"/>
              </w:rPr>
              <w:t>2.67</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−75.14°</w:t>
            </w:r>
          </w:p>
        </w:tc>
      </w:tr>
    </w:tbl>
    <w:p>
      <w:pPr>
        <w:keepNext/>
        <w:spacing w:before="80" w:after="40"/>
        <w:jc w:val="center"/>
      </w:pPr>
      <w:r>
        <w:drawing>
          <wp:inline xmlns:a="http://schemas.openxmlformats.org/drawingml/2006/main" xmlns:pic="http://schemas.openxmlformats.org/drawingml/2006/picture">
            <wp:extent cx="5580000" cy="3427714"/>
            <wp:docPr id="12" name="Picture 12"/>
            <wp:cNvGraphicFramePr>
              <a:graphicFrameLocks noChangeAspect="1"/>
            </wp:cNvGraphicFramePr>
            <a:graphic>
              <a:graphicData uri="http://schemas.openxmlformats.org/drawingml/2006/picture">
                <pic:pic>
                  <pic:nvPicPr>
                    <pic:cNvPr id="0" name="fig03_sine_spectra_theory.png"/>
                    <pic:cNvPicPr/>
                  </pic:nvPicPr>
                  <pic:blipFill>
                    <a:blip r:embed="rId22"/>
                    <a:stretch>
                      <a:fillRect/>
                    </a:stretch>
                  </pic:blipFill>
                  <pic:spPr>
                    <a:xfrm>
                      <a:off x="0" y="0"/>
                      <a:ext cx="5580000" cy="3427714"/>
                    </a:xfrm>
                    <a:prstGeom prst="rect"/>
                  </pic:spPr>
                </pic:pic>
              </a:graphicData>
            </a:graphic>
          </wp:inline>
        </w:drawing>
      </w:r>
    </w:p>
    <w:p>
      <w:pPr>
        <w:spacing w:after="150"/>
        <w:jc w:val="center"/>
      </w:pPr>
      <w:r>
        <w:rPr>
          <w:rFonts w:ascii="Calibri" w:hAnsi="Calibri"/>
          <w:b w:val="0"/>
          <w:i/>
          <w:color w:val="222222"/>
          <w:sz w:val="18"/>
        </w:rPr>
        <w:t>Figure 3. Theoretical single-sided discrete stem spectra for 15 V</w:t>
      </w:r>
      <w:r>
        <w:rPr>
          <w:rFonts w:ascii="Calibri" w:hAnsi="Calibri"/>
          <w:b w:val="0"/>
          <w:i/>
          <w:color w:val="222222"/>
          <w:sz w:val="18"/>
          <w:vertAlign w:val="subscript"/>
        </w:rPr>
        <w:t>pp</w:t>
      </w:r>
      <w:r>
        <w:rPr>
          <w:rFonts w:ascii="Calibri" w:hAnsi="Calibri"/>
          <w:b w:val="0"/>
          <w:i/>
          <w:color w:val="222222"/>
          <w:sz w:val="18"/>
        </w:rPr>
        <w:t xml:space="preserve"> sinusoidal inputs at 1, 10, and 40 kHz: (top) peak amplitude |</w:t>
      </w:r>
      <w:r>
        <w:rPr>
          <w:rFonts w:ascii="Calibri" w:hAnsi="Calibri"/>
          <w:b w:val="0"/>
          <w:i/>
          <w:color w:val="222222"/>
          <w:sz w:val="18"/>
        </w:rPr>
        <w:t>V</w:t>
      </w:r>
      <w:r>
        <w:rPr>
          <w:rFonts w:ascii="Calibri" w:hAnsi="Calibri"/>
          <w:b w:val="0"/>
          <w:i/>
          <w:color w:val="222222"/>
          <w:sz w:val="18"/>
        </w:rPr>
        <w:t>(</w:t>
      </w:r>
      <w:r>
        <w:rPr>
          <w:rFonts w:ascii="Calibri" w:hAnsi="Calibri"/>
          <w:b w:val="0"/>
          <w:i/>
          <w:color w:val="222222"/>
          <w:sz w:val="18"/>
        </w:rPr>
        <w:t>f</w:t>
      </w:r>
      <w:r>
        <w:rPr>
          <w:rFonts w:ascii="Calibri" w:hAnsi="Calibri"/>
          <w:b w:val="0"/>
          <w:i/>
          <w:color w:val="222222"/>
          <w:sz w:val="18"/>
        </w:rPr>
        <w:t>)| and (bottom) phase angle ∠</w:t>
      </w:r>
      <w:r>
        <w:rPr>
          <w:rFonts w:ascii="Calibri" w:hAnsi="Calibri"/>
          <w:b w:val="0"/>
          <w:i/>
          <w:color w:val="222222"/>
          <w:sz w:val="18"/>
        </w:rPr>
        <w:t>V</w:t>
      </w:r>
      <w:r>
        <w:rPr>
          <w:rFonts w:ascii="Calibri" w:hAnsi="Calibri"/>
          <w:b w:val="0"/>
          <w:i/>
          <w:color w:val="222222"/>
          <w:sz w:val="18"/>
        </w:rPr>
        <w:t>(</w:t>
      </w:r>
      <w:r>
        <w:rPr>
          <w:rFonts w:ascii="Calibri" w:hAnsi="Calibri"/>
          <w:b w:val="0"/>
          <w:i/>
          <w:color w:val="222222"/>
          <w:sz w:val="18"/>
        </w:rPr>
        <w:t>f</w:t>
      </w:r>
      <w:r>
        <w:rPr>
          <w:rFonts w:ascii="Calibri" w:hAnsi="Calibri"/>
          <w:b w:val="0"/>
          <w:i/>
          <w:color w:val="222222"/>
          <w:sz w:val="18"/>
        </w:rPr>
        <w:t>).</w:t>
      </w:r>
    </w:p>
    <w:p>
      <w:pPr>
        <w:pStyle w:val="Heading2"/>
        <w:keepNext/>
        <w:spacing w:before="170" w:after="60"/>
      </w:pPr>
      <w:r>
        <w:rPr>
          <w:rFonts w:ascii="Calibri" w:hAnsi="Calibri"/>
          <w:b/>
          <w:i w:val="0"/>
          <w:color w:val="2C3E50"/>
          <w:sz w:val="22"/>
        </w:rPr>
        <w:t>3.3 Predicted Response to an 8 kHz Square Wave</w:t>
      </w:r>
    </w:p>
    <w:p>
      <w:pPr>
        <w:spacing w:after="100" w:line="276" w:lineRule="auto"/>
        <w:jc w:val="both"/>
      </w:pPr>
      <w:r>
        <w:rPr>
          <w:rFonts w:ascii="Calibri" w:hAnsi="Calibri"/>
          <w:b w:val="0"/>
          <w:i w:val="0"/>
          <w:color w:val="111111"/>
          <w:sz w:val="20"/>
        </w:rPr>
        <w:t xml:space="preserve">Table 3 details the theoretical Fourier sine coefficients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filter gains, and output harmonic amplitudes (expressed in both V</w:t>
      </w:r>
      <w:r>
        <w:rPr>
          <w:rFonts w:ascii="Calibri" w:hAnsi="Calibri"/>
          <w:b w:val="0"/>
          <w:i w:val="0"/>
          <w:color w:val="111111"/>
          <w:sz w:val="20"/>
          <w:vertAlign w:val="subscript"/>
        </w:rPr>
        <w:t>pk</w:t>
      </w:r>
      <w:r>
        <w:rPr>
          <w:rFonts w:ascii="Calibri" w:hAnsi="Calibri"/>
          <w:b w:val="0"/>
          <w:i w:val="0"/>
          <w:color w:val="111111"/>
          <w:sz w:val="20"/>
        </w:rPr>
        <w:t>, dBV</w:t>
      </w:r>
      <w:r>
        <w:rPr>
          <w:rFonts w:ascii="Calibri" w:hAnsi="Calibri"/>
          <w:b w:val="0"/>
          <w:i w:val="0"/>
          <w:color w:val="111111"/>
          <w:sz w:val="20"/>
          <w:vertAlign w:val="subscript"/>
        </w:rPr>
        <w:t>pk</w:t>
      </w:r>
      <w:r>
        <w:rPr>
          <w:rFonts w:ascii="Calibri" w:hAnsi="Calibri"/>
          <w:b w:val="0"/>
          <w:i w:val="0"/>
          <w:color w:val="111111"/>
          <w:sz w:val="20"/>
        </w:rPr>
        <w:t>, and oscilloscope-equivalent dBV</w:t>
      </w:r>
      <w:r>
        <w:rPr>
          <w:rFonts w:ascii="Calibri" w:hAnsi="Calibri"/>
          <w:b w:val="0"/>
          <w:i w:val="0"/>
          <w:color w:val="111111"/>
          <w:sz w:val="20"/>
          <w:vertAlign w:val="subscript"/>
        </w:rPr>
        <w:t>rms</w:t>
      </w:r>
      <w:r>
        <w:rPr>
          <w:rFonts w:ascii="Calibri" w:hAnsi="Calibri"/>
          <w:b w:val="0"/>
          <w:i w:val="0"/>
          <w:color w:val="111111"/>
          <w:sz w:val="20"/>
        </w:rPr>
        <w:t>) for the first three non-zero harmonics (</w:t>
      </w:r>
      <w:r>
        <w:rPr>
          <w:rFonts w:ascii="Calibri" w:hAnsi="Calibri"/>
          <w:b w:val="0"/>
          <w:i/>
          <w:color w:val="111111"/>
          <w:sz w:val="20"/>
        </w:rPr>
        <w:t>n</w:t>
      </w:r>
      <w:r>
        <w:rPr>
          <w:rFonts w:ascii="Calibri" w:hAnsi="Calibri"/>
          <w:b w:val="0"/>
          <w:i w:val="0"/>
          <w:color w:val="111111"/>
          <w:sz w:val="20"/>
        </w:rPr>
        <w:t xml:space="preserve"> = 1, 3, 5 at 8, 24, and 40 kHz) of the 15 V</w:t>
      </w:r>
      <w:r>
        <w:rPr>
          <w:rFonts w:ascii="Calibri" w:hAnsi="Calibri"/>
          <w:b w:val="0"/>
          <w:i w:val="0"/>
          <w:color w:val="111111"/>
          <w:sz w:val="20"/>
          <w:vertAlign w:val="subscript"/>
        </w:rPr>
        <w:t>pp</w:t>
      </w:r>
      <w:r>
        <w:rPr>
          <w:rFonts w:ascii="Calibri" w:hAnsi="Calibri"/>
          <w:b w:val="0"/>
          <w:i w:val="0"/>
          <w:color w:val="111111"/>
          <w:sz w:val="20"/>
        </w:rPr>
        <w:t>, 8 kHz square wave. Figure 4 illustrates the discrete harmonic amplitude and phase-lag spectra, explicitly showing zero energy at even harmonics (16 and 32 kHz). Figure 5 compares the input square wave against both the exact analytical steady-state capacitor voltage (±7.27 V, 14.54 V</w:t>
      </w:r>
      <w:r>
        <w:rPr>
          <w:rFonts w:ascii="Calibri" w:hAnsi="Calibri"/>
          <w:b w:val="0"/>
          <w:i w:val="0"/>
          <w:color w:val="111111"/>
          <w:sz w:val="20"/>
          <w:vertAlign w:val="subscript"/>
        </w:rPr>
        <w:t>pp</w:t>
      </w:r>
      <w:r>
        <w:rPr>
          <w:rFonts w:ascii="Calibri" w:hAnsi="Calibri"/>
          <w:b w:val="0"/>
          <w:i w:val="0"/>
          <w:color w:val="111111"/>
          <w:sz w:val="20"/>
        </w:rPr>
        <w:t>) and the three-harmonic Fourier reconstruction.</w:t>
      </w:r>
    </w:p>
    <w:p>
      <w:pPr>
        <w:keepNext/>
        <w:spacing w:before="130" w:after="50"/>
      </w:pPr>
      <w:r>
        <w:rPr>
          <w:rFonts w:ascii="Calibri" w:hAnsi="Calibri"/>
          <w:b w:val="0"/>
          <w:i/>
          <w:color w:val="111111"/>
          <w:sz w:val="18"/>
        </w:rPr>
        <w:t>Table 3. Theoretical Fourier coefficients and filtered output harmonics for a 15 V</w:t>
      </w:r>
      <w:r>
        <w:rPr>
          <w:rFonts w:ascii="Calibri" w:hAnsi="Calibri"/>
          <w:b w:val="0"/>
          <w:i/>
          <w:color w:val="111111"/>
          <w:sz w:val="18"/>
          <w:vertAlign w:val="subscript"/>
        </w:rPr>
        <w:t>pp</w:t>
      </w:r>
      <w:r>
        <w:rPr>
          <w:rFonts w:ascii="Calibri" w:hAnsi="Calibri"/>
          <w:b w:val="0"/>
          <w:i/>
          <w:color w:val="111111"/>
          <w:sz w:val="18"/>
        </w:rPr>
        <w:t>, 8 kHz square wave.</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377"/>
        <w:gridCol w:w="1377"/>
        <w:gridCol w:w="1377"/>
        <w:gridCol w:w="1377"/>
        <w:gridCol w:w="1377"/>
        <w:gridCol w:w="1377"/>
        <w:gridCol w:w="1377"/>
      </w:tblGrid>
      <w:tr>
        <w:trPr>
          <w:tblHeader/>
          <w:cantSplit/>
        </w:trPr>
        <w:tc>
          <w:tcPr>
            <w:tcW w:type="dxa" w:w="1701"/>
            <w:vAlign w:val="center"/>
            <w:shd w:fill="EAF0F6"/>
            <w:tcMar>
              <w:top w:w="60" w:type="dxa"/>
              <w:bottom w:w="60" w:type="dxa"/>
              <w:left w:w="60" w:type="dxa"/>
              <w:right w:w="60" w:type="dxa"/>
            </w:tcMar>
          </w:tcPr>
          <w:p>
            <w:pPr>
              <w:jc w:val="center"/>
            </w:pPr>
            <w:r>
              <w:rPr>
                <w:rFonts w:ascii="Calibri" w:hAnsi="Calibri"/>
                <w:b/>
                <w:i w:val="0"/>
                <w:color w:val="1B365D"/>
                <w:sz w:val="17"/>
              </w:rPr>
              <w:t>Harmonic (</w:t>
            </w:r>
            <w:r>
              <w:rPr>
                <w:rFonts w:ascii="Calibri" w:hAnsi="Calibri"/>
                <w:b/>
                <w:i/>
                <w:color w:val="1B365D"/>
                <w:sz w:val="17"/>
              </w:rPr>
              <w:t>n</w:t>
            </w:r>
            <w:r>
              <w:rPr>
                <w:rFonts w:ascii="Calibri" w:hAnsi="Calibri"/>
                <w:b/>
                <w:i w:val="0"/>
                <w:color w:val="1B365D"/>
                <w:sz w:val="17"/>
              </w:rPr>
              <w:t>)</w:t>
            </w:r>
          </w:p>
        </w:tc>
        <w:tc>
          <w:tcPr>
            <w:tcW w:type="dxa" w:w="794"/>
            <w:vAlign w:val="center"/>
            <w:shd w:fill="EAF0F6"/>
            <w:tcMar>
              <w:top w:w="60" w:type="dxa"/>
              <w:bottom w:w="60" w:type="dxa"/>
              <w:left w:w="60" w:type="dxa"/>
              <w:right w:w="60" w:type="dxa"/>
            </w:tcMar>
          </w:tcPr>
          <w:p>
            <w:pPr>
              <w:jc w:val="center"/>
            </w:pPr>
            <w:r>
              <w:rPr>
                <w:rFonts w:ascii="Calibri" w:hAnsi="Calibri"/>
                <w:b/>
                <w:i/>
                <w:color w:val="1B365D"/>
                <w:sz w:val="17"/>
              </w:rPr>
              <w:t>f</w:t>
            </w:r>
            <w:r>
              <w:rPr>
                <w:rFonts w:ascii="Calibri" w:hAnsi="Calibri"/>
                <w:b/>
                <w:i w:val="0"/>
                <w:color w:val="1B365D"/>
                <w:sz w:val="17"/>
              </w:rPr>
              <w:t xml:space="preserve"> (kHz)</w:t>
            </w:r>
          </w:p>
        </w:tc>
        <w:tc>
          <w:tcPr>
            <w:tcW w:type="dxa" w:w="1134"/>
            <w:vAlign w:val="center"/>
            <w:shd w:fill="EAF0F6"/>
            <w:tcMar>
              <w:top w:w="60" w:type="dxa"/>
              <w:bottom w:w="60" w:type="dxa"/>
              <w:left w:w="60" w:type="dxa"/>
              <w:right w:w="60" w:type="dxa"/>
            </w:tcMar>
          </w:tcPr>
          <w:p>
            <w:pPr>
              <w:jc w:val="center"/>
            </w:pPr>
            <w:r>
              <w:rPr>
                <w:rFonts w:ascii="Calibri" w:hAnsi="Calibri"/>
                <w:b/>
                <w:i w:val="0"/>
                <w:color w:val="1B365D"/>
                <w:sz w:val="17"/>
              </w:rPr>
              <w:t xml:space="preserve">Input </w:t>
            </w:r>
            <w:r>
              <w:rPr>
                <w:rFonts w:ascii="Calibri" w:hAnsi="Calibri"/>
                <w:b/>
                <w:i/>
                <w:color w:val="1B365D"/>
                <w:sz w:val="17"/>
              </w:rPr>
              <w:t>b</w:t>
            </w:r>
            <w:r>
              <w:rPr>
                <w:rFonts w:ascii="Calibri" w:hAnsi="Calibri"/>
                <w:b/>
                <w:i/>
                <w:color w:val="1B365D"/>
                <w:sz w:val="17"/>
                <w:vertAlign w:val="subscript"/>
              </w:rPr>
              <w:t>n</w:t>
            </w:r>
            <w:r>
              <w:rPr>
                <w:rFonts w:ascii="Calibri" w:hAnsi="Calibri"/>
                <w:b/>
                <w:i w:val="0"/>
                <w:color w:val="1B365D"/>
                <w:sz w:val="17"/>
              </w:rPr>
              <w:t xml:space="preserve"> (V</w:t>
            </w:r>
            <w:r>
              <w:rPr>
                <w:rFonts w:ascii="Calibri" w:hAnsi="Calibri"/>
                <w:b/>
                <w:i w:val="0"/>
                <w:color w:val="1B365D"/>
                <w:sz w:val="17"/>
                <w:vertAlign w:val="subscript"/>
              </w:rPr>
              <w:t>pk</w:t>
            </w:r>
            <w:r>
              <w:rPr>
                <w:rFonts w:ascii="Calibri" w:hAnsi="Calibri"/>
                <w:b/>
                <w:i w:val="0"/>
                <w:color w:val="1B365D"/>
                <w:sz w:val="17"/>
              </w:rPr>
              <w:t>)</w:t>
            </w:r>
          </w:p>
        </w:tc>
        <w:tc>
          <w:tcPr>
            <w:tcW w:type="dxa" w:w="1644"/>
            <w:vAlign w:val="center"/>
            <w:shd w:fill="EAF0F6"/>
            <w:tcMar>
              <w:top w:w="60" w:type="dxa"/>
              <w:bottom w:w="60" w:type="dxa"/>
              <w:left w:w="60" w:type="dxa"/>
              <w:right w:w="60" w:type="dxa"/>
            </w:tcMar>
          </w:tcPr>
          <w:p>
            <w:pPr>
              <w:jc w:val="center"/>
            </w:pPr>
            <w:r>
              <w:rPr>
                <w:rFonts w:ascii="Calibri" w:hAnsi="Calibri"/>
                <w:b/>
                <w:i w:val="0"/>
                <w:color w:val="1B365D"/>
                <w:sz w:val="17"/>
              </w:rPr>
              <w:t>Input (dBV</w:t>
            </w:r>
            <w:r>
              <w:rPr>
                <w:rFonts w:ascii="Calibri" w:hAnsi="Calibri"/>
                <w:b/>
                <w:i w:val="0"/>
                <w:color w:val="1B365D"/>
                <w:sz w:val="17"/>
                <w:vertAlign w:val="subscript"/>
              </w:rPr>
              <w:t>pk</w:t>
            </w:r>
            <w:r>
              <w:rPr>
                <w:rFonts w:ascii="Calibri" w:hAnsi="Calibri"/>
                <w:b/>
                <w:i w:val="0"/>
                <w:color w:val="1B365D"/>
                <w:sz w:val="17"/>
              </w:rPr>
              <w:t xml:space="preserve"> / dBV</w:t>
            </w:r>
            <w:r>
              <w:rPr>
                <w:rFonts w:ascii="Calibri" w:hAnsi="Calibri"/>
                <w:b/>
                <w:i w:val="0"/>
                <w:color w:val="1B365D"/>
                <w:sz w:val="17"/>
                <w:vertAlign w:val="subscript"/>
              </w:rPr>
              <w:t>rms</w:t>
            </w:r>
            <w:r>
              <w:rPr>
                <w:rFonts w:ascii="Calibri" w:hAnsi="Calibri"/>
                <w:b/>
                <w:i w:val="0"/>
                <w:color w:val="1B365D"/>
                <w:sz w:val="17"/>
              </w:rPr>
              <w:t>)</w:t>
            </w:r>
          </w:p>
        </w:tc>
        <w:tc>
          <w:tcPr>
            <w:tcW w:type="dxa" w:w="1587"/>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w:t>
            </w:r>
            <w:r>
              <w:rPr>
                <w:rFonts w:ascii="Calibri" w:hAnsi="Calibri"/>
                <w:b/>
                <w:i/>
                <w:color w:val="1B365D"/>
                <w:sz w:val="17"/>
              </w:rPr>
              <w:t>jn</w:t>
            </w:r>
            <w:r>
              <w:rPr>
                <w:rFonts w:ascii="Calibri" w:hAnsi="Calibri"/>
                <w:b/>
                <w:i w:val="0"/>
                <w:color w:val="1B365D"/>
                <w:sz w:val="17"/>
              </w:rPr>
              <w:t>ω</w:t>
            </w:r>
            <w:r>
              <w:rPr>
                <w:rFonts w:ascii="Calibri" w:hAnsi="Calibri"/>
                <w:b/>
                <w:i w:val="0"/>
                <w:color w:val="1B365D"/>
                <w:sz w:val="17"/>
                <w:vertAlign w:val="subscript"/>
              </w:rPr>
              <w:t>0</w:t>
            </w:r>
            <w:r>
              <w:rPr>
                <w:rFonts w:ascii="Calibri" w:hAnsi="Calibri"/>
                <w:b/>
                <w:i w:val="0"/>
                <w:color w:val="1B365D"/>
                <w:sz w:val="17"/>
              </w:rPr>
              <w:t>)| (dB)</w:t>
            </w:r>
          </w:p>
        </w:tc>
        <w:tc>
          <w:tcPr>
            <w:tcW w:type="dxa" w:w="1134"/>
            <w:vAlign w:val="center"/>
            <w:shd w:fill="EAF0F6"/>
            <w:tcMar>
              <w:top w:w="60" w:type="dxa"/>
              <w:bottom w:w="60" w:type="dxa"/>
              <w:left w:w="60" w:type="dxa"/>
              <w:right w:w="60" w:type="dxa"/>
            </w:tcMar>
          </w:tcPr>
          <w:p>
            <w:pPr>
              <w:jc w:val="center"/>
            </w:pPr>
            <w:r>
              <w:rPr>
                <w:rFonts w:ascii="Calibri" w:hAnsi="Calibri"/>
                <w:b/>
                <w:i w:val="0"/>
                <w:color w:val="1B365D"/>
                <w:sz w:val="17"/>
              </w:rPr>
              <w:t>Output (V</w:t>
            </w:r>
            <w:r>
              <w:rPr>
                <w:rFonts w:ascii="Calibri" w:hAnsi="Calibri"/>
                <w:b/>
                <w:i w:val="0"/>
                <w:color w:val="1B365D"/>
                <w:sz w:val="17"/>
                <w:vertAlign w:val="subscript"/>
              </w:rPr>
              <w:t>pk</w:t>
            </w:r>
            <w:r>
              <w:rPr>
                <w:rFonts w:ascii="Calibri" w:hAnsi="Calibri"/>
                <w:b/>
                <w:i w:val="0"/>
                <w:color w:val="1B365D"/>
                <w:sz w:val="17"/>
              </w:rPr>
              <w:t>)</w:t>
            </w:r>
          </w:p>
        </w:tc>
        <w:tc>
          <w:tcPr>
            <w:tcW w:type="dxa" w:w="1644"/>
            <w:vAlign w:val="center"/>
            <w:shd w:fill="EAF0F6"/>
            <w:tcMar>
              <w:top w:w="60" w:type="dxa"/>
              <w:bottom w:w="60" w:type="dxa"/>
              <w:left w:w="60" w:type="dxa"/>
              <w:right w:w="60" w:type="dxa"/>
            </w:tcMar>
          </w:tcPr>
          <w:p>
            <w:pPr>
              <w:jc w:val="center"/>
            </w:pPr>
            <w:r>
              <w:rPr>
                <w:rFonts w:ascii="Calibri" w:hAnsi="Calibri"/>
                <w:b/>
                <w:i w:val="0"/>
                <w:color w:val="1B365D"/>
                <w:sz w:val="17"/>
              </w:rPr>
              <w:t>Output (dBV</w:t>
            </w:r>
            <w:r>
              <w:rPr>
                <w:rFonts w:ascii="Calibri" w:hAnsi="Calibri"/>
                <w:b/>
                <w:i w:val="0"/>
                <w:color w:val="1B365D"/>
                <w:sz w:val="17"/>
                <w:vertAlign w:val="subscript"/>
              </w:rPr>
              <w:t>pk</w:t>
            </w:r>
            <w:r>
              <w:rPr>
                <w:rFonts w:ascii="Calibri" w:hAnsi="Calibri"/>
                <w:b/>
                <w:i w:val="0"/>
                <w:color w:val="1B365D"/>
                <w:sz w:val="17"/>
              </w:rPr>
              <w:t xml:space="preserve"> / dBV</w:t>
            </w:r>
            <w:r>
              <w:rPr>
                <w:rFonts w:ascii="Calibri" w:hAnsi="Calibri"/>
                <w:b/>
                <w:i w:val="0"/>
                <w:color w:val="1B365D"/>
                <w:sz w:val="17"/>
                <w:vertAlign w:val="subscript"/>
              </w:rPr>
              <w:t>rms</w:t>
            </w:r>
            <w:r>
              <w:rPr>
                <w:rFonts w:ascii="Calibri" w:hAnsi="Calibri"/>
                <w:b/>
                <w:i w:val="0"/>
                <w:color w:val="1B365D"/>
                <w:sz w:val="17"/>
              </w:rPr>
              <w:t>)</w:t>
            </w:r>
          </w:p>
        </w:tc>
      </w:tr>
      <w:tr>
        <w:trPr>
          <w:cantSplit/>
        </w:trPr>
        <w:tc>
          <w:tcPr>
            <w:tcW w:type="dxa" w:w="1701"/>
            <w:vAlign w:val="center"/>
            <w:tcMar>
              <w:top w:w="50" w:type="dxa"/>
              <w:bottom w:w="50" w:type="dxa"/>
              <w:left w:w="60" w:type="dxa"/>
              <w:right w:w="60" w:type="dxa"/>
            </w:tcMar>
          </w:tcPr>
          <w:p>
            <w:pPr>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794"/>
            <w:vAlign w:val="center"/>
            <w:tcMar>
              <w:top w:w="50" w:type="dxa"/>
              <w:bottom w:w="50" w:type="dxa"/>
              <w:left w:w="60" w:type="dxa"/>
              <w:right w:w="60" w:type="dxa"/>
            </w:tcMar>
          </w:tcPr>
          <w:p>
            <w:pPr>
              <w:jc w:val="center"/>
            </w:pPr>
            <w:r>
              <w:rPr>
                <w:rFonts w:ascii="Calibri" w:hAnsi="Calibri"/>
                <w:b w:val="0"/>
                <w:i w:val="0"/>
                <w:color w:val="111111"/>
                <w:sz w:val="17"/>
              </w:rPr>
              <w:t>8.0</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9.55</w:t>
            </w:r>
          </w:p>
        </w:tc>
        <w:tc>
          <w:tcPr>
            <w:tcW w:type="dxa" w:w="1644"/>
            <w:vAlign w:val="center"/>
            <w:tcMar>
              <w:top w:w="50" w:type="dxa"/>
              <w:bottom w:w="50" w:type="dxa"/>
              <w:left w:w="60" w:type="dxa"/>
              <w:right w:w="60" w:type="dxa"/>
            </w:tcMar>
          </w:tcPr>
          <w:p>
            <w:pPr>
              <w:jc w:val="center"/>
            </w:pPr>
            <w:r>
              <w:rPr>
                <w:rFonts w:ascii="Calibri" w:hAnsi="Calibri"/>
                <w:b w:val="0"/>
                <w:i w:val="0"/>
                <w:color w:val="111111"/>
                <w:sz w:val="17"/>
              </w:rPr>
              <w:t>19.60 / 16.59</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0.7985 (−1.95 dB)</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7.62</w:t>
            </w:r>
          </w:p>
        </w:tc>
        <w:tc>
          <w:tcPr>
            <w:tcW w:type="dxa" w:w="1644"/>
            <w:vAlign w:val="center"/>
            <w:tcMar>
              <w:top w:w="50" w:type="dxa"/>
              <w:bottom w:w="50" w:type="dxa"/>
              <w:left w:w="60" w:type="dxa"/>
              <w:right w:w="60" w:type="dxa"/>
            </w:tcMar>
          </w:tcPr>
          <w:p>
            <w:pPr>
              <w:jc w:val="center"/>
            </w:pPr>
            <w:r>
              <w:rPr>
                <w:rFonts w:ascii="Calibri" w:hAnsi="Calibri"/>
                <w:b w:val="0"/>
                <w:i w:val="0"/>
                <w:color w:val="111111"/>
                <w:sz w:val="17"/>
              </w:rPr>
              <w:t>17.64 / 14.63</w:t>
            </w:r>
          </w:p>
        </w:tc>
      </w:tr>
      <w:tr>
        <w:trPr>
          <w:cantSplit/>
        </w:trPr>
        <w:tc>
          <w:tcPr>
            <w:tcW w:type="dxa" w:w="1701"/>
            <w:vAlign w:val="center"/>
            <w:shd w:fill="F8FAFC"/>
            <w:tcMar>
              <w:top w:w="50" w:type="dxa"/>
              <w:bottom w:w="50" w:type="dxa"/>
              <w:left w:w="60" w:type="dxa"/>
              <w:right w:w="60" w:type="dxa"/>
            </w:tcMar>
          </w:tcPr>
          <w:p>
            <w:pPr>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794"/>
            <w:vAlign w:val="center"/>
            <w:shd w:fill="F8FAFC"/>
            <w:tcMar>
              <w:top w:w="50" w:type="dxa"/>
              <w:bottom w:w="50" w:type="dxa"/>
              <w:left w:w="60" w:type="dxa"/>
              <w:right w:w="60" w:type="dxa"/>
            </w:tcMar>
          </w:tcPr>
          <w:p>
            <w:pPr>
              <w:jc w:val="center"/>
            </w:pPr>
            <w:r>
              <w:rPr>
                <w:rFonts w:ascii="Calibri" w:hAnsi="Calibri"/>
                <w:b w:val="0"/>
                <w:i w:val="0"/>
                <w:color w:val="111111"/>
                <w:sz w:val="17"/>
              </w:rPr>
              <w:t>24.0</w:t>
            </w:r>
          </w:p>
        </w:tc>
        <w:tc>
          <w:tcPr>
            <w:tcW w:type="dxa" w:w="1134"/>
            <w:vAlign w:val="center"/>
            <w:shd w:fill="F8FAFC"/>
            <w:tcMar>
              <w:top w:w="50" w:type="dxa"/>
              <w:bottom w:w="50" w:type="dxa"/>
              <w:left w:w="60" w:type="dxa"/>
              <w:right w:w="60" w:type="dxa"/>
            </w:tcMar>
          </w:tcPr>
          <w:p>
            <w:pPr>
              <w:jc w:val="center"/>
            </w:pPr>
            <w:r>
              <w:rPr>
                <w:rFonts w:ascii="Calibri" w:hAnsi="Calibri"/>
                <w:b w:val="0"/>
                <w:i w:val="0"/>
                <w:color w:val="111111"/>
                <w:sz w:val="17"/>
              </w:rPr>
              <w:t>3.18</w:t>
            </w:r>
          </w:p>
        </w:tc>
        <w:tc>
          <w:tcPr>
            <w:tcW w:type="dxa" w:w="1644"/>
            <w:vAlign w:val="center"/>
            <w:shd w:fill="F8FAFC"/>
            <w:tcMar>
              <w:top w:w="50" w:type="dxa"/>
              <w:bottom w:w="50" w:type="dxa"/>
              <w:left w:w="60" w:type="dxa"/>
              <w:right w:w="60" w:type="dxa"/>
            </w:tcMar>
          </w:tcPr>
          <w:p>
            <w:pPr>
              <w:jc w:val="center"/>
            </w:pPr>
            <w:r>
              <w:rPr>
                <w:rFonts w:ascii="Calibri" w:hAnsi="Calibri"/>
                <w:b w:val="0"/>
                <w:i w:val="0"/>
                <w:color w:val="111111"/>
                <w:sz w:val="17"/>
              </w:rPr>
              <w:t>10.06 / 7.05</w:t>
            </w:r>
          </w:p>
        </w:tc>
        <w:tc>
          <w:tcPr>
            <w:tcW w:type="dxa" w:w="1587"/>
            <w:vAlign w:val="center"/>
            <w:shd w:fill="F8FAFC"/>
            <w:tcMar>
              <w:top w:w="50" w:type="dxa"/>
              <w:bottom w:w="50" w:type="dxa"/>
              <w:left w:w="60" w:type="dxa"/>
              <w:right w:w="60" w:type="dxa"/>
            </w:tcMar>
          </w:tcPr>
          <w:p>
            <w:pPr>
              <w:jc w:val="center"/>
            </w:pPr>
            <w:r>
              <w:rPr>
                <w:rFonts w:ascii="Calibri" w:hAnsi="Calibri"/>
                <w:b w:val="0"/>
                <w:i w:val="0"/>
                <w:color w:val="111111"/>
                <w:sz w:val="17"/>
              </w:rPr>
              <w:t>0.4043 (−7.87 dB)</w:t>
            </w:r>
          </w:p>
        </w:tc>
        <w:tc>
          <w:tcPr>
            <w:tcW w:type="dxa" w:w="1134"/>
            <w:vAlign w:val="center"/>
            <w:shd w:fill="F8FAFC"/>
            <w:tcMar>
              <w:top w:w="50" w:type="dxa"/>
              <w:bottom w:w="50" w:type="dxa"/>
              <w:left w:w="60" w:type="dxa"/>
              <w:right w:w="60" w:type="dxa"/>
            </w:tcMar>
          </w:tcPr>
          <w:p>
            <w:pPr>
              <w:jc w:val="center"/>
            </w:pPr>
            <w:r>
              <w:rPr>
                <w:rFonts w:ascii="Calibri" w:hAnsi="Calibri"/>
                <w:b w:val="0"/>
                <w:i w:val="0"/>
                <w:color w:val="111111"/>
                <w:sz w:val="17"/>
              </w:rPr>
              <w:t>1.29</w:t>
            </w:r>
          </w:p>
        </w:tc>
        <w:tc>
          <w:tcPr>
            <w:tcW w:type="dxa" w:w="1644"/>
            <w:vAlign w:val="center"/>
            <w:shd w:fill="F8FAFC"/>
            <w:tcMar>
              <w:top w:w="50" w:type="dxa"/>
              <w:bottom w:w="50" w:type="dxa"/>
              <w:left w:w="60" w:type="dxa"/>
              <w:right w:w="60" w:type="dxa"/>
            </w:tcMar>
          </w:tcPr>
          <w:p>
            <w:pPr>
              <w:jc w:val="center"/>
            </w:pPr>
            <w:r>
              <w:rPr>
                <w:rFonts w:ascii="Calibri" w:hAnsi="Calibri"/>
                <w:b w:val="0"/>
                <w:i w:val="0"/>
                <w:color w:val="111111"/>
                <w:sz w:val="17"/>
              </w:rPr>
              <w:t>2.19 / −0.82</w:t>
            </w:r>
          </w:p>
        </w:tc>
      </w:tr>
      <w:tr>
        <w:trPr>
          <w:cantSplit/>
        </w:trPr>
        <w:tc>
          <w:tcPr>
            <w:tcW w:type="dxa" w:w="1701"/>
            <w:vAlign w:val="center"/>
            <w:tcMar>
              <w:top w:w="50" w:type="dxa"/>
              <w:bottom w:w="50" w:type="dxa"/>
              <w:left w:w="60" w:type="dxa"/>
              <w:right w:w="60" w:type="dxa"/>
            </w:tcMar>
          </w:tcPr>
          <w:p>
            <w:pPr>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794"/>
            <w:vAlign w:val="center"/>
            <w:tcMar>
              <w:top w:w="50" w:type="dxa"/>
              <w:bottom w:w="50" w:type="dxa"/>
              <w:left w:w="60" w:type="dxa"/>
              <w:right w:w="60" w:type="dxa"/>
            </w:tcMar>
          </w:tcPr>
          <w:p>
            <w:pPr>
              <w:jc w:val="center"/>
            </w:pPr>
            <w:r>
              <w:rPr>
                <w:rFonts w:ascii="Calibri" w:hAnsi="Calibri"/>
                <w:b w:val="0"/>
                <w:i w:val="0"/>
                <w:color w:val="111111"/>
                <w:sz w:val="17"/>
              </w:rPr>
              <w:t>40.0</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1.91</w:t>
            </w:r>
          </w:p>
        </w:tc>
        <w:tc>
          <w:tcPr>
            <w:tcW w:type="dxa" w:w="1644"/>
            <w:vAlign w:val="center"/>
            <w:tcMar>
              <w:top w:w="50" w:type="dxa"/>
              <w:bottom w:w="50" w:type="dxa"/>
              <w:left w:w="60" w:type="dxa"/>
              <w:right w:w="60" w:type="dxa"/>
            </w:tcMar>
          </w:tcPr>
          <w:p>
            <w:pPr>
              <w:jc w:val="center"/>
            </w:pPr>
            <w:r>
              <w:rPr>
                <w:rFonts w:ascii="Calibri" w:hAnsi="Calibri"/>
                <w:b w:val="0"/>
                <w:i w:val="0"/>
                <w:color w:val="111111"/>
                <w:sz w:val="17"/>
              </w:rPr>
              <w:t>5.62 / 2.61</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0.2564 (−11.82 dB)</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0.49</w:t>
            </w:r>
          </w:p>
        </w:tc>
        <w:tc>
          <w:tcPr>
            <w:tcW w:type="dxa" w:w="1644"/>
            <w:vAlign w:val="center"/>
            <w:tcMar>
              <w:top w:w="50" w:type="dxa"/>
              <w:bottom w:w="50" w:type="dxa"/>
              <w:left w:w="60" w:type="dxa"/>
              <w:right w:w="60" w:type="dxa"/>
            </w:tcMar>
          </w:tcPr>
          <w:p>
            <w:pPr>
              <w:jc w:val="center"/>
            </w:pPr>
            <w:r>
              <w:rPr>
                <w:rFonts w:ascii="Calibri" w:hAnsi="Calibri"/>
                <w:b w:val="0"/>
                <w:i w:val="0"/>
                <w:color w:val="111111"/>
                <w:sz w:val="17"/>
              </w:rPr>
              <w:t>−6.20 / −9.21</w:t>
            </w:r>
          </w:p>
        </w:tc>
      </w:tr>
    </w:tbl>
    <w:p>
      <w:pPr>
        <w:keepNext/>
        <w:spacing w:before="80" w:after="40"/>
        <w:jc w:val="center"/>
      </w:pPr>
      <w:r>
        <w:drawing>
          <wp:inline xmlns:a="http://schemas.openxmlformats.org/drawingml/2006/main" xmlns:pic="http://schemas.openxmlformats.org/drawingml/2006/picture">
            <wp:extent cx="5472000" cy="3862588"/>
            <wp:docPr id="13" name="Picture 13"/>
            <wp:cNvGraphicFramePr>
              <a:graphicFrameLocks noChangeAspect="1"/>
            </wp:cNvGraphicFramePr>
            <a:graphic>
              <a:graphicData uri="http://schemas.openxmlformats.org/drawingml/2006/picture">
                <pic:pic>
                  <pic:nvPicPr>
                    <pic:cNvPr id="0" name="fig04_square_spectra_theory.png"/>
                    <pic:cNvPicPr/>
                  </pic:nvPicPr>
                  <pic:blipFill>
                    <a:blip r:embed="rId23"/>
                    <a:stretch>
                      <a:fillRect/>
                    </a:stretch>
                  </pic:blipFill>
                  <pic:spPr>
                    <a:xfrm>
                      <a:off x="0" y="0"/>
                      <a:ext cx="5472000" cy="3862588"/>
                    </a:xfrm>
                    <a:prstGeom prst="rect"/>
                  </pic:spPr>
                </pic:pic>
              </a:graphicData>
            </a:graphic>
          </wp:inline>
        </w:drawing>
      </w:r>
    </w:p>
    <w:p>
      <w:pPr>
        <w:spacing w:after="150"/>
        <w:jc w:val="center"/>
      </w:pPr>
      <w:r>
        <w:rPr>
          <w:rFonts w:ascii="Calibri" w:hAnsi="Calibri"/>
          <w:b w:val="0"/>
          <w:i/>
          <w:color w:val="222222"/>
          <w:sz w:val="18"/>
        </w:rPr>
        <w:t>Figure 4. Theoretical discrete spectra of the 15 V</w:t>
      </w:r>
      <w:r>
        <w:rPr>
          <w:rFonts w:ascii="Calibri" w:hAnsi="Calibri"/>
          <w:b w:val="0"/>
          <w:i/>
          <w:color w:val="222222"/>
          <w:sz w:val="18"/>
          <w:vertAlign w:val="subscript"/>
        </w:rPr>
        <w:t>pp</w:t>
      </w:r>
      <w:r>
        <w:rPr>
          <w:rFonts w:ascii="Calibri" w:hAnsi="Calibri"/>
          <w:b w:val="0"/>
          <w:i/>
          <w:color w:val="222222"/>
          <w:sz w:val="18"/>
        </w:rPr>
        <w:t>, 8 kHz square wave up to 40 kHz: (a) input and filtered output harmonic peak amplitudes and (b) harmonic phase lags ∠</w:t>
      </w:r>
      <w:r>
        <w:rPr>
          <w:rFonts w:ascii="Calibri" w:hAnsi="Calibri"/>
          <w:b w:val="0"/>
          <w:i/>
          <w:color w:val="222222"/>
          <w:sz w:val="18"/>
        </w:rPr>
        <w:t>H</w:t>
      </w:r>
      <w:r>
        <w:rPr>
          <w:rFonts w:ascii="Calibri" w:hAnsi="Calibri"/>
          <w:b w:val="0"/>
          <w:i/>
          <w:color w:val="222222"/>
          <w:sz w:val="18"/>
        </w:rPr>
        <w:t>(</w:t>
      </w:r>
      <w:r>
        <w:rPr>
          <w:rFonts w:ascii="Calibri" w:hAnsi="Calibri"/>
          <w:b w:val="0"/>
          <w:i/>
          <w:color w:val="222222"/>
          <w:sz w:val="18"/>
        </w:rPr>
        <w:t>jn</w:t>
      </w:r>
      <w:r>
        <w:rPr>
          <w:rFonts w:ascii="Calibri" w:hAnsi="Calibri"/>
          <w:b w:val="0"/>
          <w:i/>
          <w:color w:val="222222"/>
          <w:sz w:val="18"/>
        </w:rPr>
        <w:t>ω</w:t>
      </w:r>
      <w:r>
        <w:rPr>
          <w:rFonts w:ascii="Calibri" w:hAnsi="Calibri"/>
          <w:b w:val="0"/>
          <w:i/>
          <w:color w:val="222222"/>
          <w:sz w:val="18"/>
          <w:vertAlign w:val="subscript"/>
        </w:rPr>
        <w:t>0</w:t>
      </w:r>
      <w:r>
        <w:rPr>
          <w:rFonts w:ascii="Calibri" w:hAnsi="Calibri"/>
          <w:b w:val="0"/>
          <w:i/>
          <w:color w:val="222222"/>
          <w:sz w:val="18"/>
        </w:rPr>
        <w:t>).</w:t>
      </w:r>
    </w:p>
    <w:p>
      <w:pPr>
        <w:keepNext/>
        <w:spacing w:before="80" w:after="40"/>
        <w:jc w:val="center"/>
      </w:pPr>
      <w:r>
        <w:drawing>
          <wp:inline xmlns:a="http://schemas.openxmlformats.org/drawingml/2006/main" xmlns:pic="http://schemas.openxmlformats.org/drawingml/2006/picture">
            <wp:extent cx="5472000" cy="2736000"/>
            <wp:docPr id="14" name="Picture 14"/>
            <wp:cNvGraphicFramePr>
              <a:graphicFrameLocks noChangeAspect="1"/>
            </wp:cNvGraphicFramePr>
            <a:graphic>
              <a:graphicData uri="http://schemas.openxmlformats.org/drawingml/2006/picture">
                <pic:pic>
                  <pic:nvPicPr>
                    <pic:cNvPr id="0" name="fig05_square_time_theory.png"/>
                    <pic:cNvPicPr/>
                  </pic:nvPicPr>
                  <pic:blipFill>
                    <a:blip r:embed="rId24"/>
                    <a:stretch>
                      <a:fillRect/>
                    </a:stretch>
                  </pic:blipFill>
                  <pic:spPr>
                    <a:xfrm>
                      <a:off x="0" y="0"/>
                      <a:ext cx="5472000" cy="2736000"/>
                    </a:xfrm>
                    <a:prstGeom prst="rect"/>
                  </pic:spPr>
                </pic:pic>
              </a:graphicData>
            </a:graphic>
          </wp:inline>
        </w:drawing>
      </w:r>
    </w:p>
    <w:p>
      <w:pPr>
        <w:spacing w:after="150"/>
        <w:jc w:val="center"/>
      </w:pPr>
      <w:r>
        <w:rPr>
          <w:rFonts w:ascii="Calibri" w:hAnsi="Calibri"/>
          <w:b w:val="0"/>
          <w:i/>
          <w:color w:val="222222"/>
          <w:sz w:val="18"/>
        </w:rPr>
        <w:t>Figure 5. Theoretical time-domain input and output waveforms to scale for the 8 kHz, 15 V</w:t>
      </w:r>
      <w:r>
        <w:rPr>
          <w:rFonts w:ascii="Calibri" w:hAnsi="Calibri"/>
          <w:b w:val="0"/>
          <w:i/>
          <w:color w:val="222222"/>
          <w:sz w:val="18"/>
          <w:vertAlign w:val="subscript"/>
        </w:rPr>
        <w:t>pp</w:t>
      </w:r>
      <w:r>
        <w:rPr>
          <w:rFonts w:ascii="Calibri" w:hAnsi="Calibri"/>
          <w:b w:val="0"/>
          <w:i/>
          <w:color w:val="222222"/>
          <w:sz w:val="18"/>
        </w:rPr>
        <w:t xml:space="preserve"> square wave, comparing exact exponential charging/discharging (τ = 15 µs) with three-harmonic synthesis.</w:t>
      </w:r>
    </w:p>
    <w:p>
      <w:pPr>
        <w:pStyle w:val="Heading2"/>
        <w:keepNext/>
        <w:spacing w:before="170" w:after="60"/>
      </w:pPr>
      <w:r>
        <w:rPr>
          <w:rFonts w:ascii="Calibri" w:hAnsi="Calibri"/>
          <w:b/>
          <w:i w:val="0"/>
          <w:color w:val="2C3E50"/>
          <w:sz w:val="22"/>
        </w:rPr>
        <w:t>3.4 Experimental Time-Domain Sinusoidal Measurements</w:t>
      </w:r>
    </w:p>
    <w:p>
      <w:pPr>
        <w:spacing w:after="100" w:line="276" w:lineRule="auto"/>
        <w:jc w:val="both"/>
      </w:pPr>
      <w:r>
        <w:rPr>
          <w:rFonts w:ascii="Calibri" w:hAnsi="Calibri"/>
          <w:b w:val="0"/>
          <w:i w:val="0"/>
          <w:color w:val="111111"/>
          <w:sz w:val="20"/>
        </w:rPr>
        <w:t>Table 4 summarises the oscilloscope time-domain sinusoidal measurements across 1, 10, and 40 kHz. Because the unloaded generator terminal voltage measured slightly above nominal on Channel 1 (15.60–15.90 V</w:t>
      </w:r>
      <w:r>
        <w:rPr>
          <w:rFonts w:ascii="Calibri" w:hAnsi="Calibri"/>
          <w:b w:val="0"/>
          <w:i w:val="0"/>
          <w:color w:val="111111"/>
          <w:sz w:val="20"/>
          <w:vertAlign w:val="subscript"/>
        </w:rPr>
        <w:t>pp</w:t>
      </w:r>
      <w:r>
        <w:rPr>
          <w:rFonts w:ascii="Calibri" w:hAnsi="Calibri"/>
          <w:b w:val="0"/>
          <w:i w:val="0"/>
          <w:color w:val="111111"/>
          <w:sz w:val="20"/>
        </w:rPr>
        <w:t>), Table 4 evaluates the normalised experimental gain |</w:t>
      </w:r>
      <w:r>
        <w:rPr>
          <w:rFonts w:ascii="Calibri" w:hAnsi="Calibri"/>
          <w:b w:val="0"/>
          <w:i/>
          <w:color w:val="111111"/>
          <w:sz w:val="20"/>
        </w:rPr>
        <w:t>H</w:t>
      </w:r>
      <w:r>
        <w:rPr>
          <w:rFonts w:ascii="Calibri" w:hAnsi="Calibri"/>
          <w:b w:val="0"/>
          <w:i w:val="0"/>
          <w:color w:val="111111"/>
          <w:sz w:val="20"/>
          <w:vertAlign w:val="subscript"/>
        </w:rPr>
        <w:t>meas</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vertAlign w:val="subscript"/>
        </w:rPr>
        <w:t>,pp</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vertAlign w:val="subscript"/>
        </w:rPr>
        <w:t>,pp</w:t>
      </w:r>
      <w:r>
        <w:rPr>
          <w:rFonts w:ascii="Calibri" w:hAnsi="Calibri"/>
          <w:b w:val="0"/>
          <w:i w:val="0"/>
          <w:color w:val="111111"/>
          <w:sz w:val="20"/>
        </w:rPr>
        <w:t>. Figure 6 presents the cropped Keysight oscilloscope screen captures at 1 kHz and 10 kHz, and Figure 7 plots the scaled input–output waveform pairs across all three test frequencies (1, 10, and 40 kHz) alongside theoretical curves.</w:t>
      </w:r>
    </w:p>
    <w:p>
      <w:pPr>
        <w:keepNext/>
        <w:spacing w:before="130" w:after="50"/>
      </w:pPr>
      <w:r>
        <w:rPr>
          <w:rFonts w:ascii="Calibri" w:hAnsi="Calibri"/>
          <w:b w:val="0"/>
          <w:i/>
          <w:color w:val="111111"/>
          <w:sz w:val="18"/>
        </w:rPr>
        <w:t>Table 4. Time-domain sinusoidal verification comparing normalised measured and theoretical frequency response.</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205"/>
        <w:gridCol w:w="1205"/>
        <w:gridCol w:w="1205"/>
        <w:gridCol w:w="1205"/>
        <w:gridCol w:w="1205"/>
        <w:gridCol w:w="1205"/>
        <w:gridCol w:w="1205"/>
        <w:gridCol w:w="1205"/>
      </w:tblGrid>
      <w:tr>
        <w:trPr>
          <w:tblHeader/>
          <w:cantSplit/>
        </w:trPr>
        <w:tc>
          <w:tcPr>
            <w:tcW w:type="dxa" w:w="907"/>
            <w:vAlign w:val="center"/>
            <w:shd w:fill="EAF0F6"/>
            <w:tcMar>
              <w:top w:w="60" w:type="dxa"/>
              <w:bottom w:w="60" w:type="dxa"/>
              <w:left w:w="60" w:type="dxa"/>
              <w:right w:w="60" w:type="dxa"/>
            </w:tcMar>
          </w:tcPr>
          <w:p>
            <w:pPr>
              <w:jc w:val="center"/>
            </w:pPr>
            <w:r>
              <w:rPr>
                <w:rFonts w:ascii="Calibri" w:hAnsi="Calibri"/>
                <w:b/>
                <w:i/>
                <w:color w:val="1B365D"/>
                <w:sz w:val="17"/>
              </w:rPr>
              <w:t>f</w:t>
            </w:r>
          </w:p>
        </w:tc>
        <w:tc>
          <w:tcPr>
            <w:tcW w:type="dxa" w:w="1304"/>
            <w:vAlign w:val="center"/>
            <w:shd w:fill="EAF0F6"/>
            <w:tcMar>
              <w:top w:w="60" w:type="dxa"/>
              <w:bottom w:w="60" w:type="dxa"/>
              <w:left w:w="60" w:type="dxa"/>
              <w:right w:w="60" w:type="dxa"/>
            </w:tcMar>
          </w:tcPr>
          <w:p>
            <w:pPr>
              <w:jc w:val="center"/>
            </w:pPr>
            <w:r>
              <w:rPr>
                <w:rFonts w:ascii="Calibri" w:hAnsi="Calibri"/>
                <w:b/>
                <w:i w:val="0"/>
                <w:color w:val="1B365D"/>
                <w:sz w:val="17"/>
              </w:rPr>
              <w:t xml:space="preserve">Measured </w:t>
            </w:r>
            <w:r>
              <w:rPr>
                <w:rFonts w:ascii="Calibri" w:hAnsi="Calibri"/>
                <w:b/>
                <w:i/>
                <w:color w:val="1B365D"/>
                <w:sz w:val="17"/>
              </w:rPr>
              <w:t>V</w:t>
            </w:r>
            <w:r>
              <w:rPr>
                <w:rFonts w:ascii="Calibri" w:hAnsi="Calibri"/>
                <w:b/>
                <w:i/>
                <w:color w:val="1B365D"/>
                <w:sz w:val="17"/>
                <w:vertAlign w:val="subscript"/>
              </w:rPr>
              <w:t>i</w:t>
            </w:r>
            <w:r>
              <w:rPr>
                <w:rFonts w:ascii="Calibri" w:hAnsi="Calibri"/>
                <w:b/>
                <w:i w:val="0"/>
                <w:color w:val="1B365D"/>
                <w:sz w:val="17"/>
                <w:vertAlign w:val="subscript"/>
              </w:rPr>
              <w:t>,pp</w:t>
            </w:r>
            <w:r>
              <w:rPr>
                <w:rFonts w:ascii="Calibri" w:hAnsi="Calibri"/>
                <w:b/>
                <w:i w:val="0"/>
                <w:color w:val="1B365D"/>
                <w:sz w:val="17"/>
              </w:rPr>
              <w:t xml:space="preserve"> (V)</w:t>
            </w:r>
          </w:p>
        </w:tc>
        <w:tc>
          <w:tcPr>
            <w:tcW w:type="dxa" w:w="1304"/>
            <w:vAlign w:val="center"/>
            <w:shd w:fill="EAF0F6"/>
            <w:tcMar>
              <w:top w:w="60" w:type="dxa"/>
              <w:bottom w:w="60" w:type="dxa"/>
              <w:left w:w="60" w:type="dxa"/>
              <w:right w:w="60" w:type="dxa"/>
            </w:tcMar>
          </w:tcPr>
          <w:p>
            <w:pPr>
              <w:jc w:val="center"/>
            </w:pPr>
            <w:r>
              <w:rPr>
                <w:rFonts w:ascii="Calibri" w:hAnsi="Calibri"/>
                <w:b/>
                <w:i w:val="0"/>
                <w:color w:val="1B365D"/>
                <w:sz w:val="17"/>
              </w:rPr>
              <w:t xml:space="preserve">Measured </w:t>
            </w:r>
            <w:r>
              <w:rPr>
                <w:rFonts w:ascii="Calibri" w:hAnsi="Calibri"/>
                <w:b/>
                <w:i/>
                <w:color w:val="1B365D"/>
                <w:sz w:val="17"/>
              </w:rPr>
              <w:t>V</w:t>
            </w:r>
            <w:r>
              <w:rPr>
                <w:rFonts w:ascii="Calibri" w:hAnsi="Calibri"/>
                <w:b/>
                <w:i/>
                <w:color w:val="1B365D"/>
                <w:sz w:val="17"/>
                <w:vertAlign w:val="subscript"/>
              </w:rPr>
              <w:t>o</w:t>
            </w:r>
            <w:r>
              <w:rPr>
                <w:rFonts w:ascii="Calibri" w:hAnsi="Calibri"/>
                <w:b/>
                <w:i w:val="0"/>
                <w:color w:val="1B365D"/>
                <w:sz w:val="17"/>
                <w:vertAlign w:val="subscript"/>
              </w:rPr>
              <w:t>,pp</w:t>
            </w:r>
            <w:r>
              <w:rPr>
                <w:rFonts w:ascii="Calibri" w:hAnsi="Calibri"/>
                <w:b/>
                <w:i w:val="0"/>
                <w:color w:val="1B365D"/>
                <w:sz w:val="17"/>
              </w:rPr>
              <w:t xml:space="preserve"> (V)</w:t>
            </w:r>
          </w:p>
        </w:tc>
        <w:tc>
          <w:tcPr>
            <w:tcW w:type="dxa" w:w="1134"/>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 Theory</w:t>
            </w:r>
          </w:p>
        </w:tc>
        <w:tc>
          <w:tcPr>
            <w:tcW w:type="dxa" w:w="1531"/>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 Measured (</w:t>
            </w:r>
            <w:r>
              <w:rPr>
                <w:rFonts w:ascii="Calibri" w:hAnsi="Calibri"/>
                <w:b/>
                <w:i/>
                <w:color w:val="1B365D"/>
                <w:sz w:val="17"/>
              </w:rPr>
              <w:t>V</w:t>
            </w:r>
            <w:r>
              <w:rPr>
                <w:rFonts w:ascii="Calibri" w:hAnsi="Calibri"/>
                <w:b/>
                <w:i/>
                <w:color w:val="1B365D"/>
                <w:sz w:val="17"/>
                <w:vertAlign w:val="subscript"/>
              </w:rPr>
              <w:t>o</w:t>
            </w:r>
            <w:r>
              <w:rPr>
                <w:rFonts w:ascii="Calibri" w:hAnsi="Calibri"/>
                <w:b/>
                <w:i w:val="0"/>
                <w:color w:val="1B365D"/>
                <w:sz w:val="17"/>
              </w:rPr>
              <w:t>/</w:t>
            </w:r>
            <w:r>
              <w:rPr>
                <w:rFonts w:ascii="Calibri" w:hAnsi="Calibri"/>
                <w:b/>
                <w:i/>
                <w:color w:val="1B365D"/>
                <w:sz w:val="17"/>
              </w:rPr>
              <w:t>V</w:t>
            </w:r>
            <w:r>
              <w:rPr>
                <w:rFonts w:ascii="Calibri" w:hAnsi="Calibri"/>
                <w:b/>
                <w:i/>
                <w:color w:val="1B365D"/>
                <w:sz w:val="17"/>
                <w:vertAlign w:val="subscript"/>
              </w:rPr>
              <w:t>i</w:t>
            </w:r>
            <w:r>
              <w:rPr>
                <w:rFonts w:ascii="Calibri" w:hAnsi="Calibri"/>
                <w:b/>
                <w:i w:val="0"/>
                <w:color w:val="1B365D"/>
                <w:sz w:val="17"/>
              </w:rPr>
              <w:t>)</w:t>
            </w:r>
          </w:p>
        </w:tc>
        <w:tc>
          <w:tcPr>
            <w:tcW w:type="dxa" w:w="1077"/>
            <w:vAlign w:val="center"/>
            <w:shd w:fill="EAF0F6"/>
            <w:tcMar>
              <w:top w:w="60" w:type="dxa"/>
              <w:bottom w:w="60" w:type="dxa"/>
              <w:left w:w="60" w:type="dxa"/>
              <w:right w:w="60" w:type="dxa"/>
            </w:tcMar>
          </w:tcPr>
          <w:p>
            <w:pPr>
              <w:jc w:val="center"/>
            </w:pPr>
            <w:r>
              <w:rPr>
                <w:rFonts w:ascii="Calibri" w:hAnsi="Calibri"/>
                <w:b/>
                <w:i w:val="0"/>
                <w:color w:val="1B365D"/>
                <w:sz w:val="17"/>
              </w:rPr>
              <w:t>Mag. Error</w:t>
            </w:r>
          </w:p>
        </w:tc>
        <w:tc>
          <w:tcPr>
            <w:tcW w:type="dxa" w:w="1134"/>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 xml:space="preserve"> Theory</w:t>
            </w:r>
          </w:p>
        </w:tc>
        <w:tc>
          <w:tcPr>
            <w:tcW w:type="dxa" w:w="1247"/>
            <w:vAlign w:val="center"/>
            <w:shd w:fill="EAF0F6"/>
            <w:tcMar>
              <w:top w:w="60" w:type="dxa"/>
              <w:bottom w:w="60" w:type="dxa"/>
              <w:left w:w="60" w:type="dxa"/>
              <w:right w:w="60" w:type="dxa"/>
            </w:tcMar>
          </w:tcPr>
          <w:p>
            <w:pPr>
              <w:jc w:val="center"/>
            </w:pPr>
            <w:r>
              <w:rPr>
                <w:rFonts w:ascii="Calibri" w:hAnsi="Calibri"/>
                <w:b/>
                <w:i w:val="0"/>
                <w:color w:val="1B365D"/>
                <w:sz w:val="17"/>
              </w:rPr>
              <w:t>∠</w:t>
            </w:r>
            <w:r>
              <w:rPr>
                <w:rFonts w:ascii="Calibri" w:hAnsi="Calibri"/>
                <w:b/>
                <w:i/>
                <w:color w:val="1B365D"/>
                <w:sz w:val="17"/>
              </w:rPr>
              <w:t>H</w:t>
            </w:r>
            <w:r>
              <w:rPr>
                <w:rFonts w:ascii="Calibri" w:hAnsi="Calibri"/>
                <w:b/>
                <w:i w:val="0"/>
                <w:color w:val="1B365D"/>
                <w:sz w:val="17"/>
              </w:rPr>
              <w:t xml:space="preserve"> Measured*</w:t>
            </w:r>
          </w:p>
        </w:tc>
      </w:tr>
      <w:tr>
        <w:trPr>
          <w:cantSplit/>
        </w:trPr>
        <w:tc>
          <w:tcPr>
            <w:tcW w:type="dxa" w:w="907"/>
            <w:vAlign w:val="center"/>
            <w:tcMar>
              <w:top w:w="50" w:type="dxa"/>
              <w:bottom w:w="50" w:type="dxa"/>
              <w:left w:w="60" w:type="dxa"/>
              <w:right w:w="60" w:type="dxa"/>
            </w:tcMar>
          </w:tcPr>
          <w:p>
            <w:pPr>
              <w:jc w:val="center"/>
            </w:pPr>
            <w:r>
              <w:rPr>
                <w:rFonts w:ascii="Calibri" w:hAnsi="Calibri"/>
                <w:b w:val="0"/>
                <w:i w:val="0"/>
                <w:color w:val="111111"/>
                <w:sz w:val="17"/>
              </w:rPr>
              <w:t>1 kHz</w:t>
            </w:r>
          </w:p>
        </w:tc>
        <w:tc>
          <w:tcPr>
            <w:tcW w:type="dxa" w:w="1304"/>
            <w:vAlign w:val="center"/>
            <w:tcMar>
              <w:top w:w="50" w:type="dxa"/>
              <w:bottom w:w="50" w:type="dxa"/>
              <w:left w:w="60" w:type="dxa"/>
              <w:right w:w="60" w:type="dxa"/>
            </w:tcMar>
          </w:tcPr>
          <w:p>
            <w:pPr>
              <w:jc w:val="center"/>
            </w:pPr>
            <w:r>
              <w:rPr>
                <w:rFonts w:ascii="Calibri" w:hAnsi="Calibri"/>
                <w:b w:val="0"/>
                <w:i w:val="0"/>
                <w:color w:val="111111"/>
                <w:sz w:val="17"/>
              </w:rPr>
              <w:t>15.60</w:t>
            </w:r>
          </w:p>
        </w:tc>
        <w:tc>
          <w:tcPr>
            <w:tcW w:type="dxa" w:w="1304"/>
            <w:vAlign w:val="center"/>
            <w:tcMar>
              <w:top w:w="50" w:type="dxa"/>
              <w:bottom w:w="50" w:type="dxa"/>
              <w:left w:w="60" w:type="dxa"/>
              <w:right w:w="60" w:type="dxa"/>
            </w:tcMar>
          </w:tcPr>
          <w:p>
            <w:pPr>
              <w:jc w:val="center"/>
            </w:pPr>
            <w:r>
              <w:rPr>
                <w:rFonts w:ascii="Calibri" w:hAnsi="Calibri"/>
                <w:b w:val="0"/>
                <w:i w:val="0"/>
                <w:color w:val="111111"/>
                <w:sz w:val="17"/>
              </w:rPr>
              <w:t>15.20</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0.9956</w:t>
            </w:r>
          </w:p>
        </w:tc>
        <w:tc>
          <w:tcPr>
            <w:tcW w:type="dxa" w:w="1531"/>
            <w:vAlign w:val="center"/>
            <w:tcMar>
              <w:top w:w="50" w:type="dxa"/>
              <w:bottom w:w="50" w:type="dxa"/>
              <w:left w:w="60" w:type="dxa"/>
              <w:right w:w="60" w:type="dxa"/>
            </w:tcMar>
          </w:tcPr>
          <w:p>
            <w:pPr>
              <w:jc w:val="center"/>
            </w:pPr>
            <w:r>
              <w:rPr>
                <w:rFonts w:ascii="Calibri" w:hAnsi="Calibri"/>
                <w:b w:val="0"/>
                <w:i w:val="0"/>
                <w:color w:val="111111"/>
                <w:sz w:val="17"/>
              </w:rPr>
              <w:t>0.9744</w:t>
            </w:r>
          </w:p>
        </w:tc>
        <w:tc>
          <w:tcPr>
            <w:tcW w:type="dxa" w:w="1077"/>
            <w:vAlign w:val="center"/>
            <w:tcMar>
              <w:top w:w="50" w:type="dxa"/>
              <w:bottom w:w="50" w:type="dxa"/>
              <w:left w:w="60" w:type="dxa"/>
              <w:right w:w="60" w:type="dxa"/>
            </w:tcMar>
          </w:tcPr>
          <w:p>
            <w:pPr>
              <w:jc w:val="center"/>
            </w:pPr>
            <w:r>
              <w:rPr>
                <w:rFonts w:ascii="Calibri" w:hAnsi="Calibri"/>
                <w:b w:val="0"/>
                <w:i w:val="0"/>
                <w:color w:val="111111"/>
                <w:sz w:val="17"/>
              </w:rPr>
              <w:t>−2.13%</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−5.38°</w:t>
            </w:r>
          </w:p>
        </w:tc>
        <w:tc>
          <w:tcPr>
            <w:tcW w:type="dxa" w:w="1247"/>
            <w:vAlign w:val="center"/>
            <w:tcMar>
              <w:top w:w="50" w:type="dxa"/>
              <w:bottom w:w="50" w:type="dxa"/>
              <w:left w:w="60" w:type="dxa"/>
              <w:right w:w="60" w:type="dxa"/>
            </w:tcMar>
          </w:tcPr>
          <w:p>
            <w:pPr>
              <w:jc w:val="center"/>
            </w:pPr>
            <w:r>
              <w:rPr>
                <w:rFonts w:ascii="Calibri" w:hAnsi="Calibri"/>
                <w:b w:val="0"/>
                <w:i w:val="0"/>
                <w:color w:val="111111"/>
                <w:sz w:val="17"/>
              </w:rPr>
              <w:t>−6.55°</w:t>
            </w:r>
          </w:p>
        </w:tc>
      </w:tr>
      <w:tr>
        <w:trPr>
          <w:cantSplit/>
        </w:trPr>
        <w:tc>
          <w:tcPr>
            <w:tcW w:type="dxa" w:w="907"/>
            <w:vAlign w:val="center"/>
            <w:shd w:fill="F8FAFC"/>
            <w:tcMar>
              <w:top w:w="50" w:type="dxa"/>
              <w:bottom w:w="50" w:type="dxa"/>
              <w:left w:w="60" w:type="dxa"/>
              <w:right w:w="60" w:type="dxa"/>
            </w:tcMar>
          </w:tcPr>
          <w:p>
            <w:pPr>
              <w:jc w:val="center"/>
            </w:pPr>
            <w:r>
              <w:rPr>
                <w:rFonts w:ascii="Calibri" w:hAnsi="Calibri"/>
                <w:b w:val="0"/>
                <w:i w:val="0"/>
                <w:color w:val="111111"/>
                <w:sz w:val="17"/>
              </w:rPr>
              <w:t>10 kHz</w:t>
            </w:r>
          </w:p>
        </w:tc>
        <w:tc>
          <w:tcPr>
            <w:tcW w:type="dxa" w:w="1304"/>
            <w:vAlign w:val="center"/>
            <w:shd w:fill="F8FAFC"/>
            <w:tcMar>
              <w:top w:w="50" w:type="dxa"/>
              <w:bottom w:w="50" w:type="dxa"/>
              <w:left w:w="60" w:type="dxa"/>
              <w:right w:w="60" w:type="dxa"/>
            </w:tcMar>
          </w:tcPr>
          <w:p>
            <w:pPr>
              <w:jc w:val="center"/>
            </w:pPr>
            <w:r>
              <w:rPr>
                <w:rFonts w:ascii="Calibri" w:hAnsi="Calibri"/>
                <w:b w:val="0"/>
                <w:i w:val="0"/>
                <w:color w:val="111111"/>
                <w:sz w:val="17"/>
              </w:rPr>
              <w:t>15.90</w:t>
            </w:r>
          </w:p>
        </w:tc>
        <w:tc>
          <w:tcPr>
            <w:tcW w:type="dxa" w:w="1304"/>
            <w:vAlign w:val="center"/>
            <w:shd w:fill="F8FAFC"/>
            <w:tcMar>
              <w:top w:w="50" w:type="dxa"/>
              <w:bottom w:w="50" w:type="dxa"/>
              <w:left w:w="60" w:type="dxa"/>
              <w:right w:w="60" w:type="dxa"/>
            </w:tcMar>
          </w:tcPr>
          <w:p>
            <w:pPr>
              <w:jc w:val="center"/>
            </w:pPr>
            <w:r>
              <w:rPr>
                <w:rFonts w:ascii="Calibri" w:hAnsi="Calibri"/>
                <w:b w:val="0"/>
                <w:i w:val="0"/>
                <w:color w:val="111111"/>
                <w:sz w:val="17"/>
              </w:rPr>
              <w:t>11.50</w:t>
            </w:r>
          </w:p>
        </w:tc>
        <w:tc>
          <w:tcPr>
            <w:tcW w:type="dxa" w:w="1134"/>
            <w:vAlign w:val="center"/>
            <w:shd w:fill="F8FAFC"/>
            <w:tcMar>
              <w:top w:w="50" w:type="dxa"/>
              <w:bottom w:w="50" w:type="dxa"/>
              <w:left w:w="60" w:type="dxa"/>
              <w:right w:w="60" w:type="dxa"/>
            </w:tcMar>
          </w:tcPr>
          <w:p>
            <w:pPr>
              <w:jc w:val="center"/>
            </w:pPr>
            <w:r>
              <w:rPr>
                <w:rFonts w:ascii="Calibri" w:hAnsi="Calibri"/>
                <w:b w:val="0"/>
                <w:i w:val="0"/>
                <w:color w:val="111111"/>
                <w:sz w:val="17"/>
              </w:rPr>
              <w:t>0.7277</w:t>
            </w:r>
          </w:p>
        </w:tc>
        <w:tc>
          <w:tcPr>
            <w:tcW w:type="dxa" w:w="1531"/>
            <w:vAlign w:val="center"/>
            <w:shd w:fill="F8FAFC"/>
            <w:tcMar>
              <w:top w:w="50" w:type="dxa"/>
              <w:bottom w:w="50" w:type="dxa"/>
              <w:left w:w="60" w:type="dxa"/>
              <w:right w:w="60" w:type="dxa"/>
            </w:tcMar>
          </w:tcPr>
          <w:p>
            <w:pPr>
              <w:jc w:val="center"/>
            </w:pPr>
            <w:r>
              <w:rPr>
                <w:rFonts w:ascii="Calibri" w:hAnsi="Calibri"/>
                <w:b w:val="0"/>
                <w:i w:val="0"/>
                <w:color w:val="111111"/>
                <w:sz w:val="17"/>
              </w:rPr>
              <w:t>0.7233</w:t>
            </w:r>
          </w:p>
        </w:tc>
        <w:tc>
          <w:tcPr>
            <w:tcW w:type="dxa" w:w="1077"/>
            <w:vAlign w:val="center"/>
            <w:shd w:fill="F8FAFC"/>
            <w:tcMar>
              <w:top w:w="50" w:type="dxa"/>
              <w:bottom w:w="50" w:type="dxa"/>
              <w:left w:w="60" w:type="dxa"/>
              <w:right w:w="60" w:type="dxa"/>
            </w:tcMar>
          </w:tcPr>
          <w:p>
            <w:pPr>
              <w:jc w:val="center"/>
            </w:pPr>
            <w:r>
              <w:rPr>
                <w:rFonts w:ascii="Calibri" w:hAnsi="Calibri"/>
                <w:b w:val="0"/>
                <w:i w:val="0"/>
                <w:color w:val="111111"/>
                <w:sz w:val="17"/>
              </w:rPr>
              <w:t>−0.61%</w:t>
            </w:r>
          </w:p>
        </w:tc>
        <w:tc>
          <w:tcPr>
            <w:tcW w:type="dxa" w:w="1134"/>
            <w:vAlign w:val="center"/>
            <w:shd w:fill="F8FAFC"/>
            <w:tcMar>
              <w:top w:w="50" w:type="dxa"/>
              <w:bottom w:w="50" w:type="dxa"/>
              <w:left w:w="60" w:type="dxa"/>
              <w:right w:w="60" w:type="dxa"/>
            </w:tcMar>
          </w:tcPr>
          <w:p>
            <w:pPr>
              <w:jc w:val="center"/>
            </w:pPr>
            <w:r>
              <w:rPr>
                <w:rFonts w:ascii="Calibri" w:hAnsi="Calibri"/>
                <w:b w:val="0"/>
                <w:i w:val="0"/>
                <w:color w:val="111111"/>
                <w:sz w:val="17"/>
              </w:rPr>
              <w:t>−43.30°</w:t>
            </w:r>
          </w:p>
        </w:tc>
        <w:tc>
          <w:tcPr>
            <w:tcW w:type="dxa" w:w="1247"/>
            <w:vAlign w:val="center"/>
            <w:shd w:fill="F8FAFC"/>
            <w:tcMar>
              <w:top w:w="50" w:type="dxa"/>
              <w:bottom w:w="50" w:type="dxa"/>
              <w:left w:w="60" w:type="dxa"/>
              <w:right w:w="60" w:type="dxa"/>
            </w:tcMar>
          </w:tcPr>
          <w:p>
            <w:pPr>
              <w:jc w:val="center"/>
            </w:pPr>
            <w:r>
              <w:rPr>
                <w:rFonts w:ascii="Calibri" w:hAnsi="Calibri"/>
                <w:b w:val="0"/>
                <w:i w:val="0"/>
                <w:color w:val="111111"/>
                <w:sz w:val="17"/>
              </w:rPr>
              <w:t>−42.30°</w:t>
            </w:r>
          </w:p>
        </w:tc>
      </w:tr>
      <w:tr>
        <w:trPr>
          <w:cantSplit/>
        </w:trPr>
        <w:tc>
          <w:tcPr>
            <w:tcW w:type="dxa" w:w="907"/>
            <w:vAlign w:val="center"/>
            <w:tcMar>
              <w:top w:w="50" w:type="dxa"/>
              <w:bottom w:w="50" w:type="dxa"/>
              <w:left w:w="60" w:type="dxa"/>
              <w:right w:w="60" w:type="dxa"/>
            </w:tcMar>
          </w:tcPr>
          <w:p>
            <w:pPr>
              <w:jc w:val="center"/>
            </w:pPr>
            <w:r>
              <w:rPr>
                <w:rFonts w:ascii="Calibri" w:hAnsi="Calibri"/>
                <w:b w:val="0"/>
                <w:i w:val="0"/>
                <w:color w:val="111111"/>
                <w:sz w:val="17"/>
              </w:rPr>
              <w:t>40 kHz</w:t>
            </w:r>
          </w:p>
        </w:tc>
        <w:tc>
          <w:tcPr>
            <w:tcW w:type="dxa" w:w="1304"/>
            <w:vAlign w:val="center"/>
            <w:tcMar>
              <w:top w:w="50" w:type="dxa"/>
              <w:bottom w:w="50" w:type="dxa"/>
              <w:left w:w="60" w:type="dxa"/>
              <w:right w:w="60" w:type="dxa"/>
            </w:tcMar>
          </w:tcPr>
          <w:p>
            <w:pPr>
              <w:jc w:val="center"/>
            </w:pPr>
            <w:r>
              <w:rPr>
                <w:rFonts w:ascii="Calibri" w:hAnsi="Calibri"/>
                <w:b w:val="0"/>
                <w:i w:val="0"/>
                <w:color w:val="111111"/>
                <w:sz w:val="17"/>
              </w:rPr>
              <w:t>15.60</w:t>
            </w:r>
          </w:p>
        </w:tc>
        <w:tc>
          <w:tcPr>
            <w:tcW w:type="dxa" w:w="1304"/>
            <w:vAlign w:val="center"/>
            <w:tcMar>
              <w:top w:w="50" w:type="dxa"/>
              <w:bottom w:w="50" w:type="dxa"/>
              <w:left w:w="60" w:type="dxa"/>
              <w:right w:w="60" w:type="dxa"/>
            </w:tcMar>
          </w:tcPr>
          <w:p>
            <w:pPr>
              <w:jc w:val="center"/>
            </w:pPr>
            <w:r>
              <w:rPr>
                <w:rFonts w:ascii="Calibri" w:hAnsi="Calibri"/>
                <w:b w:val="0"/>
                <w:i w:val="0"/>
                <w:color w:val="111111"/>
                <w:sz w:val="17"/>
              </w:rPr>
              <w:t>4.22</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0.2564</w:t>
            </w:r>
          </w:p>
        </w:tc>
        <w:tc>
          <w:tcPr>
            <w:tcW w:type="dxa" w:w="1531"/>
            <w:vAlign w:val="center"/>
            <w:tcMar>
              <w:top w:w="50" w:type="dxa"/>
              <w:bottom w:w="50" w:type="dxa"/>
              <w:left w:w="60" w:type="dxa"/>
              <w:right w:w="60" w:type="dxa"/>
            </w:tcMar>
          </w:tcPr>
          <w:p>
            <w:pPr>
              <w:jc w:val="center"/>
            </w:pPr>
            <w:r>
              <w:rPr>
                <w:rFonts w:ascii="Calibri" w:hAnsi="Calibri"/>
                <w:b w:val="0"/>
                <w:i w:val="0"/>
                <w:color w:val="111111"/>
                <w:sz w:val="17"/>
              </w:rPr>
              <w:t>0.2705</w:t>
            </w:r>
          </w:p>
        </w:tc>
        <w:tc>
          <w:tcPr>
            <w:tcW w:type="dxa" w:w="1077"/>
            <w:vAlign w:val="center"/>
            <w:tcMar>
              <w:top w:w="50" w:type="dxa"/>
              <w:bottom w:w="50" w:type="dxa"/>
              <w:left w:w="60" w:type="dxa"/>
              <w:right w:w="60" w:type="dxa"/>
            </w:tcMar>
          </w:tcPr>
          <w:p>
            <w:pPr>
              <w:jc w:val="center"/>
            </w:pPr>
            <w:r>
              <w:rPr>
                <w:rFonts w:ascii="Calibri" w:hAnsi="Calibri"/>
                <w:b w:val="0"/>
                <w:i w:val="0"/>
                <w:color w:val="111111"/>
                <w:sz w:val="17"/>
              </w:rPr>
              <w:t>+5.51%</w:t>
            </w:r>
          </w:p>
        </w:tc>
        <w:tc>
          <w:tcPr>
            <w:tcW w:type="dxa" w:w="1134"/>
            <w:vAlign w:val="center"/>
            <w:tcMar>
              <w:top w:w="50" w:type="dxa"/>
              <w:bottom w:w="50" w:type="dxa"/>
              <w:left w:w="60" w:type="dxa"/>
              <w:right w:w="60" w:type="dxa"/>
            </w:tcMar>
          </w:tcPr>
          <w:p>
            <w:pPr>
              <w:jc w:val="center"/>
            </w:pPr>
            <w:r>
              <w:rPr>
                <w:rFonts w:ascii="Calibri" w:hAnsi="Calibri"/>
                <w:b w:val="0"/>
                <w:i w:val="0"/>
                <w:color w:val="111111"/>
                <w:sz w:val="17"/>
              </w:rPr>
              <w:t>−75.14°</w:t>
            </w:r>
          </w:p>
        </w:tc>
        <w:tc>
          <w:tcPr>
            <w:tcW w:type="dxa" w:w="1247"/>
            <w:vAlign w:val="center"/>
            <w:tcMar>
              <w:top w:w="50" w:type="dxa"/>
              <w:bottom w:w="50" w:type="dxa"/>
              <w:left w:w="60" w:type="dxa"/>
              <w:right w:w="60" w:type="dxa"/>
            </w:tcMar>
          </w:tcPr>
          <w:p>
            <w:pPr>
              <w:jc w:val="center"/>
            </w:pPr>
            <w:r>
              <w:rPr>
                <w:rFonts w:ascii="Calibri" w:hAnsi="Calibri"/>
                <w:b w:val="0"/>
                <w:i w:val="0"/>
                <w:color w:val="111111"/>
                <w:sz w:val="17"/>
              </w:rPr>
              <w:t>−73.71°</w:t>
            </w:r>
          </w:p>
        </w:tc>
      </w:tr>
    </w:tbl>
    <w:p>
      <w:pPr>
        <w:spacing w:before="40" w:after="130"/>
      </w:pPr>
      <w:r>
        <w:rPr>
          <w:rFonts w:ascii="Calibri" w:hAnsi="Calibri"/>
          <w:b w:val="0"/>
          <w:i/>
          <w:color w:val="444444"/>
          <w:sz w:val="16"/>
        </w:rPr>
        <w:t>*Note: Keysight Phase(1→2) reports positive lag values; negative signs denote capacitor output phase lag relative to Channel 1. At 1 kHz, live oscilloscope readings fluctuated between −6.55° (Figure 6a) and −6.65° on the lab sheet.</w:t>
      </w:r>
    </w:p>
    <w:p>
      <w:pPr>
        <w:keepNext/>
        <w:spacing w:before="80" w:after="40"/>
        <w:jc w:val="center"/>
      </w:pPr>
      <w:r>
        <w:drawing>
          <wp:inline xmlns:a="http://schemas.openxmlformats.org/drawingml/2006/main" xmlns:pic="http://schemas.openxmlformats.org/drawingml/2006/picture">
            <wp:extent cx="5760000" cy="2640000"/>
            <wp:docPr id="15" name="Picture 15"/>
            <wp:cNvGraphicFramePr>
              <a:graphicFrameLocks noChangeAspect="1"/>
            </wp:cNvGraphicFramePr>
            <a:graphic>
              <a:graphicData uri="http://schemas.openxmlformats.org/drawingml/2006/picture">
                <pic:pic>
                  <pic:nvPicPr>
                    <pic:cNvPr id="0" name="fig06_scope_sine_time.png"/>
                    <pic:cNvPicPr/>
                  </pic:nvPicPr>
                  <pic:blipFill>
                    <a:blip r:embed="rId25"/>
                    <a:stretch>
                      <a:fillRect/>
                    </a:stretch>
                  </pic:blipFill>
                  <pic:spPr>
                    <a:xfrm>
                      <a:off x="0" y="0"/>
                      <a:ext cx="5760000" cy="2640000"/>
                    </a:xfrm>
                    <a:prstGeom prst="rect"/>
                  </pic:spPr>
                </pic:pic>
              </a:graphicData>
            </a:graphic>
          </wp:inline>
        </w:drawing>
      </w:r>
    </w:p>
    <w:p>
      <w:pPr>
        <w:spacing w:after="150"/>
        <w:jc w:val="center"/>
      </w:pPr>
      <w:r>
        <w:rPr>
          <w:rFonts w:ascii="Calibri" w:hAnsi="Calibri"/>
          <w:b w:val="0"/>
          <w:i/>
          <w:color w:val="222222"/>
          <w:sz w:val="18"/>
        </w:rPr>
        <w:t>Figure 6. Keysight DSOX4024G time-domain sinusoidal captures showing input Channel 1 (yellow, 5 V/div) and capacitor output Channel 2 (green, 5 V/div): (a) 1 kHz and (b) 10 kHz.</w:t>
      </w:r>
    </w:p>
    <w:p>
      <w:pPr>
        <w:keepNext/>
        <w:spacing w:before="80" w:after="40"/>
        <w:jc w:val="center"/>
      </w:pPr>
      <w:r>
        <w:drawing>
          <wp:inline xmlns:a="http://schemas.openxmlformats.org/drawingml/2006/main" xmlns:pic="http://schemas.openxmlformats.org/drawingml/2006/picture">
            <wp:extent cx="5760000" cy="2280000"/>
            <wp:docPr id="16" name="Picture 16"/>
            <wp:cNvGraphicFramePr>
              <a:graphicFrameLocks noChangeAspect="1"/>
            </wp:cNvGraphicFramePr>
            <a:graphic>
              <a:graphicData uri="http://schemas.openxmlformats.org/drawingml/2006/picture">
                <pic:pic>
                  <pic:nvPicPr>
                    <pic:cNvPr id="0" name="fig07_sine_time_all3.png"/>
                    <pic:cNvPicPr/>
                  </pic:nvPicPr>
                  <pic:blipFill>
                    <a:blip r:embed="rId26"/>
                    <a:stretch>
                      <a:fillRect/>
                    </a:stretch>
                  </pic:blipFill>
                  <pic:spPr>
                    <a:xfrm>
                      <a:off x="0" y="0"/>
                      <a:ext cx="5760000" cy="2280000"/>
                    </a:xfrm>
                    <a:prstGeom prst="rect"/>
                  </pic:spPr>
                </pic:pic>
              </a:graphicData>
            </a:graphic>
          </wp:inline>
        </w:drawing>
      </w:r>
    </w:p>
    <w:p>
      <w:pPr>
        <w:spacing w:after="150"/>
        <w:jc w:val="center"/>
      </w:pPr>
      <w:r>
        <w:rPr>
          <w:rFonts w:ascii="Calibri" w:hAnsi="Calibri"/>
          <w:b w:val="0"/>
          <w:i/>
          <w:color w:val="222222"/>
          <w:sz w:val="18"/>
        </w:rPr>
        <w:t>Figure 7. Scaled time-domain input and output voltage pairs across (a) 1 kHz, (b) 10 kHz, and (c) 40 kHz, comparing measured waveforms with theoretical LTI predictions.</w:t>
      </w:r>
    </w:p>
    <w:p>
      <w:pPr>
        <w:pStyle w:val="Heading2"/>
        <w:keepNext/>
        <w:spacing w:before="170" w:after="60"/>
      </w:pPr>
      <w:r>
        <w:rPr>
          <w:rFonts w:ascii="Calibri" w:hAnsi="Calibri"/>
          <w:b/>
          <w:i w:val="0"/>
          <w:color w:val="2C3E50"/>
          <w:sz w:val="22"/>
        </w:rPr>
        <w:t>3.5 Experimental Frequency-Domain Sinusoidal Measurements</w:t>
      </w:r>
    </w:p>
    <w:p>
      <w:pPr>
        <w:spacing w:after="100" w:line="276" w:lineRule="auto"/>
        <w:jc w:val="both"/>
      </w:pPr>
      <w:r>
        <w:rPr>
          <w:rFonts w:ascii="Calibri" w:hAnsi="Calibri"/>
          <w:b w:val="0"/>
          <w:i w:val="0"/>
          <w:color w:val="111111"/>
          <w:sz w:val="20"/>
        </w:rPr>
        <w:t>Table 5 presents the frequency-domain input and output sinusoidal levels (dBV</w:t>
      </w:r>
      <w:r>
        <w:rPr>
          <w:rFonts w:ascii="Calibri" w:hAnsi="Calibri"/>
          <w:b w:val="0"/>
          <w:i w:val="0"/>
          <w:color w:val="111111"/>
          <w:sz w:val="20"/>
          <w:vertAlign w:val="subscript"/>
        </w:rPr>
        <w:t>rms</w:t>
      </w:r>
      <w:r>
        <w:rPr>
          <w:rFonts w:ascii="Calibri" w:hAnsi="Calibri"/>
          <w:b w:val="0"/>
          <w:i w:val="0"/>
          <w:color w:val="111111"/>
          <w:sz w:val="20"/>
        </w:rPr>
        <w:t>) and resulting decibel gains at 1, 10, and 40 kHz, and Figure 8 compares the measured spectral stems against the post-laboratory 15 V</w:t>
      </w:r>
      <w:r>
        <w:rPr>
          <w:rFonts w:ascii="Calibri" w:hAnsi="Calibri"/>
          <w:b w:val="0"/>
          <w:i w:val="0"/>
          <w:color w:val="111111"/>
          <w:sz w:val="20"/>
          <w:vertAlign w:val="subscript"/>
        </w:rPr>
        <w:t>pp</w:t>
      </w:r>
      <w:r>
        <w:rPr>
          <w:rFonts w:ascii="Calibri" w:hAnsi="Calibri"/>
          <w:b w:val="0"/>
          <w:i w:val="0"/>
          <w:color w:val="111111"/>
          <w:sz w:val="20"/>
        </w:rPr>
        <w:t xml:space="preserve"> theoretical output levels. Measured gains of −0.22 dB, −2.81 dB, and −11.36 dB closely track theoretical predictions (−0.04, −2.76, and −11.82 dB) within 0.05–0.46 dB.</w:t>
      </w:r>
    </w:p>
    <w:p>
      <w:pPr>
        <w:keepNext/>
        <w:spacing w:before="130" w:after="50"/>
      </w:pPr>
      <w:r>
        <w:rPr>
          <w:rFonts w:ascii="Calibri" w:hAnsi="Calibri"/>
          <w:b w:val="0"/>
          <w:i/>
          <w:color w:val="111111"/>
          <w:sz w:val="18"/>
        </w:rPr>
        <w:t>Table 5. Frequency-domain sinusoidal magnitudes (dBV</w:t>
      </w:r>
      <w:r>
        <w:rPr>
          <w:rFonts w:ascii="Calibri" w:hAnsi="Calibri"/>
          <w:b w:val="0"/>
          <w:i/>
          <w:color w:val="111111"/>
          <w:sz w:val="18"/>
          <w:vertAlign w:val="subscript"/>
        </w:rPr>
        <w:t>rms</w:t>
      </w:r>
      <w:r>
        <w:rPr>
          <w:rFonts w:ascii="Calibri" w:hAnsi="Calibri"/>
          <w:b w:val="0"/>
          <w:i/>
          <w:color w:val="111111"/>
          <w:sz w:val="18"/>
        </w:rPr>
        <w:t>) and filter gain comparison.</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606"/>
        <w:gridCol w:w="1606"/>
        <w:gridCol w:w="1606"/>
        <w:gridCol w:w="1606"/>
        <w:gridCol w:w="1606"/>
        <w:gridCol w:w="1606"/>
      </w:tblGrid>
      <w:tr>
        <w:trPr>
          <w:tblHeader/>
          <w:cantSplit/>
        </w:trPr>
        <w:tc>
          <w:tcPr>
            <w:tcW w:type="dxa" w:w="1247"/>
            <w:vAlign w:val="center"/>
            <w:shd w:fill="EAF0F6"/>
            <w:tcMar>
              <w:top w:w="60" w:type="dxa"/>
              <w:bottom w:w="60" w:type="dxa"/>
              <w:left w:w="60" w:type="dxa"/>
              <w:right w:w="60" w:type="dxa"/>
            </w:tcMar>
          </w:tcPr>
          <w:p>
            <w:pPr>
              <w:jc w:val="center"/>
            </w:pPr>
            <w:r>
              <w:rPr>
                <w:rFonts w:ascii="Calibri" w:hAnsi="Calibri"/>
                <w:b/>
                <w:i w:val="0"/>
                <w:color w:val="1B365D"/>
                <w:sz w:val="17"/>
              </w:rPr>
              <w:t xml:space="preserve">Frequency </w:t>
            </w:r>
            <w:r>
              <w:rPr>
                <w:rFonts w:ascii="Calibri" w:hAnsi="Calibri"/>
                <w:b/>
                <w:i/>
                <w:color w:val="1B365D"/>
                <w:sz w:val="17"/>
              </w:rPr>
              <w:t>f</w:t>
            </w:r>
          </w:p>
        </w:tc>
        <w:tc>
          <w:tcPr>
            <w:tcW w:type="dxa" w:w="1757"/>
            <w:vAlign w:val="center"/>
            <w:shd w:fill="EAF0F6"/>
            <w:tcMar>
              <w:top w:w="60" w:type="dxa"/>
              <w:bottom w:w="60" w:type="dxa"/>
              <w:left w:w="60" w:type="dxa"/>
              <w:right w:w="60" w:type="dxa"/>
            </w:tcMar>
          </w:tcPr>
          <w:p>
            <w:pPr>
              <w:jc w:val="center"/>
            </w:pPr>
            <w:r>
              <w:rPr>
                <w:rFonts w:ascii="Calibri" w:hAnsi="Calibri"/>
                <w:b/>
                <w:i w:val="0"/>
                <w:color w:val="1B365D"/>
                <w:sz w:val="17"/>
              </w:rPr>
              <w:t>Measured Output (dBV</w:t>
            </w:r>
            <w:r>
              <w:rPr>
                <w:rFonts w:ascii="Calibri" w:hAnsi="Calibri"/>
                <w:b/>
                <w:i w:val="0"/>
                <w:color w:val="1B365D"/>
                <w:sz w:val="17"/>
                <w:vertAlign w:val="subscript"/>
              </w:rPr>
              <w:t>rms</w:t>
            </w:r>
            <w:r>
              <w:rPr>
                <w:rFonts w:ascii="Calibri" w:hAnsi="Calibri"/>
                <w:b/>
                <w:i w:val="0"/>
                <w:color w:val="1B365D"/>
                <w:sz w:val="17"/>
              </w:rPr>
              <w:t>)</w:t>
            </w:r>
          </w:p>
        </w:tc>
        <w:tc>
          <w:tcPr>
            <w:tcW w:type="dxa" w:w="1757"/>
            <w:vAlign w:val="center"/>
            <w:shd w:fill="EAF0F6"/>
            <w:tcMar>
              <w:top w:w="60" w:type="dxa"/>
              <w:bottom w:w="60" w:type="dxa"/>
              <w:left w:w="60" w:type="dxa"/>
              <w:right w:w="60" w:type="dxa"/>
            </w:tcMar>
          </w:tcPr>
          <w:p>
            <w:pPr>
              <w:jc w:val="center"/>
            </w:pPr>
            <w:r>
              <w:rPr>
                <w:rFonts w:ascii="Calibri" w:hAnsi="Calibri"/>
                <w:b/>
                <w:i w:val="0"/>
                <w:color w:val="1B365D"/>
                <w:sz w:val="17"/>
              </w:rPr>
              <w:t>Measured Input (dBV</w:t>
            </w:r>
            <w:r>
              <w:rPr>
                <w:rFonts w:ascii="Calibri" w:hAnsi="Calibri"/>
                <w:b/>
                <w:i w:val="0"/>
                <w:color w:val="1B365D"/>
                <w:sz w:val="17"/>
                <w:vertAlign w:val="subscript"/>
              </w:rPr>
              <w:t>rms</w:t>
            </w:r>
            <w:r>
              <w:rPr>
                <w:rFonts w:ascii="Calibri" w:hAnsi="Calibri"/>
                <w:b/>
                <w:i w:val="0"/>
                <w:color w:val="1B365D"/>
                <w:sz w:val="17"/>
              </w:rPr>
              <w:t>)</w:t>
            </w:r>
          </w:p>
        </w:tc>
        <w:tc>
          <w:tcPr>
            <w:tcW w:type="dxa" w:w="1587"/>
            <w:vAlign w:val="center"/>
            <w:shd w:fill="EAF0F6"/>
            <w:tcMar>
              <w:top w:w="60" w:type="dxa"/>
              <w:bottom w:w="60" w:type="dxa"/>
              <w:left w:w="60" w:type="dxa"/>
              <w:right w:w="60" w:type="dxa"/>
            </w:tcMar>
          </w:tcPr>
          <w:p>
            <w:pPr>
              <w:jc w:val="center"/>
            </w:pPr>
            <w:r>
              <w:rPr>
                <w:rFonts w:ascii="Calibri" w:hAnsi="Calibri"/>
                <w:b/>
                <w:i w:val="0"/>
                <w:color w:val="1B365D"/>
                <w:sz w:val="17"/>
              </w:rPr>
              <w:t>Measured Gain (dB)</w:t>
            </w:r>
          </w:p>
        </w:tc>
        <w:tc>
          <w:tcPr>
            <w:tcW w:type="dxa" w:w="1814"/>
            <w:vAlign w:val="center"/>
            <w:shd w:fill="EAF0F6"/>
            <w:tcMar>
              <w:top w:w="60" w:type="dxa"/>
              <w:bottom w:w="60" w:type="dxa"/>
              <w:left w:w="60" w:type="dxa"/>
              <w:right w:w="60" w:type="dxa"/>
            </w:tcMar>
          </w:tcPr>
          <w:p>
            <w:pPr>
              <w:jc w:val="center"/>
            </w:pPr>
            <w:r>
              <w:rPr>
                <w:rFonts w:ascii="Calibri" w:hAnsi="Calibri"/>
                <w:b/>
                <w:i w:val="0"/>
                <w:color w:val="1B365D"/>
                <w:sz w:val="17"/>
              </w:rPr>
              <w:t>Theoretical Gain (dB)</w:t>
            </w:r>
          </w:p>
        </w:tc>
        <w:tc>
          <w:tcPr>
            <w:tcW w:type="dxa" w:w="1474"/>
            <w:vAlign w:val="center"/>
            <w:shd w:fill="EAF0F6"/>
            <w:tcMar>
              <w:top w:w="60" w:type="dxa"/>
              <w:bottom w:w="60" w:type="dxa"/>
              <w:left w:w="60" w:type="dxa"/>
              <w:right w:w="60" w:type="dxa"/>
            </w:tcMar>
          </w:tcPr>
          <w:p>
            <w:pPr>
              <w:jc w:val="center"/>
            </w:pPr>
            <w:r>
              <w:rPr>
                <w:rFonts w:ascii="Calibri" w:hAnsi="Calibri"/>
                <w:b/>
                <w:i w:val="0"/>
                <w:color w:val="1B365D"/>
                <w:sz w:val="17"/>
              </w:rPr>
              <w:t>Discrepancy |Δ</w:t>
            </w:r>
            <w:r>
              <w:rPr>
                <w:rFonts w:ascii="Calibri" w:hAnsi="Calibri"/>
                <w:b/>
                <w:i/>
                <w:color w:val="1B365D"/>
                <w:sz w:val="17"/>
              </w:rPr>
              <w:t>G</w:t>
            </w:r>
            <w:r>
              <w:rPr>
                <w:rFonts w:ascii="Calibri" w:hAnsi="Calibri"/>
                <w:b/>
                <w:i w:val="0"/>
                <w:color w:val="1B365D"/>
                <w:sz w:val="17"/>
              </w:rPr>
              <w:t>| (dB)</w:t>
            </w:r>
          </w:p>
        </w:tc>
      </w:tr>
      <w:tr>
        <w:trPr>
          <w:cantSplit/>
        </w:trPr>
        <w:tc>
          <w:tcPr>
            <w:tcW w:type="dxa" w:w="1247"/>
            <w:vAlign w:val="center"/>
            <w:tcMar>
              <w:top w:w="50" w:type="dxa"/>
              <w:bottom w:w="50" w:type="dxa"/>
              <w:left w:w="60" w:type="dxa"/>
              <w:right w:w="60" w:type="dxa"/>
            </w:tcMar>
          </w:tcPr>
          <w:p>
            <w:pPr>
              <w:jc w:val="center"/>
            </w:pPr>
            <w:r>
              <w:rPr>
                <w:rFonts w:ascii="Calibri" w:hAnsi="Calibri"/>
                <w:b w:val="0"/>
                <w:i w:val="0"/>
                <w:color w:val="111111"/>
                <w:sz w:val="17"/>
              </w:rPr>
              <w:t>1 kHz</w:t>
            </w:r>
          </w:p>
        </w:tc>
        <w:tc>
          <w:tcPr>
            <w:tcW w:type="dxa" w:w="1757"/>
            <w:vAlign w:val="center"/>
            <w:tcMar>
              <w:top w:w="50" w:type="dxa"/>
              <w:bottom w:w="50" w:type="dxa"/>
              <w:left w:w="60" w:type="dxa"/>
              <w:right w:w="60" w:type="dxa"/>
            </w:tcMar>
          </w:tcPr>
          <w:p>
            <w:pPr>
              <w:jc w:val="center"/>
            </w:pPr>
            <w:r>
              <w:rPr>
                <w:rFonts w:ascii="Calibri" w:hAnsi="Calibri"/>
                <w:b w:val="0"/>
                <w:i w:val="0"/>
                <w:color w:val="111111"/>
                <w:sz w:val="17"/>
              </w:rPr>
              <w:t>14.61</w:t>
            </w:r>
          </w:p>
        </w:tc>
        <w:tc>
          <w:tcPr>
            <w:tcW w:type="dxa" w:w="1757"/>
            <w:vAlign w:val="center"/>
            <w:tcMar>
              <w:top w:w="50" w:type="dxa"/>
              <w:bottom w:w="50" w:type="dxa"/>
              <w:left w:w="60" w:type="dxa"/>
              <w:right w:w="60" w:type="dxa"/>
            </w:tcMar>
          </w:tcPr>
          <w:p>
            <w:pPr>
              <w:jc w:val="center"/>
            </w:pPr>
            <w:r>
              <w:rPr>
                <w:rFonts w:ascii="Calibri" w:hAnsi="Calibri"/>
                <w:b w:val="0"/>
                <w:i w:val="0"/>
                <w:color w:val="111111"/>
                <w:sz w:val="17"/>
              </w:rPr>
              <w:t>14.83</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−0.22</w:t>
            </w:r>
          </w:p>
        </w:tc>
        <w:tc>
          <w:tcPr>
            <w:tcW w:type="dxa" w:w="1814"/>
            <w:vAlign w:val="center"/>
            <w:tcMar>
              <w:top w:w="50" w:type="dxa"/>
              <w:bottom w:w="50" w:type="dxa"/>
              <w:left w:w="60" w:type="dxa"/>
              <w:right w:w="60" w:type="dxa"/>
            </w:tcMar>
          </w:tcPr>
          <w:p>
            <w:pPr>
              <w:jc w:val="center"/>
            </w:pPr>
            <w:r>
              <w:rPr>
                <w:rFonts w:ascii="Calibri" w:hAnsi="Calibri"/>
                <w:b w:val="0"/>
                <w:i w:val="0"/>
                <w:color w:val="111111"/>
                <w:sz w:val="17"/>
              </w:rPr>
              <w:t>−0.04 (−0.0384)</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0.18</w:t>
            </w:r>
          </w:p>
        </w:tc>
      </w:tr>
      <w:tr>
        <w:trPr>
          <w:cantSplit/>
        </w:trPr>
        <w:tc>
          <w:tcPr>
            <w:tcW w:type="dxa" w:w="1247"/>
            <w:vAlign w:val="center"/>
            <w:shd w:fill="F8FAFC"/>
            <w:tcMar>
              <w:top w:w="50" w:type="dxa"/>
              <w:bottom w:w="50" w:type="dxa"/>
              <w:left w:w="60" w:type="dxa"/>
              <w:right w:w="60" w:type="dxa"/>
            </w:tcMar>
          </w:tcPr>
          <w:p>
            <w:pPr>
              <w:jc w:val="center"/>
            </w:pPr>
            <w:r>
              <w:rPr>
                <w:rFonts w:ascii="Calibri" w:hAnsi="Calibri"/>
                <w:b w:val="0"/>
                <w:i w:val="0"/>
                <w:color w:val="111111"/>
                <w:sz w:val="17"/>
              </w:rPr>
              <w:t>10 kHz</w:t>
            </w:r>
          </w:p>
        </w:tc>
        <w:tc>
          <w:tcPr>
            <w:tcW w:type="dxa" w:w="1757"/>
            <w:vAlign w:val="center"/>
            <w:shd w:fill="F8FAFC"/>
            <w:tcMar>
              <w:top w:w="50" w:type="dxa"/>
              <w:bottom w:w="50" w:type="dxa"/>
              <w:left w:w="60" w:type="dxa"/>
              <w:right w:w="60" w:type="dxa"/>
            </w:tcMar>
          </w:tcPr>
          <w:p>
            <w:pPr>
              <w:jc w:val="center"/>
            </w:pPr>
            <w:r>
              <w:rPr>
                <w:rFonts w:ascii="Calibri" w:hAnsi="Calibri"/>
                <w:b w:val="0"/>
                <w:i w:val="0"/>
                <w:color w:val="111111"/>
                <w:sz w:val="17"/>
              </w:rPr>
              <w:t>12.18</w:t>
            </w:r>
          </w:p>
        </w:tc>
        <w:tc>
          <w:tcPr>
            <w:tcW w:type="dxa" w:w="1757"/>
            <w:vAlign w:val="center"/>
            <w:shd w:fill="F8FAFC"/>
            <w:tcMar>
              <w:top w:w="50" w:type="dxa"/>
              <w:bottom w:w="50" w:type="dxa"/>
              <w:left w:w="60" w:type="dxa"/>
              <w:right w:w="60" w:type="dxa"/>
            </w:tcMar>
          </w:tcPr>
          <w:p>
            <w:pPr>
              <w:jc w:val="center"/>
            </w:pPr>
            <w:r>
              <w:rPr>
                <w:rFonts w:ascii="Calibri" w:hAnsi="Calibri"/>
                <w:b w:val="0"/>
                <w:i w:val="0"/>
                <w:color w:val="111111"/>
                <w:sz w:val="17"/>
              </w:rPr>
              <w:t>14.99</w:t>
            </w:r>
          </w:p>
        </w:tc>
        <w:tc>
          <w:tcPr>
            <w:tcW w:type="dxa" w:w="1587"/>
            <w:vAlign w:val="center"/>
            <w:shd w:fill="F8FAFC"/>
            <w:tcMar>
              <w:top w:w="50" w:type="dxa"/>
              <w:bottom w:w="50" w:type="dxa"/>
              <w:left w:w="60" w:type="dxa"/>
              <w:right w:w="60" w:type="dxa"/>
            </w:tcMar>
          </w:tcPr>
          <w:p>
            <w:pPr>
              <w:jc w:val="center"/>
            </w:pPr>
            <w:r>
              <w:rPr>
                <w:rFonts w:ascii="Calibri" w:hAnsi="Calibri"/>
                <w:b w:val="0"/>
                <w:i w:val="0"/>
                <w:color w:val="111111"/>
                <w:sz w:val="17"/>
              </w:rPr>
              <w:t>−2.81</w:t>
            </w:r>
          </w:p>
        </w:tc>
        <w:tc>
          <w:tcPr>
            <w:tcW w:type="dxa" w:w="1814"/>
            <w:vAlign w:val="center"/>
            <w:shd w:fill="F8FAFC"/>
            <w:tcMar>
              <w:top w:w="50" w:type="dxa"/>
              <w:bottom w:w="50" w:type="dxa"/>
              <w:left w:w="60" w:type="dxa"/>
              <w:right w:w="60" w:type="dxa"/>
            </w:tcMar>
          </w:tcPr>
          <w:p>
            <w:pPr>
              <w:jc w:val="center"/>
            </w:pPr>
            <w:r>
              <w:rPr>
                <w:rFonts w:ascii="Calibri" w:hAnsi="Calibri"/>
                <w:b w:val="0"/>
                <w:i w:val="0"/>
                <w:color w:val="111111"/>
                <w:sz w:val="17"/>
              </w:rPr>
              <w:t>−2.76 (−2.7606)</w:t>
            </w:r>
          </w:p>
        </w:tc>
        <w:tc>
          <w:tcPr>
            <w:tcW w:type="dxa" w:w="1474"/>
            <w:vAlign w:val="center"/>
            <w:shd w:fill="F8FAFC"/>
            <w:tcMar>
              <w:top w:w="50" w:type="dxa"/>
              <w:bottom w:w="50" w:type="dxa"/>
              <w:left w:w="60" w:type="dxa"/>
              <w:right w:w="60" w:type="dxa"/>
            </w:tcMar>
          </w:tcPr>
          <w:p>
            <w:pPr>
              <w:jc w:val="center"/>
            </w:pPr>
            <w:r>
              <w:rPr>
                <w:rFonts w:ascii="Calibri" w:hAnsi="Calibri"/>
                <w:b w:val="0"/>
                <w:i w:val="0"/>
                <w:color w:val="111111"/>
                <w:sz w:val="17"/>
              </w:rPr>
              <w:t>0.05</w:t>
            </w:r>
          </w:p>
        </w:tc>
      </w:tr>
      <w:tr>
        <w:trPr>
          <w:cantSplit/>
        </w:trPr>
        <w:tc>
          <w:tcPr>
            <w:tcW w:type="dxa" w:w="1247"/>
            <w:vAlign w:val="center"/>
            <w:tcMar>
              <w:top w:w="50" w:type="dxa"/>
              <w:bottom w:w="50" w:type="dxa"/>
              <w:left w:w="60" w:type="dxa"/>
              <w:right w:w="60" w:type="dxa"/>
            </w:tcMar>
          </w:tcPr>
          <w:p>
            <w:pPr>
              <w:jc w:val="center"/>
            </w:pPr>
            <w:r>
              <w:rPr>
                <w:rFonts w:ascii="Calibri" w:hAnsi="Calibri"/>
                <w:b w:val="0"/>
                <w:i w:val="0"/>
                <w:color w:val="111111"/>
                <w:sz w:val="17"/>
              </w:rPr>
              <w:t>40 kHz</w:t>
            </w:r>
          </w:p>
        </w:tc>
        <w:tc>
          <w:tcPr>
            <w:tcW w:type="dxa" w:w="1757"/>
            <w:vAlign w:val="center"/>
            <w:tcMar>
              <w:top w:w="50" w:type="dxa"/>
              <w:bottom w:w="50" w:type="dxa"/>
              <w:left w:w="60" w:type="dxa"/>
              <w:right w:w="60" w:type="dxa"/>
            </w:tcMar>
          </w:tcPr>
          <w:p>
            <w:pPr>
              <w:jc w:val="center"/>
            </w:pPr>
            <w:r>
              <w:rPr>
                <w:rFonts w:ascii="Calibri" w:hAnsi="Calibri"/>
                <w:b w:val="0"/>
                <w:i w:val="0"/>
                <w:color w:val="111111"/>
                <w:sz w:val="17"/>
              </w:rPr>
              <w:t>3.47</w:t>
            </w:r>
          </w:p>
        </w:tc>
        <w:tc>
          <w:tcPr>
            <w:tcW w:type="dxa" w:w="1757"/>
            <w:vAlign w:val="center"/>
            <w:tcMar>
              <w:top w:w="50" w:type="dxa"/>
              <w:bottom w:w="50" w:type="dxa"/>
              <w:left w:w="60" w:type="dxa"/>
              <w:right w:w="60" w:type="dxa"/>
            </w:tcMar>
          </w:tcPr>
          <w:p>
            <w:pPr>
              <w:jc w:val="center"/>
            </w:pPr>
            <w:r>
              <w:rPr>
                <w:rFonts w:ascii="Calibri" w:hAnsi="Calibri"/>
                <w:b w:val="0"/>
                <w:i w:val="0"/>
                <w:color w:val="111111"/>
                <w:sz w:val="17"/>
              </w:rPr>
              <w:t>14.83</w:t>
            </w:r>
          </w:p>
        </w:tc>
        <w:tc>
          <w:tcPr>
            <w:tcW w:type="dxa" w:w="1587"/>
            <w:vAlign w:val="center"/>
            <w:tcMar>
              <w:top w:w="50" w:type="dxa"/>
              <w:bottom w:w="50" w:type="dxa"/>
              <w:left w:w="60" w:type="dxa"/>
              <w:right w:w="60" w:type="dxa"/>
            </w:tcMar>
          </w:tcPr>
          <w:p>
            <w:pPr>
              <w:jc w:val="center"/>
            </w:pPr>
            <w:r>
              <w:rPr>
                <w:rFonts w:ascii="Calibri" w:hAnsi="Calibri"/>
                <w:b w:val="0"/>
                <w:i w:val="0"/>
                <w:color w:val="111111"/>
                <w:sz w:val="17"/>
              </w:rPr>
              <w:t>−11.36</w:t>
            </w:r>
          </w:p>
        </w:tc>
        <w:tc>
          <w:tcPr>
            <w:tcW w:type="dxa" w:w="1814"/>
            <w:vAlign w:val="center"/>
            <w:tcMar>
              <w:top w:w="50" w:type="dxa"/>
              <w:bottom w:w="50" w:type="dxa"/>
              <w:left w:w="60" w:type="dxa"/>
              <w:right w:w="60" w:type="dxa"/>
            </w:tcMar>
          </w:tcPr>
          <w:p>
            <w:pPr>
              <w:jc w:val="center"/>
            </w:pPr>
            <w:r>
              <w:rPr>
                <w:rFonts w:ascii="Calibri" w:hAnsi="Calibri"/>
                <w:b w:val="0"/>
                <w:i w:val="0"/>
                <w:color w:val="111111"/>
                <w:sz w:val="17"/>
              </w:rPr>
              <w:t>−11.82 (−11.8219)</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0.46</w:t>
            </w:r>
          </w:p>
        </w:tc>
      </w:tr>
    </w:tbl>
    <w:p>
      <w:pPr>
        <w:keepNext/>
        <w:spacing w:before="80" w:after="40"/>
        <w:jc w:val="center"/>
      </w:pPr>
      <w:r>
        <w:drawing>
          <wp:inline xmlns:a="http://schemas.openxmlformats.org/drawingml/2006/main" xmlns:pic="http://schemas.openxmlformats.org/drawingml/2006/picture">
            <wp:extent cx="5616000" cy="2531155"/>
            <wp:docPr id="17" name="Picture 17"/>
            <wp:cNvGraphicFramePr>
              <a:graphicFrameLocks noChangeAspect="1"/>
            </wp:cNvGraphicFramePr>
            <a:graphic>
              <a:graphicData uri="http://schemas.openxmlformats.org/drawingml/2006/picture">
                <pic:pic>
                  <pic:nvPicPr>
                    <pic:cNvPr id="0" name="fig08_sine_spectra_meas.png"/>
                    <pic:cNvPicPr/>
                  </pic:nvPicPr>
                  <pic:blipFill>
                    <a:blip r:embed="rId27"/>
                    <a:stretch>
                      <a:fillRect/>
                    </a:stretch>
                  </pic:blipFill>
                  <pic:spPr>
                    <a:xfrm>
                      <a:off x="0" y="0"/>
                      <a:ext cx="5616000" cy="2531155"/>
                    </a:xfrm>
                    <a:prstGeom prst="rect"/>
                  </pic:spPr>
                </pic:pic>
              </a:graphicData>
            </a:graphic>
          </wp:inline>
        </w:drawing>
      </w:r>
    </w:p>
    <w:p>
      <w:pPr>
        <w:spacing w:after="150"/>
        <w:jc w:val="center"/>
      </w:pPr>
      <w:r>
        <w:rPr>
          <w:rFonts w:ascii="Calibri" w:hAnsi="Calibri"/>
          <w:b w:val="0"/>
          <w:i/>
          <w:color w:val="222222"/>
          <w:sz w:val="18"/>
        </w:rPr>
        <w:t>Figure 8. Sinusoidal spectral magnitude comparison at (a) 1 kHz, (b) 10 kHz, and (c) 40 kHz showing measured input, measured output, and post-laboratory theoretical output (dBV</w:t>
      </w:r>
      <w:r>
        <w:rPr>
          <w:rFonts w:ascii="Calibri" w:hAnsi="Calibri"/>
          <w:b w:val="0"/>
          <w:i/>
          <w:color w:val="222222"/>
          <w:sz w:val="18"/>
          <w:vertAlign w:val="subscript"/>
        </w:rPr>
        <w:t>rms</w:t>
      </w:r>
      <w:r>
        <w:rPr>
          <w:rFonts w:ascii="Calibri" w:hAnsi="Calibri"/>
          <w:b w:val="0"/>
          <w:i/>
          <w:color w:val="222222"/>
          <w:sz w:val="18"/>
        </w:rPr>
        <w:t>).</w:t>
      </w:r>
    </w:p>
    <w:p>
      <w:pPr>
        <w:pStyle w:val="Heading2"/>
        <w:keepNext/>
        <w:spacing w:before="170" w:after="60"/>
      </w:pPr>
      <w:r>
        <w:rPr>
          <w:rFonts w:ascii="Calibri" w:hAnsi="Calibri"/>
          <w:b/>
          <w:i w:val="0"/>
          <w:color w:val="2C3E50"/>
          <w:sz w:val="22"/>
        </w:rPr>
        <w:t>3.6 Experimental Square-Wave Time and FFT Measurements</w:t>
      </w:r>
    </w:p>
    <w:p>
      <w:pPr>
        <w:spacing w:after="100" w:line="276" w:lineRule="auto"/>
        <w:jc w:val="both"/>
      </w:pPr>
      <w:r>
        <w:rPr>
          <w:rFonts w:ascii="Calibri" w:hAnsi="Calibri"/>
          <w:b w:val="0"/>
          <w:i w:val="0"/>
          <w:color w:val="111111"/>
          <w:sz w:val="20"/>
        </w:rPr>
        <w:t>Figure 9 shows the oscilloscope capture of the 8 kHz square wave in the time and frequency domains simultaneously: Channel 1 (yellow) displays a flat-top amplitude Ampl(1) = 15.1 V (with 20.1 V</w:t>
      </w:r>
      <w:r>
        <w:rPr>
          <w:rFonts w:ascii="Calibri" w:hAnsi="Calibri"/>
          <w:b w:val="0"/>
          <w:i w:val="0"/>
          <w:color w:val="111111"/>
          <w:sz w:val="20"/>
          <w:vertAlign w:val="subscript"/>
        </w:rPr>
        <w:t>pp</w:t>
      </w:r>
      <w:r>
        <w:rPr>
          <w:rFonts w:ascii="Calibri" w:hAnsi="Calibri"/>
          <w:b w:val="0"/>
          <w:i w:val="0"/>
          <w:color w:val="111111"/>
          <w:sz w:val="20"/>
        </w:rPr>
        <w:t xml:space="preserve"> edge overshoot spikes), while Channel 2 (green) exhibits the rounded exponential charging/discharging waveform measuring Pk-Pk(2) = 14.9 V (Ampl(2) = 14.2 V). Table 6 reports the manual cursor measurements extracted directly from the oscilloscope FFT screens for Channel 1 and Channel 2 shown in Figure 10. Finally, Figure 11a plots the measured and theoretical RMS dBV harmonic spectra on a common scale, and Figure 11b overlays all six frequency-domain gain measurements onto the theoretical Bode magnitude curve.</w:t>
      </w:r>
    </w:p>
    <w:p>
      <w:pPr>
        <w:keepNext/>
        <w:spacing w:before="80" w:after="40"/>
        <w:jc w:val="center"/>
      </w:pPr>
      <w:r>
        <w:drawing>
          <wp:inline xmlns:a="http://schemas.openxmlformats.org/drawingml/2006/main" xmlns:pic="http://schemas.openxmlformats.org/drawingml/2006/picture">
            <wp:extent cx="4752000" cy="3031448"/>
            <wp:docPr id="18" name="Picture 18"/>
            <wp:cNvGraphicFramePr>
              <a:graphicFrameLocks noChangeAspect="1"/>
            </wp:cNvGraphicFramePr>
            <a:graphic>
              <a:graphicData uri="http://schemas.openxmlformats.org/drawingml/2006/picture">
                <pic:pic>
                  <pic:nvPicPr>
                    <pic:cNvPr id="0" name="fig09_scope_square_time.png"/>
                    <pic:cNvPicPr/>
                  </pic:nvPicPr>
                  <pic:blipFill>
                    <a:blip r:embed="rId28"/>
                    <a:stretch>
                      <a:fillRect/>
                    </a:stretch>
                  </pic:blipFill>
                  <pic:spPr>
                    <a:xfrm>
                      <a:off x="0" y="0"/>
                      <a:ext cx="4752000" cy="3031448"/>
                    </a:xfrm>
                    <a:prstGeom prst="rect"/>
                  </pic:spPr>
                </pic:pic>
              </a:graphicData>
            </a:graphic>
          </wp:inline>
        </w:drawing>
      </w:r>
    </w:p>
    <w:p>
      <w:pPr>
        <w:spacing w:after="150"/>
        <w:jc w:val="center"/>
      </w:pPr>
      <w:r>
        <w:rPr>
          <w:rFonts w:ascii="Calibri" w:hAnsi="Calibri"/>
          <w:b w:val="0"/>
          <w:i/>
          <w:color w:val="222222"/>
          <w:sz w:val="18"/>
        </w:rPr>
        <w:t>Figure 9. Oscilloscope capture for the 8 kHz square wave showing input Channel 1 (yellow, 10 V/div), capacitor output Channel 2 (green, 5 V/div), and live input spectrum FFT(Ch1) (white/purple, 50 kHz span, 954 Hz bin size).</w:t>
      </w:r>
    </w:p>
    <w:p>
      <w:pPr>
        <w:keepNext/>
        <w:spacing w:before="130" w:after="50"/>
      </w:pPr>
      <w:r>
        <w:rPr>
          <w:rFonts w:ascii="Calibri" w:hAnsi="Calibri"/>
          <w:b w:val="0"/>
          <w:i/>
          <w:color w:val="111111"/>
          <w:sz w:val="18"/>
        </w:rPr>
        <w:t>Table 6. Oscilloscope FFT harmonic magnitudes (dBV</w:t>
      </w:r>
      <w:r>
        <w:rPr>
          <w:rFonts w:ascii="Calibri" w:hAnsi="Calibri"/>
          <w:b w:val="0"/>
          <w:i/>
          <w:color w:val="111111"/>
          <w:sz w:val="18"/>
          <w:vertAlign w:val="subscript"/>
        </w:rPr>
        <w:t>rms</w:t>
      </w:r>
      <w:r>
        <w:rPr>
          <w:rFonts w:ascii="Calibri" w:hAnsi="Calibri"/>
          <w:b w:val="0"/>
          <w:i/>
          <w:color w:val="111111"/>
          <w:sz w:val="18"/>
        </w:rPr>
        <w:t>) and measured vs. theoretical response for the 8 kHz square wave.</w:t>
      </w:r>
    </w:p>
    <w:tbl>
      <w:tblPr>
        <w:tblW w:type="auto" w:w="0"/>
        <w:jc w:val="center"/>
        <w:tblLook w:firstColumn="1" w:firstRow="1" w:lastColumn="0" w:lastRow="0" w:noHBand="0" w:noVBand="1" w:val="04A0"/>
        <w:tblBorders>
          <w:top w:val="single" w:sz="8" w:space="0" w:color="1B365D"/>
          <w:bottom w:val="single" w:sz="8" w:space="0" w:color="1B365D"/>
          <w:insideH w:val="single" w:sz="4" w:space="0" w:color="B8C4D0"/>
          <w:insideV w:val="single" w:sz="4" w:space="0" w:color="B8C4D0"/>
          <w:left w:val="none"/>
          <w:right w:val="none"/>
        </w:tblBorders>
      </w:tblPr>
      <w:tblGrid>
        <w:gridCol w:w="1377"/>
        <w:gridCol w:w="1377"/>
        <w:gridCol w:w="1377"/>
        <w:gridCol w:w="1377"/>
        <w:gridCol w:w="1377"/>
        <w:gridCol w:w="1377"/>
        <w:gridCol w:w="1377"/>
      </w:tblGrid>
      <w:tr>
        <w:trPr>
          <w:tblHeader/>
          <w:cantSplit/>
        </w:trPr>
        <w:tc>
          <w:tcPr>
            <w:tcW w:type="dxa" w:w="1757"/>
            <w:vAlign w:val="center"/>
            <w:shd w:fill="EAF0F6"/>
            <w:tcMar>
              <w:top w:w="60" w:type="dxa"/>
              <w:bottom w:w="60" w:type="dxa"/>
              <w:left w:w="60" w:type="dxa"/>
              <w:right w:w="60" w:type="dxa"/>
            </w:tcMar>
          </w:tcPr>
          <w:p>
            <w:pPr>
              <w:jc w:val="center"/>
            </w:pPr>
            <w:r>
              <w:rPr>
                <w:rFonts w:ascii="Calibri" w:hAnsi="Calibri"/>
                <w:b/>
                <w:i w:val="0"/>
                <w:color w:val="1B365D"/>
                <w:sz w:val="17"/>
              </w:rPr>
              <w:t>Harmonic Component</w:t>
            </w:r>
          </w:p>
        </w:tc>
        <w:tc>
          <w:tcPr>
            <w:tcW w:type="dxa" w:w="1417"/>
            <w:vAlign w:val="center"/>
            <w:shd w:fill="EAF0F6"/>
            <w:tcMar>
              <w:top w:w="60" w:type="dxa"/>
              <w:bottom w:w="60" w:type="dxa"/>
              <w:left w:w="60" w:type="dxa"/>
              <w:right w:w="60" w:type="dxa"/>
            </w:tcMar>
          </w:tcPr>
          <w:p>
            <w:pPr>
              <w:jc w:val="center"/>
            </w:pPr>
            <w:r>
              <w:rPr>
                <w:rFonts w:ascii="Calibri" w:hAnsi="Calibri"/>
                <w:b/>
                <w:i w:val="0"/>
                <w:color w:val="1B365D"/>
                <w:sz w:val="17"/>
              </w:rPr>
              <w:t xml:space="preserve">Scope </w:t>
            </w:r>
            <w:r>
              <w:rPr>
                <w:rFonts w:ascii="Calibri" w:hAnsi="Calibri"/>
                <w:b/>
                <w:i/>
                <w:color w:val="1B365D"/>
                <w:sz w:val="17"/>
              </w:rPr>
              <w:t>f</w:t>
            </w:r>
            <w:r>
              <w:rPr>
                <w:rFonts w:ascii="Calibri" w:hAnsi="Calibri"/>
                <w:b/>
                <w:i w:val="0"/>
                <w:color w:val="1B365D"/>
                <w:sz w:val="17"/>
              </w:rPr>
              <w:t xml:space="preserve"> (In / Out)</w:t>
            </w:r>
          </w:p>
        </w:tc>
        <w:tc>
          <w:tcPr>
            <w:tcW w:type="dxa" w:w="1474"/>
            <w:vAlign w:val="center"/>
            <w:shd w:fill="EAF0F6"/>
            <w:tcMar>
              <w:top w:w="60" w:type="dxa"/>
              <w:bottom w:w="60" w:type="dxa"/>
              <w:left w:w="60" w:type="dxa"/>
              <w:right w:w="60" w:type="dxa"/>
            </w:tcMar>
          </w:tcPr>
          <w:p>
            <w:pPr>
              <w:jc w:val="center"/>
            </w:pPr>
            <w:r>
              <w:rPr>
                <w:rFonts w:ascii="Calibri" w:hAnsi="Calibri"/>
                <w:b/>
                <w:i w:val="0"/>
                <w:color w:val="1B365D"/>
                <w:sz w:val="17"/>
              </w:rPr>
              <w:t>Output FFT(Ch2) (dBV</w:t>
            </w:r>
            <w:r>
              <w:rPr>
                <w:rFonts w:ascii="Calibri" w:hAnsi="Calibri"/>
                <w:b/>
                <w:i w:val="0"/>
                <w:color w:val="1B365D"/>
                <w:sz w:val="17"/>
                <w:vertAlign w:val="subscript"/>
              </w:rPr>
              <w:t>rms</w:t>
            </w:r>
            <w:r>
              <w:rPr>
                <w:rFonts w:ascii="Calibri" w:hAnsi="Calibri"/>
                <w:b/>
                <w:i w:val="0"/>
                <w:color w:val="1B365D"/>
                <w:sz w:val="17"/>
              </w:rPr>
              <w:t>)</w:t>
            </w:r>
          </w:p>
        </w:tc>
        <w:tc>
          <w:tcPr>
            <w:tcW w:type="dxa" w:w="1474"/>
            <w:vAlign w:val="center"/>
            <w:shd w:fill="EAF0F6"/>
            <w:tcMar>
              <w:top w:w="60" w:type="dxa"/>
              <w:bottom w:w="60" w:type="dxa"/>
              <w:left w:w="60" w:type="dxa"/>
              <w:right w:w="60" w:type="dxa"/>
            </w:tcMar>
          </w:tcPr>
          <w:p>
            <w:pPr>
              <w:jc w:val="center"/>
            </w:pPr>
            <w:r>
              <w:rPr>
                <w:rFonts w:ascii="Calibri" w:hAnsi="Calibri"/>
                <w:b/>
                <w:i w:val="0"/>
                <w:color w:val="1B365D"/>
                <w:sz w:val="17"/>
              </w:rPr>
              <w:t>Input FFT(Ch1) (dBV</w:t>
            </w:r>
            <w:r>
              <w:rPr>
                <w:rFonts w:ascii="Calibri" w:hAnsi="Calibri"/>
                <w:b/>
                <w:i w:val="0"/>
                <w:color w:val="1B365D"/>
                <w:sz w:val="17"/>
                <w:vertAlign w:val="subscript"/>
              </w:rPr>
              <w:t>rms</w:t>
            </w:r>
            <w:r>
              <w:rPr>
                <w:rFonts w:ascii="Calibri" w:hAnsi="Calibri"/>
                <w:b/>
                <w:i w:val="0"/>
                <w:color w:val="1B365D"/>
                <w:sz w:val="17"/>
              </w:rPr>
              <w:t>)</w:t>
            </w:r>
          </w:p>
        </w:tc>
        <w:tc>
          <w:tcPr>
            <w:tcW w:type="dxa" w:w="1247"/>
            <w:vAlign w:val="center"/>
            <w:shd w:fill="EAF0F6"/>
            <w:tcMar>
              <w:top w:w="60" w:type="dxa"/>
              <w:bottom w:w="60" w:type="dxa"/>
              <w:left w:w="60" w:type="dxa"/>
              <w:right w:w="60" w:type="dxa"/>
            </w:tcMar>
          </w:tcPr>
          <w:p>
            <w:pPr>
              <w:jc w:val="center"/>
            </w:pPr>
            <w:r>
              <w:rPr>
                <w:rFonts w:ascii="Calibri" w:hAnsi="Calibri"/>
                <w:b/>
                <w:i w:val="0"/>
                <w:color w:val="1B365D"/>
                <w:sz w:val="17"/>
              </w:rPr>
              <w:t>Measured Gain (dB)</w:t>
            </w:r>
          </w:p>
        </w:tc>
        <w:tc>
          <w:tcPr>
            <w:tcW w:type="dxa" w:w="1304"/>
            <w:vAlign w:val="center"/>
            <w:shd w:fill="EAF0F6"/>
            <w:tcMar>
              <w:top w:w="60" w:type="dxa"/>
              <w:bottom w:w="60" w:type="dxa"/>
              <w:left w:w="60" w:type="dxa"/>
              <w:right w:w="60" w:type="dxa"/>
            </w:tcMar>
          </w:tcPr>
          <w:p>
            <w:pPr>
              <w:jc w:val="center"/>
            </w:pPr>
            <w:r>
              <w:rPr>
                <w:rFonts w:ascii="Calibri" w:hAnsi="Calibri"/>
                <w:b/>
                <w:i w:val="0"/>
                <w:color w:val="1B365D"/>
                <w:sz w:val="17"/>
              </w:rPr>
              <w:t>Theoretical Gain (dB)</w:t>
            </w:r>
          </w:p>
        </w:tc>
        <w:tc>
          <w:tcPr>
            <w:tcW w:type="dxa" w:w="964"/>
            <w:vAlign w:val="center"/>
            <w:shd w:fill="EAF0F6"/>
            <w:tcMar>
              <w:top w:w="60" w:type="dxa"/>
              <w:bottom w:w="60" w:type="dxa"/>
              <w:left w:w="60" w:type="dxa"/>
              <w:right w:w="60" w:type="dxa"/>
            </w:tcMar>
          </w:tcPr>
          <w:p>
            <w:pPr>
              <w:jc w:val="center"/>
            </w:pPr>
            <w:r>
              <w:rPr>
                <w:rFonts w:ascii="Calibri" w:hAnsi="Calibri"/>
                <w:b/>
                <w:i w:val="0"/>
                <w:color w:val="1B365D"/>
                <w:sz w:val="17"/>
              </w:rPr>
              <w:t>|Δ</w:t>
            </w:r>
            <w:r>
              <w:rPr>
                <w:rFonts w:ascii="Calibri" w:hAnsi="Calibri"/>
                <w:b/>
                <w:i/>
                <w:color w:val="1B365D"/>
                <w:sz w:val="17"/>
              </w:rPr>
              <w:t>G</w:t>
            </w:r>
            <w:r>
              <w:rPr>
                <w:rFonts w:ascii="Calibri" w:hAnsi="Calibri"/>
                <w:b/>
                <w:i w:val="0"/>
                <w:color w:val="1B365D"/>
                <w:sz w:val="17"/>
              </w:rPr>
              <w:t>| (dB)</w:t>
            </w:r>
          </w:p>
        </w:tc>
      </w:tr>
      <w:tr>
        <w:trPr>
          <w:cantSplit/>
        </w:trPr>
        <w:tc>
          <w:tcPr>
            <w:tcW w:type="dxa" w:w="1757"/>
            <w:vAlign w:val="center"/>
            <w:tcMar>
              <w:top w:w="50" w:type="dxa"/>
              <w:bottom w:w="50" w:type="dxa"/>
              <w:left w:w="60" w:type="dxa"/>
              <w:right w:w="60" w:type="dxa"/>
            </w:tcMar>
          </w:tcPr>
          <w:p>
            <w:pPr>
              <w:jc w:val="left"/>
            </w:pPr>
            <w:r>
              <w:rPr>
                <w:rFonts w:ascii="Calibri" w:hAnsi="Calibri"/>
                <w:b w:val="0"/>
                <w:i w:val="0"/>
                <w:color w:val="111111"/>
                <w:sz w:val="17"/>
              </w:rPr>
              <w:t>Fundamental (</w:t>
            </w:r>
            <w:r>
              <w:rPr>
                <w:rFonts w:ascii="Calibri" w:hAnsi="Calibri"/>
                <w:b w:val="0"/>
                <w:i/>
                <w:color w:val="111111"/>
                <w:sz w:val="17"/>
              </w:rPr>
              <w:t>n</w:t>
            </w:r>
            <w:r>
              <w:rPr>
                <w:rFonts w:ascii="Calibri" w:hAnsi="Calibri"/>
                <w:b w:val="0"/>
                <w:i w:val="0"/>
                <w:color w:val="111111"/>
                <w:sz w:val="17"/>
              </w:rPr>
              <w:t xml:space="preserve"> = 1)</w:t>
            </w:r>
          </w:p>
        </w:tc>
        <w:tc>
          <w:tcPr>
            <w:tcW w:type="dxa" w:w="1417"/>
            <w:vAlign w:val="center"/>
            <w:tcMar>
              <w:top w:w="50" w:type="dxa"/>
              <w:bottom w:w="50" w:type="dxa"/>
              <w:left w:w="60" w:type="dxa"/>
              <w:right w:w="60" w:type="dxa"/>
            </w:tcMar>
          </w:tcPr>
          <w:p>
            <w:pPr>
              <w:jc w:val="center"/>
            </w:pPr>
            <w:r>
              <w:rPr>
                <w:rFonts w:ascii="Calibri" w:hAnsi="Calibri"/>
                <w:b w:val="0"/>
                <w:i w:val="0"/>
                <w:color w:val="111111"/>
                <w:sz w:val="17"/>
              </w:rPr>
              <w:t>8.0 / 8.0 kHz</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14.53</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16.56</w:t>
            </w:r>
          </w:p>
        </w:tc>
        <w:tc>
          <w:tcPr>
            <w:tcW w:type="dxa" w:w="1247"/>
            <w:vAlign w:val="center"/>
            <w:tcMar>
              <w:top w:w="50" w:type="dxa"/>
              <w:bottom w:w="50" w:type="dxa"/>
              <w:left w:w="60" w:type="dxa"/>
              <w:right w:w="60" w:type="dxa"/>
            </w:tcMar>
          </w:tcPr>
          <w:p>
            <w:pPr>
              <w:jc w:val="center"/>
            </w:pPr>
            <w:r>
              <w:rPr>
                <w:rFonts w:ascii="Calibri" w:hAnsi="Calibri"/>
                <w:b w:val="0"/>
                <w:i w:val="0"/>
                <w:color w:val="111111"/>
                <w:sz w:val="17"/>
              </w:rPr>
              <w:t>−2.03</w:t>
            </w:r>
          </w:p>
        </w:tc>
        <w:tc>
          <w:tcPr>
            <w:tcW w:type="dxa" w:w="1304"/>
            <w:vAlign w:val="center"/>
            <w:tcMar>
              <w:top w:w="50" w:type="dxa"/>
              <w:bottom w:w="50" w:type="dxa"/>
              <w:left w:w="60" w:type="dxa"/>
              <w:right w:w="60" w:type="dxa"/>
            </w:tcMar>
          </w:tcPr>
          <w:p>
            <w:pPr>
              <w:jc w:val="center"/>
            </w:pPr>
            <w:r>
              <w:rPr>
                <w:rFonts w:ascii="Calibri" w:hAnsi="Calibri"/>
                <w:b w:val="0"/>
                <w:i w:val="0"/>
                <w:color w:val="111111"/>
                <w:sz w:val="17"/>
              </w:rPr>
              <w:t>−1.95</w:t>
            </w:r>
          </w:p>
        </w:tc>
        <w:tc>
          <w:tcPr>
            <w:tcW w:type="dxa" w:w="964"/>
            <w:vAlign w:val="center"/>
            <w:tcMar>
              <w:top w:w="50" w:type="dxa"/>
              <w:bottom w:w="50" w:type="dxa"/>
              <w:left w:w="60" w:type="dxa"/>
              <w:right w:w="60" w:type="dxa"/>
            </w:tcMar>
          </w:tcPr>
          <w:p>
            <w:pPr>
              <w:jc w:val="center"/>
            </w:pPr>
            <w:r>
              <w:rPr>
                <w:rFonts w:ascii="Calibri" w:hAnsi="Calibri"/>
                <w:b w:val="0"/>
                <w:i w:val="0"/>
                <w:color w:val="111111"/>
                <w:sz w:val="17"/>
              </w:rPr>
              <w:t>0.08</w:t>
            </w:r>
          </w:p>
        </w:tc>
      </w:tr>
      <w:tr>
        <w:trPr>
          <w:cantSplit/>
        </w:trPr>
        <w:tc>
          <w:tcPr>
            <w:tcW w:type="dxa" w:w="1757"/>
            <w:vAlign w:val="center"/>
            <w:shd w:fill="F8FAFC"/>
            <w:tcMar>
              <w:top w:w="50" w:type="dxa"/>
              <w:bottom w:w="50" w:type="dxa"/>
              <w:left w:w="60" w:type="dxa"/>
              <w:right w:w="60" w:type="dxa"/>
            </w:tcMar>
          </w:tcPr>
          <w:p>
            <w:pPr>
              <w:jc w:val="left"/>
            </w:pPr>
            <w:r>
              <w:rPr>
                <w:rFonts w:ascii="Calibri" w:hAnsi="Calibri"/>
                <w:b w:val="0"/>
                <w:i w:val="0"/>
                <w:color w:val="111111"/>
                <w:sz w:val="17"/>
              </w:rPr>
              <w:t>3rd Harmonic (</w:t>
            </w:r>
            <w:r>
              <w:rPr>
                <w:rFonts w:ascii="Calibri" w:hAnsi="Calibri"/>
                <w:b w:val="0"/>
                <w:i/>
                <w:color w:val="111111"/>
                <w:sz w:val="17"/>
              </w:rPr>
              <w:t>n</w:t>
            </w:r>
            <w:r>
              <w:rPr>
                <w:rFonts w:ascii="Calibri" w:hAnsi="Calibri"/>
                <w:b w:val="0"/>
                <w:i w:val="0"/>
                <w:color w:val="111111"/>
                <w:sz w:val="17"/>
              </w:rPr>
              <w:t xml:space="preserve"> = 3)</w:t>
            </w:r>
          </w:p>
        </w:tc>
        <w:tc>
          <w:tcPr>
            <w:tcW w:type="dxa" w:w="1417"/>
            <w:vAlign w:val="center"/>
            <w:shd w:fill="F8FAFC"/>
            <w:tcMar>
              <w:top w:w="50" w:type="dxa"/>
              <w:bottom w:w="50" w:type="dxa"/>
              <w:left w:w="60" w:type="dxa"/>
              <w:right w:w="60" w:type="dxa"/>
            </w:tcMar>
          </w:tcPr>
          <w:p>
            <w:pPr>
              <w:jc w:val="center"/>
            </w:pPr>
            <w:r>
              <w:rPr>
                <w:rFonts w:ascii="Calibri" w:hAnsi="Calibri"/>
                <w:b w:val="0"/>
                <w:i w:val="0"/>
                <w:color w:val="111111"/>
                <w:sz w:val="17"/>
              </w:rPr>
              <w:t>24.0 / 23.9 kHz</w:t>
            </w:r>
          </w:p>
        </w:tc>
        <w:tc>
          <w:tcPr>
            <w:tcW w:type="dxa" w:w="1474"/>
            <w:vAlign w:val="center"/>
            <w:shd w:fill="F8FAFC"/>
            <w:tcMar>
              <w:top w:w="50" w:type="dxa"/>
              <w:bottom w:w="50" w:type="dxa"/>
              <w:left w:w="60" w:type="dxa"/>
              <w:right w:w="60" w:type="dxa"/>
            </w:tcMar>
          </w:tcPr>
          <w:p>
            <w:pPr>
              <w:jc w:val="center"/>
            </w:pPr>
            <w:r>
              <w:rPr>
                <w:rFonts w:ascii="Calibri" w:hAnsi="Calibri"/>
                <w:b w:val="0"/>
                <w:i w:val="0"/>
                <w:color w:val="111111"/>
                <w:sz w:val="17"/>
              </w:rPr>
              <w:t>−0.63</w:t>
            </w:r>
          </w:p>
        </w:tc>
        <w:tc>
          <w:tcPr>
            <w:tcW w:type="dxa" w:w="1474"/>
            <w:vAlign w:val="center"/>
            <w:shd w:fill="F8FAFC"/>
            <w:tcMar>
              <w:top w:w="50" w:type="dxa"/>
              <w:bottom w:w="50" w:type="dxa"/>
              <w:left w:w="60" w:type="dxa"/>
              <w:right w:w="60" w:type="dxa"/>
            </w:tcMar>
          </w:tcPr>
          <w:p>
            <w:pPr>
              <w:jc w:val="center"/>
            </w:pPr>
            <w:r>
              <w:rPr>
                <w:rFonts w:ascii="Calibri" w:hAnsi="Calibri"/>
                <w:b w:val="0"/>
                <w:i w:val="0"/>
                <w:color w:val="111111"/>
                <w:sz w:val="17"/>
              </w:rPr>
              <w:t>7.19</w:t>
            </w:r>
          </w:p>
        </w:tc>
        <w:tc>
          <w:tcPr>
            <w:tcW w:type="dxa" w:w="1247"/>
            <w:vAlign w:val="center"/>
            <w:shd w:fill="F8FAFC"/>
            <w:tcMar>
              <w:top w:w="50" w:type="dxa"/>
              <w:bottom w:w="50" w:type="dxa"/>
              <w:left w:w="60" w:type="dxa"/>
              <w:right w:w="60" w:type="dxa"/>
            </w:tcMar>
          </w:tcPr>
          <w:p>
            <w:pPr>
              <w:jc w:val="center"/>
            </w:pPr>
            <w:r>
              <w:rPr>
                <w:rFonts w:ascii="Calibri" w:hAnsi="Calibri"/>
                <w:b w:val="0"/>
                <w:i w:val="0"/>
                <w:color w:val="111111"/>
                <w:sz w:val="17"/>
              </w:rPr>
              <w:t>−7.81</w:t>
            </w:r>
          </w:p>
        </w:tc>
        <w:tc>
          <w:tcPr>
            <w:tcW w:type="dxa" w:w="1304"/>
            <w:vAlign w:val="center"/>
            <w:shd w:fill="F8FAFC"/>
            <w:tcMar>
              <w:top w:w="50" w:type="dxa"/>
              <w:bottom w:w="50" w:type="dxa"/>
              <w:left w:w="60" w:type="dxa"/>
              <w:right w:w="60" w:type="dxa"/>
            </w:tcMar>
          </w:tcPr>
          <w:p>
            <w:pPr>
              <w:jc w:val="center"/>
            </w:pPr>
            <w:r>
              <w:rPr>
                <w:rFonts w:ascii="Calibri" w:hAnsi="Calibri"/>
                <w:b w:val="0"/>
                <w:i w:val="0"/>
                <w:color w:val="111111"/>
                <w:sz w:val="17"/>
              </w:rPr>
              <w:t>−7.87</w:t>
            </w:r>
          </w:p>
        </w:tc>
        <w:tc>
          <w:tcPr>
            <w:tcW w:type="dxa" w:w="964"/>
            <w:vAlign w:val="center"/>
            <w:shd w:fill="F8FAFC"/>
            <w:tcMar>
              <w:top w:w="50" w:type="dxa"/>
              <w:bottom w:w="50" w:type="dxa"/>
              <w:left w:w="60" w:type="dxa"/>
              <w:right w:w="60" w:type="dxa"/>
            </w:tcMar>
          </w:tcPr>
          <w:p>
            <w:pPr>
              <w:jc w:val="center"/>
            </w:pPr>
            <w:r>
              <w:rPr>
                <w:rFonts w:ascii="Calibri" w:hAnsi="Calibri"/>
                <w:b w:val="0"/>
                <w:i w:val="0"/>
                <w:color w:val="111111"/>
                <w:sz w:val="17"/>
              </w:rPr>
              <w:t>0.06</w:t>
            </w:r>
          </w:p>
        </w:tc>
      </w:tr>
      <w:tr>
        <w:trPr>
          <w:cantSplit/>
        </w:trPr>
        <w:tc>
          <w:tcPr>
            <w:tcW w:type="dxa" w:w="1757"/>
            <w:vAlign w:val="center"/>
            <w:tcMar>
              <w:top w:w="50" w:type="dxa"/>
              <w:bottom w:w="50" w:type="dxa"/>
              <w:left w:w="60" w:type="dxa"/>
              <w:right w:w="60" w:type="dxa"/>
            </w:tcMar>
          </w:tcPr>
          <w:p>
            <w:pPr>
              <w:jc w:val="left"/>
            </w:pPr>
            <w:r>
              <w:rPr>
                <w:rFonts w:ascii="Calibri" w:hAnsi="Calibri"/>
                <w:b w:val="0"/>
                <w:i w:val="0"/>
                <w:color w:val="111111"/>
                <w:sz w:val="17"/>
              </w:rPr>
              <w:t>5th Harmonic (</w:t>
            </w:r>
            <w:r>
              <w:rPr>
                <w:rFonts w:ascii="Calibri" w:hAnsi="Calibri"/>
                <w:b w:val="0"/>
                <w:i/>
                <w:color w:val="111111"/>
                <w:sz w:val="17"/>
              </w:rPr>
              <w:t>n</w:t>
            </w:r>
            <w:r>
              <w:rPr>
                <w:rFonts w:ascii="Calibri" w:hAnsi="Calibri"/>
                <w:b w:val="0"/>
                <w:i w:val="0"/>
                <w:color w:val="111111"/>
                <w:sz w:val="17"/>
              </w:rPr>
              <w:t xml:space="preserve"> = 5)</w:t>
            </w:r>
          </w:p>
        </w:tc>
        <w:tc>
          <w:tcPr>
            <w:tcW w:type="dxa" w:w="1417"/>
            <w:vAlign w:val="center"/>
            <w:tcMar>
              <w:top w:w="50" w:type="dxa"/>
              <w:bottom w:w="50" w:type="dxa"/>
              <w:left w:w="60" w:type="dxa"/>
              <w:right w:w="60" w:type="dxa"/>
            </w:tcMar>
          </w:tcPr>
          <w:p>
            <w:pPr>
              <w:jc w:val="center"/>
            </w:pPr>
            <w:r>
              <w:rPr>
                <w:rFonts w:ascii="Calibri" w:hAnsi="Calibri"/>
                <w:b w:val="0"/>
                <w:i w:val="0"/>
                <w:color w:val="111111"/>
                <w:sz w:val="17"/>
              </w:rPr>
              <w:t>40.0 / 40.0 kHz</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−9.06</w:t>
            </w:r>
          </w:p>
        </w:tc>
        <w:tc>
          <w:tcPr>
            <w:tcW w:type="dxa" w:w="1474"/>
            <w:vAlign w:val="center"/>
            <w:tcMar>
              <w:top w:w="50" w:type="dxa"/>
              <w:bottom w:w="50" w:type="dxa"/>
              <w:left w:w="60" w:type="dxa"/>
              <w:right w:w="60" w:type="dxa"/>
            </w:tcMar>
          </w:tcPr>
          <w:p>
            <w:pPr>
              <w:jc w:val="center"/>
            </w:pPr>
            <w:r>
              <w:rPr>
                <w:rFonts w:ascii="Calibri" w:hAnsi="Calibri"/>
                <w:b w:val="0"/>
                <w:i w:val="0"/>
                <w:color w:val="111111"/>
                <w:sz w:val="17"/>
              </w:rPr>
              <w:t>2.66</w:t>
            </w:r>
          </w:p>
        </w:tc>
        <w:tc>
          <w:tcPr>
            <w:tcW w:type="dxa" w:w="1247"/>
            <w:vAlign w:val="center"/>
            <w:tcMar>
              <w:top w:w="50" w:type="dxa"/>
              <w:bottom w:w="50" w:type="dxa"/>
              <w:left w:w="60" w:type="dxa"/>
              <w:right w:w="60" w:type="dxa"/>
            </w:tcMar>
          </w:tcPr>
          <w:p>
            <w:pPr>
              <w:jc w:val="center"/>
            </w:pPr>
            <w:r>
              <w:rPr>
                <w:rFonts w:ascii="Calibri" w:hAnsi="Calibri"/>
                <w:b w:val="0"/>
                <w:i w:val="0"/>
                <w:color w:val="111111"/>
                <w:sz w:val="17"/>
              </w:rPr>
              <w:t>−11.72</w:t>
            </w:r>
          </w:p>
        </w:tc>
        <w:tc>
          <w:tcPr>
            <w:tcW w:type="dxa" w:w="1304"/>
            <w:vAlign w:val="center"/>
            <w:tcMar>
              <w:top w:w="50" w:type="dxa"/>
              <w:bottom w:w="50" w:type="dxa"/>
              <w:left w:w="60" w:type="dxa"/>
              <w:right w:w="60" w:type="dxa"/>
            </w:tcMar>
          </w:tcPr>
          <w:p>
            <w:pPr>
              <w:jc w:val="center"/>
            </w:pPr>
            <w:r>
              <w:rPr>
                <w:rFonts w:ascii="Calibri" w:hAnsi="Calibri"/>
                <w:b w:val="0"/>
                <w:i w:val="0"/>
                <w:color w:val="111111"/>
                <w:sz w:val="17"/>
              </w:rPr>
              <w:t>−11.82</w:t>
            </w:r>
          </w:p>
        </w:tc>
        <w:tc>
          <w:tcPr>
            <w:tcW w:type="dxa" w:w="964"/>
            <w:vAlign w:val="center"/>
            <w:tcMar>
              <w:top w:w="50" w:type="dxa"/>
              <w:bottom w:w="50" w:type="dxa"/>
              <w:left w:w="60" w:type="dxa"/>
              <w:right w:w="60" w:type="dxa"/>
            </w:tcMar>
          </w:tcPr>
          <w:p>
            <w:pPr>
              <w:jc w:val="center"/>
            </w:pPr>
            <w:r>
              <w:rPr>
                <w:rFonts w:ascii="Calibri" w:hAnsi="Calibri"/>
                <w:b w:val="0"/>
                <w:i w:val="0"/>
                <w:color w:val="111111"/>
                <w:sz w:val="17"/>
              </w:rPr>
              <w:t>0.10</w:t>
            </w:r>
          </w:p>
        </w:tc>
      </w:tr>
    </w:tbl>
    <w:p>
      <w:pPr>
        <w:keepNext/>
        <w:spacing w:before="80" w:after="40"/>
        <w:jc w:val="center"/>
      </w:pPr>
      <w:r>
        <w:drawing>
          <wp:inline xmlns:a="http://schemas.openxmlformats.org/drawingml/2006/main" xmlns:pic="http://schemas.openxmlformats.org/drawingml/2006/picture">
            <wp:extent cx="5904000" cy="3558575"/>
            <wp:docPr id="19" name="Picture 19"/>
            <wp:cNvGraphicFramePr>
              <a:graphicFrameLocks noChangeAspect="1"/>
            </wp:cNvGraphicFramePr>
            <a:graphic>
              <a:graphicData uri="http://schemas.openxmlformats.org/drawingml/2006/picture">
                <pic:pic>
                  <pic:nvPicPr>
                    <pic:cNvPr id="0" name="fig10_scope_square_fft_grid.png"/>
                    <pic:cNvPicPr/>
                  </pic:nvPicPr>
                  <pic:blipFill>
                    <a:blip r:embed="rId29"/>
                    <a:stretch>
                      <a:fillRect/>
                    </a:stretch>
                  </pic:blipFill>
                  <pic:spPr>
                    <a:xfrm>
                      <a:off x="0" y="0"/>
                      <a:ext cx="5904000" cy="3558575"/>
                    </a:xfrm>
                    <a:prstGeom prst="rect"/>
                  </pic:spPr>
                </pic:pic>
              </a:graphicData>
            </a:graphic>
          </wp:inline>
        </w:drawing>
      </w:r>
    </w:p>
    <w:p>
      <w:pPr>
        <w:spacing w:after="150"/>
        <w:jc w:val="center"/>
      </w:pPr>
      <w:r>
        <w:rPr>
          <w:rFonts w:ascii="Calibri" w:hAnsi="Calibri"/>
          <w:b w:val="0"/>
          <w:i/>
          <w:color w:val="222222"/>
          <w:sz w:val="18"/>
        </w:rPr>
        <w:t>Figure 10. Cropped oscilloscope FFT cursor captures for the 8 kHz square wave: (a–c) input spectrum FFT(Ch1) at 8.0, 24.0, and 40.0 kHz; (d–f) filtered capacitor output spectrum FFT(Ch2) at 8.0, 23.9, and 40.0 kHz.</w:t>
      </w:r>
    </w:p>
    <w:p>
      <w:pPr>
        <w:keepNext/>
        <w:spacing w:before="80" w:after="40"/>
        <w:jc w:val="center"/>
      </w:pPr>
      <w:r>
        <w:drawing>
          <wp:inline xmlns:a="http://schemas.openxmlformats.org/drawingml/2006/main" xmlns:pic="http://schemas.openxmlformats.org/drawingml/2006/picture">
            <wp:extent cx="5760000" cy="2680000"/>
            <wp:docPr id="20" name="Picture 20"/>
            <wp:cNvGraphicFramePr>
              <a:graphicFrameLocks noChangeAspect="1"/>
            </wp:cNvGraphicFramePr>
            <a:graphic>
              <a:graphicData uri="http://schemas.openxmlformats.org/drawingml/2006/picture">
                <pic:pic>
                  <pic:nvPicPr>
                    <pic:cNvPr id="0" name="fig11_combined_bode_verification.png"/>
                    <pic:cNvPicPr/>
                  </pic:nvPicPr>
                  <pic:blipFill>
                    <a:blip r:embed="rId30"/>
                    <a:stretch>
                      <a:fillRect/>
                    </a:stretch>
                  </pic:blipFill>
                  <pic:spPr>
                    <a:xfrm>
                      <a:off x="0" y="0"/>
                      <a:ext cx="5760000" cy="2680000"/>
                    </a:xfrm>
                    <a:prstGeom prst="rect"/>
                  </pic:spPr>
                </pic:pic>
              </a:graphicData>
            </a:graphic>
          </wp:inline>
        </w:drawing>
      </w:r>
    </w:p>
    <w:p>
      <w:pPr>
        <w:spacing w:after="150"/>
        <w:jc w:val="center"/>
      </w:pPr>
      <w:r>
        <w:rPr>
          <w:rFonts w:ascii="Calibri" w:hAnsi="Calibri"/>
          <w:b w:val="0"/>
          <w:i/>
          <w:color w:val="222222"/>
          <w:sz w:val="18"/>
        </w:rPr>
        <w:t>Figure 11. Combined frequency-domain verification: (a) scaled input and output harmonic spectra (dBV</w:t>
      </w:r>
      <w:r>
        <w:rPr>
          <w:rFonts w:ascii="Calibri" w:hAnsi="Calibri"/>
          <w:b w:val="0"/>
          <w:i/>
          <w:color w:val="222222"/>
          <w:sz w:val="18"/>
          <w:vertAlign w:val="subscript"/>
        </w:rPr>
        <w:t>rms</w:t>
      </w:r>
      <w:r>
        <w:rPr>
          <w:rFonts w:ascii="Calibri" w:hAnsi="Calibri"/>
          <w:b w:val="0"/>
          <w:i/>
          <w:color w:val="222222"/>
          <w:sz w:val="18"/>
        </w:rPr>
        <w:t>) for the 8 kHz square wave, and (b) all measured sinusoidal and square-wave harmonic gains overlaid on the theoretical Bode curve.</w:t>
      </w:r>
    </w:p>
    <w:p>
      <w:pPr>
        <w:pStyle w:val="Heading1"/>
        <w:keepNext/>
        <w:spacing w:before="240" w:after="80"/>
      </w:pPr>
      <w:r>
        <w:rPr>
          <w:rFonts w:ascii="Calibri" w:hAnsi="Calibri"/>
          <w:b/>
          <w:i w:val="0"/>
          <w:color w:val="1B365D"/>
          <w:sz w:val="26"/>
        </w:rPr>
        <w:t>4. Discussion</w:t>
      </w:r>
    </w:p>
    <w:p>
      <w:pPr>
        <w:pStyle w:val="Heading2"/>
        <w:keepNext/>
        <w:spacing w:before="170" w:after="60"/>
      </w:pPr>
      <w:r>
        <w:rPr>
          <w:rFonts w:ascii="Calibri" w:hAnsi="Calibri"/>
          <w:b/>
          <w:i w:val="0"/>
          <w:color w:val="2C3E50"/>
          <w:sz w:val="22"/>
        </w:rPr>
        <w:t>4.1 Filter Classification, −3 dB Meaning, and Cut-Off Frequency</w:t>
      </w:r>
    </w:p>
    <w:p>
      <w:pPr>
        <w:spacing w:after="100" w:line="276" w:lineRule="auto"/>
        <w:jc w:val="both"/>
      </w:pPr>
      <w:r>
        <w:rPr>
          <w:rFonts w:ascii="Calibri" w:hAnsi="Calibri"/>
          <w:b w:val="0"/>
          <w:i w:val="0"/>
          <w:color w:val="111111"/>
          <w:sz w:val="20"/>
        </w:rPr>
        <w:t xml:space="preserve">Both analytical derivation and hardware testing confirm that taking the output across the capacitor of a series RC network realises a </w:t>
      </w:r>
      <w:r>
        <w:rPr>
          <w:rFonts w:ascii="Calibri" w:hAnsi="Calibri"/>
          <w:b/>
          <w:i w:val="0"/>
          <w:color w:val="111111"/>
          <w:sz w:val="20"/>
        </w:rPr>
        <w:t>first-order low-pass filter</w:t>
      </w:r>
      <w:r>
        <w:rPr>
          <w:rFonts w:ascii="Calibri" w:hAnsi="Calibri"/>
          <w:b w:val="0"/>
          <w:i w:val="0"/>
          <w:color w:val="111111"/>
          <w:sz w:val="20"/>
        </w:rPr>
        <w:t xml:space="preserve">. Physically, the capacitor impedance </w:t>
      </w:r>
      <w:r>
        <w:rPr>
          <w:rFonts w:ascii="Calibri" w:hAnsi="Calibri"/>
          <w:b w:val="0"/>
          <w:i/>
          <w:color w:val="111111"/>
          <w:sz w:val="20"/>
        </w:rPr>
        <w:t>Z</w:t>
      </w:r>
      <w:r>
        <w:rPr>
          <w:rFonts w:ascii="Calibri" w:hAnsi="Calibri"/>
          <w:b w:val="0"/>
          <w:i/>
          <w:color w:val="111111"/>
          <w:sz w:val="20"/>
          <w:vertAlign w:val="subscript"/>
        </w:rPr>
        <w:t>C</w:t>
      </w:r>
      <w:r>
        <w:rPr>
          <w:rFonts w:ascii="Calibri" w:hAnsi="Calibri"/>
          <w:b w:val="0"/>
          <w:i w:val="0"/>
          <w:color w:val="111111"/>
          <w:sz w:val="20"/>
        </w:rPr>
        <w:t xml:space="preserve"> = 1/(</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C</w:t>
      </w:r>
      <w:r>
        <w:rPr>
          <w:rFonts w:ascii="Calibri" w:hAnsi="Calibri"/>
          <w:b w:val="0"/>
          <w:i w:val="0"/>
          <w:color w:val="111111"/>
          <w:sz w:val="20"/>
        </w:rPr>
        <w:t>) approaches an open circuit as ω → 0 (passing low-frequency signals unattenuated) and approaches a short circuit as ω → ∞ (shunting high-frequency currents to ground; Horowitz &amp; Hill, 2015). Experimentally, the normalised voltage gain fell monotonically with frequency from 0.9744 at 1 kHz to 0.7233 at 10 kHz and 0.2705 at 40 kHz (Table 4), while decibel gains dropped from −0.22 dB to −11.36 dB for sinusoids (Table 5) and from −2.03 dB to −11.72 dB across the square-wave harmonics (Table 6).</w:t>
      </w:r>
    </w:p>
    <w:p>
      <w:pPr>
        <w:spacing w:after="100" w:line="276" w:lineRule="auto"/>
        <w:jc w:val="both"/>
      </w:pPr>
      <w:r>
        <w:rPr>
          <w:rFonts w:ascii="Calibri" w:hAnsi="Calibri"/>
          <w:b w:val="0"/>
          <w:i w:val="0"/>
          <w:color w:val="111111"/>
          <w:sz w:val="20"/>
        </w:rPr>
        <w:t>The −3 dB cut-off point defines the boundary between the passband and stopband and equates to a voltage amplitude ratio of 10</w:t>
      </w:r>
      <w:r>
        <w:rPr>
          <w:rFonts w:ascii="Calibri" w:hAnsi="Calibri"/>
          <w:b w:val="0"/>
          <w:i w:val="0"/>
          <w:color w:val="111111"/>
          <w:sz w:val="20"/>
          <w:vertAlign w:val="superscript"/>
        </w:rPr>
        <w:t>−3/20</w:t>
      </w:r>
      <w:r>
        <w:rPr>
          <w:rFonts w:ascii="Calibri" w:hAnsi="Calibri"/>
          <w:b w:val="0"/>
          <w:i w:val="0"/>
          <w:color w:val="111111"/>
          <w:sz w:val="20"/>
        </w:rPr>
        <w:t xml:space="preserve"> = 0.7079 (exact half-power point 1/√2 ≈ 0.7071, where output power </w:t>
      </w:r>
      <w:r>
        <w:rPr>
          <w:rFonts w:ascii="Calibri" w:hAnsi="Calibri"/>
          <w:b w:val="0"/>
          <w:i/>
          <w:color w:val="111111"/>
          <w:sz w:val="20"/>
        </w:rPr>
        <w:t>P</w:t>
      </w:r>
      <w:r>
        <w:rPr>
          <w:rFonts w:ascii="Calibri" w:hAnsi="Calibri"/>
          <w:b w:val="0"/>
          <w:i w:val="0"/>
          <w:color w:val="111111"/>
          <w:sz w:val="20"/>
        </w:rPr>
        <w:t xml:space="preserve"> ∝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rPr>
        <w:t>|</w:t>
      </w:r>
      <w:r>
        <w:rPr>
          <w:rFonts w:ascii="Calibri" w:hAnsi="Calibri"/>
          <w:b w:val="0"/>
          <w:i w:val="0"/>
          <w:color w:val="111111"/>
          <w:sz w:val="20"/>
          <w:vertAlign w:val="superscript"/>
        </w:rPr>
        <w:t>2</w:t>
      </w:r>
      <w:r>
        <w:rPr>
          <w:rFonts w:ascii="Calibri" w:hAnsi="Calibri"/>
          <w:b w:val="0"/>
          <w:i w:val="0"/>
          <w:color w:val="111111"/>
          <w:sz w:val="20"/>
        </w:rPr>
        <w:t xml:space="preserve"> drops to 50% of input power; Lathi &amp; Green, 2018). From the circuit parameters, setting ω</w:t>
      </w:r>
      <w:r>
        <w:rPr>
          <w:rFonts w:ascii="Calibri" w:hAnsi="Calibri"/>
          <w:b w:val="0"/>
          <w:i/>
          <w:color w:val="111111"/>
          <w:sz w:val="20"/>
          <w:vertAlign w:val="subscript"/>
        </w:rPr>
        <w:t>c</w:t>
      </w:r>
      <w:r>
        <w:rPr>
          <w:rFonts w:ascii="Calibri" w:hAnsi="Calibri"/>
          <w:b w:val="0"/>
          <w:i/>
          <w:color w:val="111111"/>
          <w:sz w:val="20"/>
        </w:rPr>
        <w:t>RC</w:t>
      </w:r>
      <w:r>
        <w:rPr>
          <w:rFonts w:ascii="Calibri" w:hAnsi="Calibri"/>
          <w:b w:val="0"/>
          <w:i w:val="0"/>
          <w:color w:val="111111"/>
          <w:sz w:val="20"/>
        </w:rPr>
        <w:t xml:space="preserve"> = 1 yields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1/(2π</w:t>
      </w:r>
      <w:r>
        <w:rPr>
          <w:rFonts w:ascii="Calibri" w:hAnsi="Calibri"/>
          <w:b w:val="0"/>
          <w:i/>
          <w:color w:val="111111"/>
          <w:sz w:val="20"/>
        </w:rPr>
        <w:t>RC</w:t>
      </w:r>
      <w:r>
        <w:rPr>
          <w:rFonts w:ascii="Calibri" w:hAnsi="Calibri"/>
          <w:b w:val="0"/>
          <w:i w:val="0"/>
          <w:color w:val="111111"/>
          <w:sz w:val="20"/>
        </w:rPr>
        <w:t xml:space="preserve">) = 10.61 kHz (Figure 2). Experimentally, at </w:t>
      </w:r>
      <w:r>
        <w:rPr>
          <w:rFonts w:ascii="Calibri" w:hAnsi="Calibri"/>
          <w:b w:val="0"/>
          <w:i/>
          <w:color w:val="111111"/>
          <w:sz w:val="20"/>
        </w:rPr>
        <w:t>f</w:t>
      </w:r>
      <w:r>
        <w:rPr>
          <w:rFonts w:ascii="Calibri" w:hAnsi="Calibri"/>
          <w:b w:val="0"/>
          <w:i w:val="0"/>
          <w:color w:val="111111"/>
          <w:sz w:val="20"/>
        </w:rPr>
        <w:t xml:space="preserve"> = 10.00 kHz—just 5.8% below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—the measured gain was −2.81 dB (ratio 0.7233) and the phase lag was −42.30° (just shy of −45.00°). Log-linear interpolation between the 10 kHz (−2.81 dB) and 24 kHz (−7.81 dB) measurements places the experimental −3.01 dB crossing at approximately 10.4–10.8 kHz, closely bracketing the 10.61 kHz theoretical value.</w:t>
      </w:r>
    </w:p>
    <w:p>
      <w:pPr>
        <w:pStyle w:val="Heading2"/>
        <w:keepNext/>
        <w:spacing w:before="170" w:after="60"/>
      </w:pPr>
      <w:r>
        <w:rPr>
          <w:rFonts w:ascii="Calibri" w:hAnsi="Calibri"/>
          <w:b/>
          <w:i w:val="0"/>
          <w:color w:val="2C3E50"/>
          <w:sz w:val="22"/>
        </w:rPr>
        <w:t>4.2 Time-Domain and Frequency-Domain Duality</w:t>
      </w:r>
    </w:p>
    <w:p>
      <w:pPr>
        <w:spacing w:after="100" w:line="276" w:lineRule="auto"/>
        <w:jc w:val="both"/>
      </w:pPr>
      <w:r>
        <w:rPr>
          <w:rFonts w:ascii="Calibri" w:hAnsi="Calibri"/>
          <w:b w:val="0"/>
          <w:i w:val="0"/>
          <w:color w:val="111111"/>
          <w:sz w:val="20"/>
        </w:rPr>
        <w:t xml:space="preserve">The experiment illustrates the inverse duality between time-domain response speed and frequency-domain bandwidth emphasised in Module 6 (ECU, 2026a; Oppenheim et al., 1997). In the frequency domain, the circuit passes spectral components below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with minimal attenuation, rolls off above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toward −20 dB/decade, and introduces a progressive phase lag approaching −90°. In the time domain, capacitor voltage cannot jump instantaneously because charge accumulation requires finite current flow through </w:t>
      </w:r>
      <w:r>
        <w:rPr>
          <w:rFonts w:ascii="Calibri" w:hAnsi="Calibri"/>
          <w:b w:val="0"/>
          <w:i/>
          <w:color w:val="111111"/>
          <w:sz w:val="20"/>
        </w:rPr>
        <w:t>R</w:t>
      </w:r>
      <w:r>
        <w:rPr>
          <w:rFonts w:ascii="Calibri" w:hAnsi="Calibri"/>
          <w:b w:val="0"/>
          <w:i w:val="0"/>
          <w:color w:val="111111"/>
          <w:sz w:val="20"/>
        </w:rPr>
        <w:t xml:space="preserve"> governed by τ = </w:t>
      </w:r>
      <w:r>
        <w:rPr>
          <w:rFonts w:ascii="Calibri" w:hAnsi="Calibri"/>
          <w:b w:val="0"/>
          <w:i/>
          <w:color w:val="111111"/>
          <w:sz w:val="20"/>
        </w:rPr>
        <w:t>RC</w:t>
      </w:r>
      <w:r>
        <w:rPr>
          <w:rFonts w:ascii="Calibri" w:hAnsi="Calibri"/>
          <w:b w:val="0"/>
          <w:i w:val="0"/>
          <w:color w:val="111111"/>
          <w:sz w:val="20"/>
        </w:rPr>
        <w:t xml:space="preserve"> = 15 µs. Consequently, rapid input transitions are integrated and smoothed, while sinusoidal waveforms experience a time delay Δ</w:t>
      </w:r>
      <w:r>
        <w:rPr>
          <w:rFonts w:ascii="Calibri" w:hAnsi="Calibri"/>
          <w:b w:val="0"/>
          <w:i/>
          <w:color w:val="111111"/>
          <w:sz w:val="20"/>
        </w:rPr>
        <w:t>t</w:t>
      </w:r>
      <w:r>
        <w:rPr>
          <w:rFonts w:ascii="Calibri" w:hAnsi="Calibri"/>
          <w:b w:val="0"/>
          <w:i w:val="0"/>
          <w:color w:val="111111"/>
          <w:sz w:val="20"/>
        </w:rPr>
        <w:t xml:space="preserve"> =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ω)/ω. Because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1/(2πτ), increasing </w:t>
      </w:r>
      <w:r>
        <w:rPr>
          <w:rFonts w:ascii="Calibri" w:hAnsi="Calibri"/>
          <w:b w:val="0"/>
          <w:i/>
          <w:color w:val="111111"/>
          <w:sz w:val="20"/>
        </w:rPr>
        <w:t>R</w:t>
      </w:r>
      <w:r>
        <w:rPr>
          <w:rFonts w:ascii="Calibri" w:hAnsi="Calibri"/>
          <w:b w:val="0"/>
          <w:i w:val="0"/>
          <w:color w:val="111111"/>
          <w:sz w:val="20"/>
        </w:rPr>
        <w:t xml:space="preserve"> or </w:t>
      </w:r>
      <w:r>
        <w:rPr>
          <w:rFonts w:ascii="Calibri" w:hAnsi="Calibri"/>
          <w:b w:val="0"/>
          <w:i/>
          <w:color w:val="111111"/>
          <w:sz w:val="20"/>
        </w:rPr>
        <w:t>C</w:t>
      </w:r>
      <w:r>
        <w:rPr>
          <w:rFonts w:ascii="Calibri" w:hAnsi="Calibri"/>
          <w:b w:val="0"/>
          <w:i w:val="0"/>
          <w:color w:val="111111"/>
          <w:sz w:val="20"/>
        </w:rPr>
        <w:t xml:space="preserve"> lengthens τ (slower charging) and proportionally narrows the passband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w:t>
      </w:r>
    </w:p>
    <w:p>
      <w:pPr>
        <w:pStyle w:val="Heading2"/>
        <w:keepNext/>
        <w:spacing w:before="170" w:after="60"/>
      </w:pPr>
      <w:r>
        <w:rPr>
          <w:rFonts w:ascii="Calibri" w:hAnsi="Calibri"/>
          <w:b/>
          <w:i w:val="0"/>
          <w:color w:val="2C3E50"/>
          <w:sz w:val="22"/>
        </w:rPr>
        <w:t>4.3 Quantitative Comparison Across All Three Experimental Parts</w:t>
      </w:r>
    </w:p>
    <w:p>
      <w:pPr>
        <w:spacing w:after="100" w:line="276" w:lineRule="auto"/>
        <w:jc w:val="both"/>
      </w:pPr>
      <w:r>
        <w:rPr>
          <w:rFonts w:ascii="Calibri" w:hAnsi="Calibri"/>
          <w:b/>
          <w:i w:val="0"/>
          <w:color w:val="111111"/>
          <w:sz w:val="20"/>
        </w:rPr>
        <w:t>Option 1 — Sinusoidal Time-Domain Response:</w:t>
      </w:r>
      <w:r>
        <w:rPr>
          <w:rFonts w:ascii="Calibri" w:hAnsi="Calibri"/>
          <w:b w:val="0"/>
          <w:i w:val="0"/>
          <w:color w:val="111111"/>
          <w:sz w:val="20"/>
        </w:rPr>
        <w:t xml:space="preserve"> Normalising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vertAlign w:val="subscript"/>
        </w:rPr>
        <w:t>,pp</w:t>
      </w:r>
      <w:r>
        <w:rPr>
          <w:rFonts w:ascii="Calibri" w:hAnsi="Calibri"/>
          <w:b w:val="0"/>
          <w:i w:val="0"/>
          <w:color w:val="111111"/>
          <w:sz w:val="20"/>
        </w:rPr>
        <w:t xml:space="preserve"> by the measured input </w:t>
      </w:r>
      <w:r>
        <w:rPr>
          <w:rFonts w:ascii="Calibri" w:hAnsi="Calibri"/>
          <w:b w:val="0"/>
          <w:i/>
          <w:color w:val="111111"/>
          <w:sz w:val="20"/>
        </w:rPr>
        <w:t>V</w:t>
      </w:r>
      <w:r>
        <w:rPr>
          <w:rFonts w:ascii="Calibri" w:hAnsi="Calibri"/>
          <w:b w:val="0"/>
          <w:i/>
          <w:color w:val="111111"/>
          <w:sz w:val="20"/>
          <w:vertAlign w:val="subscript"/>
        </w:rPr>
        <w:t>i</w:t>
      </w:r>
      <w:r>
        <w:rPr>
          <w:rFonts w:ascii="Calibri" w:hAnsi="Calibri"/>
          <w:b w:val="0"/>
          <w:i w:val="0"/>
          <w:color w:val="111111"/>
          <w:sz w:val="20"/>
          <w:vertAlign w:val="subscript"/>
        </w:rPr>
        <w:t>,pp</w:t>
      </w:r>
      <w:r>
        <w:rPr>
          <w:rFonts w:ascii="Calibri" w:hAnsi="Calibri"/>
          <w:b w:val="0"/>
          <w:i w:val="0"/>
          <w:color w:val="111111"/>
          <w:sz w:val="20"/>
        </w:rPr>
        <w:t xml:space="preserve"> on Channel 1 resolved an important instrumentation effect: although the generator dial was set to 15.0 V</w:t>
      </w:r>
      <w:r>
        <w:rPr>
          <w:rFonts w:ascii="Calibri" w:hAnsi="Calibri"/>
          <w:b w:val="0"/>
          <w:i w:val="0"/>
          <w:color w:val="111111"/>
          <w:sz w:val="20"/>
          <w:vertAlign w:val="subscript"/>
        </w:rPr>
        <w:t>pp</w:t>
      </w:r>
      <w:r>
        <w:rPr>
          <w:rFonts w:ascii="Calibri" w:hAnsi="Calibri"/>
          <w:b w:val="0"/>
          <w:i w:val="0"/>
          <w:color w:val="111111"/>
          <w:sz w:val="20"/>
        </w:rPr>
        <w:t>, its unloaded output measured 15.6–15.9 V</w:t>
      </w:r>
      <w:r>
        <w:rPr>
          <w:rFonts w:ascii="Calibri" w:hAnsi="Calibri"/>
          <w:b w:val="0"/>
          <w:i w:val="0"/>
          <w:color w:val="111111"/>
          <w:sz w:val="20"/>
          <w:vertAlign w:val="subscript"/>
        </w:rPr>
        <w:t>pp</w:t>
      </w:r>
      <w:r>
        <w:rPr>
          <w:rFonts w:ascii="Calibri" w:hAnsi="Calibri"/>
          <w:b w:val="0"/>
          <w:i w:val="0"/>
          <w:color w:val="111111"/>
          <w:sz w:val="20"/>
        </w:rPr>
        <w:t xml:space="preserve"> due to high-impedance termination mismatch (Keysight Technologies, 2014). Had raw </w:t>
      </w:r>
      <w:r>
        <w:rPr>
          <w:rFonts w:ascii="Calibri" w:hAnsi="Calibri"/>
          <w:b w:val="0"/>
          <w:i/>
          <w:color w:val="111111"/>
          <w:sz w:val="20"/>
        </w:rPr>
        <w:t>V</w:t>
      </w:r>
      <w:r>
        <w:rPr>
          <w:rFonts w:ascii="Calibri" w:hAnsi="Calibri"/>
          <w:b w:val="0"/>
          <w:i/>
          <w:color w:val="111111"/>
          <w:sz w:val="20"/>
          <w:vertAlign w:val="subscript"/>
        </w:rPr>
        <w:t>o</w:t>
      </w:r>
      <w:r>
        <w:rPr>
          <w:rFonts w:ascii="Calibri" w:hAnsi="Calibri"/>
          <w:b w:val="0"/>
          <w:i w:val="0"/>
          <w:color w:val="111111"/>
          <w:sz w:val="20"/>
          <w:vertAlign w:val="subscript"/>
        </w:rPr>
        <w:t>,pp</w:t>
      </w:r>
      <w:r>
        <w:rPr>
          <w:rFonts w:ascii="Calibri" w:hAnsi="Calibri"/>
          <w:b w:val="0"/>
          <w:i w:val="0"/>
          <w:color w:val="111111"/>
          <w:sz w:val="20"/>
        </w:rPr>
        <w:t xml:space="preserve"> (15.20 V at 1 kHz) been compared naively against nominal 15.0 V</w:t>
      </w:r>
      <w:r>
        <w:rPr>
          <w:rFonts w:ascii="Calibri" w:hAnsi="Calibri"/>
          <w:b w:val="0"/>
          <w:i w:val="0"/>
          <w:color w:val="111111"/>
          <w:sz w:val="20"/>
          <w:vertAlign w:val="subscript"/>
        </w:rPr>
        <w:t>pp</w:t>
      </w:r>
      <w:r>
        <w:rPr>
          <w:rFonts w:ascii="Calibri" w:hAnsi="Calibri"/>
          <w:b w:val="0"/>
          <w:i w:val="0"/>
          <w:color w:val="111111"/>
          <w:sz w:val="20"/>
        </w:rPr>
        <w:t xml:space="preserve"> theory (14.93 V), the passive filter would have appeared to exhibit impossible amplification (&gt;1). Using true terminal ratios, |</w:t>
      </w:r>
      <w:r>
        <w:rPr>
          <w:rFonts w:ascii="Calibri" w:hAnsi="Calibri"/>
          <w:b w:val="0"/>
          <w:i/>
          <w:color w:val="111111"/>
          <w:sz w:val="20"/>
        </w:rPr>
        <w:t>H</w:t>
      </w:r>
      <w:r>
        <w:rPr>
          <w:rFonts w:ascii="Calibri" w:hAnsi="Calibri"/>
          <w:b w:val="0"/>
          <w:i w:val="0"/>
          <w:color w:val="111111"/>
          <w:sz w:val="20"/>
          <w:vertAlign w:val="subscript"/>
        </w:rPr>
        <w:t>meas</w:t>
      </w:r>
      <w:r>
        <w:rPr>
          <w:rFonts w:ascii="Calibri" w:hAnsi="Calibri"/>
          <w:b w:val="0"/>
          <w:i w:val="0"/>
          <w:color w:val="111111"/>
          <w:sz w:val="20"/>
        </w:rPr>
        <w:t xml:space="preserve">| agreed with theory within −2.13% at 1 kHz, −0.61% at 10 kHz, and +5.51% at 40 kHz (Table 4). The +5.51% positive deviation at 40 kHz (+0.46 dB) is consistent with a ~4%–5% negative tolerance on the nominal 10 nF capacitor (e.g., </w:t>
      </w:r>
      <w:r>
        <w:rPr>
          <w:rFonts w:ascii="Calibri" w:hAnsi="Calibri"/>
          <w:b w:val="0"/>
          <w:i/>
          <w:color w:val="111111"/>
          <w:sz w:val="20"/>
        </w:rPr>
        <w:t>C</w:t>
      </w:r>
      <w:r>
        <w:rPr>
          <w:rFonts w:ascii="Calibri" w:hAnsi="Calibri"/>
          <w:b w:val="0"/>
          <w:i w:val="0"/>
          <w:color w:val="111111"/>
          <w:sz w:val="20"/>
        </w:rPr>
        <w:t xml:space="preserve"> ≈ 9.55 nF raises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to ~11.1 kHz, increasing 40 kHz gain from 0.256 to 0.268) combined with oscilloscope vertical quantisation at smaller amplitudes.</w:t>
      </w:r>
    </w:p>
    <w:p>
      <w:pPr>
        <w:spacing w:after="100" w:line="276" w:lineRule="auto"/>
        <w:jc w:val="both"/>
      </w:pPr>
      <w:r>
        <w:rPr>
          <w:rFonts w:ascii="Calibri" w:hAnsi="Calibri"/>
          <w:b/>
          <w:i w:val="0"/>
          <w:color w:val="111111"/>
          <w:sz w:val="20"/>
        </w:rPr>
        <w:t>Option 2 — Sinusoidal Frequency-Domain Response:</w:t>
      </w:r>
      <w:r>
        <w:rPr>
          <w:rFonts w:ascii="Calibri" w:hAnsi="Calibri"/>
          <w:b w:val="0"/>
          <w:i w:val="0"/>
          <w:color w:val="111111"/>
          <w:sz w:val="20"/>
        </w:rPr>
        <w:t xml:space="preserve"> The decibel gains in Table 5 (−0.22, −2.81, and −11.36 dB) match 20 log</w:t>
      </w:r>
      <w:r>
        <w:rPr>
          <w:rFonts w:ascii="Calibri" w:hAnsi="Calibri"/>
          <w:b w:val="0"/>
          <w:i w:val="0"/>
          <w:color w:val="111111"/>
          <w:sz w:val="20"/>
          <w:vertAlign w:val="subscript"/>
        </w:rPr>
        <w:t>10</w:t>
      </w:r>
      <w:r>
        <w:rPr>
          <w:rFonts w:ascii="Calibri" w:hAnsi="Calibri"/>
          <w:b w:val="0"/>
          <w:i w:val="0"/>
          <w:color w:val="111111"/>
          <w:sz w:val="20"/>
        </w:rPr>
        <w:t>|</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ω)| within 0.18, 0.05, and 0.46 dB, respectively (Figure 8). Because decibel gain is a differential ratio (</w:t>
      </w:r>
      <w:r>
        <w:rPr>
          <w:rFonts w:ascii="Calibri" w:hAnsi="Calibri"/>
          <w:b w:val="0"/>
          <w:i/>
          <w:color w:val="111111"/>
          <w:sz w:val="20"/>
        </w:rPr>
        <w:t>Y</w:t>
      </w:r>
      <w:r>
        <w:rPr>
          <w:rFonts w:ascii="Calibri" w:hAnsi="Calibri"/>
          <w:b w:val="0"/>
          <w:i w:val="0"/>
          <w:color w:val="111111"/>
          <w:sz w:val="20"/>
          <w:vertAlign w:val="subscript"/>
        </w:rPr>
        <w:t>out</w:t>
      </w:r>
      <w:r>
        <w:rPr>
          <w:rFonts w:ascii="Calibri" w:hAnsi="Calibri"/>
          <w:b w:val="0"/>
          <w:i w:val="0"/>
          <w:color w:val="111111"/>
          <w:sz w:val="20"/>
        </w:rPr>
        <w:t xml:space="preserve"> − </w:t>
      </w:r>
      <w:r>
        <w:rPr>
          <w:rFonts w:ascii="Calibri" w:hAnsi="Calibri"/>
          <w:b w:val="0"/>
          <w:i/>
          <w:color w:val="111111"/>
          <w:sz w:val="20"/>
        </w:rPr>
        <w:t>Y</w:t>
      </w:r>
      <w:r>
        <w:rPr>
          <w:rFonts w:ascii="Calibri" w:hAnsi="Calibri"/>
          <w:b w:val="0"/>
          <w:i w:val="0"/>
          <w:color w:val="111111"/>
          <w:sz w:val="20"/>
          <w:vertAlign w:val="subscript"/>
        </w:rPr>
        <w:t>in</w:t>
      </w:r>
      <w:r>
        <w:rPr>
          <w:rFonts w:ascii="Calibri" w:hAnsi="Calibri"/>
          <w:b w:val="0"/>
          <w:i w:val="0"/>
          <w:color w:val="111111"/>
          <w:sz w:val="20"/>
        </w:rPr>
        <w:t>) measured on the same instrument, fixed amplitude offsets—including the generator’s +0.34 to +0.50 dB excess voltage above 15 V</w:t>
      </w:r>
      <w:r>
        <w:rPr>
          <w:rFonts w:ascii="Calibri" w:hAnsi="Calibri"/>
          <w:b w:val="0"/>
          <w:i w:val="0"/>
          <w:color w:val="111111"/>
          <w:sz w:val="20"/>
          <w:vertAlign w:val="subscript"/>
        </w:rPr>
        <w:t>pp</w:t>
      </w:r>
      <w:r>
        <w:rPr>
          <w:rFonts w:ascii="Calibri" w:hAnsi="Calibri"/>
          <w:b w:val="0"/>
          <w:i w:val="0"/>
          <w:color w:val="111111"/>
          <w:sz w:val="20"/>
        </w:rPr>
        <w:t xml:space="preserve"> and the −3.01 dB RMS scaling of Equation (9)—cancel algebraically.</w:t>
      </w:r>
    </w:p>
    <w:p>
      <w:pPr>
        <w:spacing w:after="100" w:line="276" w:lineRule="auto"/>
        <w:jc w:val="both"/>
      </w:pPr>
      <w:r>
        <w:rPr>
          <w:rFonts w:ascii="Calibri" w:hAnsi="Calibri"/>
          <w:b/>
          <w:i w:val="0"/>
          <w:color w:val="111111"/>
          <w:sz w:val="20"/>
        </w:rPr>
        <w:t>Option 3 — Periodic Square-Wave Harmonic &amp; Waveform Analysis:</w:t>
      </w:r>
      <w:r>
        <w:rPr>
          <w:rFonts w:ascii="Calibri" w:hAnsi="Calibri"/>
          <w:b w:val="0"/>
          <w:i w:val="0"/>
          <w:color w:val="111111"/>
          <w:sz w:val="20"/>
        </w:rPr>
        <w:t xml:space="preserve"> The oscilloscope FFT cursor captures (Figure 10, Table 6) provide independent multi-frequency validation across three simultaneous harmonics. Measured input harmonic levels on FFT(Ch1) (16.56, 7.19, and 2.66 dBV</w:t>
      </w:r>
      <w:r>
        <w:rPr>
          <w:rFonts w:ascii="Calibri" w:hAnsi="Calibri"/>
          <w:b w:val="0"/>
          <w:i w:val="0"/>
          <w:color w:val="111111"/>
          <w:sz w:val="20"/>
          <w:vertAlign w:val="subscript"/>
        </w:rPr>
        <w:t>rms</w:t>
      </w:r>
      <w:r>
        <w:rPr>
          <w:rFonts w:ascii="Calibri" w:hAnsi="Calibri"/>
          <w:b w:val="0"/>
          <w:i w:val="0"/>
          <w:color w:val="111111"/>
          <w:sz w:val="20"/>
        </w:rPr>
        <w:t>) matched theoretical RMS Fourier coefficients for a 15.0 V</w:t>
      </w:r>
      <w:r>
        <w:rPr>
          <w:rFonts w:ascii="Calibri" w:hAnsi="Calibri"/>
          <w:b w:val="0"/>
          <w:i w:val="0"/>
          <w:color w:val="111111"/>
          <w:sz w:val="20"/>
          <w:vertAlign w:val="subscript"/>
        </w:rPr>
        <w:t>pp</w:t>
      </w:r>
      <w:r>
        <w:rPr>
          <w:rFonts w:ascii="Calibri" w:hAnsi="Calibri"/>
          <w:b w:val="0"/>
          <w:i w:val="0"/>
          <w:color w:val="111111"/>
          <w:sz w:val="20"/>
        </w:rPr>
        <w:t xml:space="preserve"> square wave (16.59, 7.05, and 2.61 dBV</w:t>
      </w:r>
      <w:r>
        <w:rPr>
          <w:rFonts w:ascii="Calibri" w:hAnsi="Calibri"/>
          <w:b w:val="0"/>
          <w:i w:val="0"/>
          <w:color w:val="111111"/>
          <w:sz w:val="20"/>
          <w:vertAlign w:val="subscript"/>
        </w:rPr>
        <w:t>rms</w:t>
      </w:r>
      <w:r>
        <w:rPr>
          <w:rFonts w:ascii="Calibri" w:hAnsi="Calibri"/>
          <w:b w:val="0"/>
          <w:i w:val="0"/>
          <w:color w:val="111111"/>
          <w:sz w:val="20"/>
        </w:rPr>
        <w:t>; Table 3) within 0.03–0.14 dB, confirming that Ampl(1) = 15.1 V in Figure 9 represents the true square-wave plateau, whereas Pk-Pk(1) = 20.1 V reflects only narrow high-frequency ringing spikes at switching transitions. Across 8, 24, and 40 kHz, measured filter gains (−2.03, −7.81, and −11.72 dB) agreed with theoretical responses (−1.95, −7.87, and −11.82 dB) to within 0.06–0.10 dB, lying squarely along the theoretical Bode locus alongside the sinusoidal data (Figure 11b). Notably, the oscilloscope’s automated time-domain phase reading on the square wave (Phase(1→2) = 28.25° in Figure 9) differs from the fundamental harmonic phase (−37.02°) because threshold-crossing phase meters measure zero-crossing delay of the composite non-sinusoidal waveform rather than isolating the 8 kHz fundamental.</w:t>
      </w:r>
    </w:p>
    <w:p>
      <w:pPr>
        <w:pStyle w:val="Heading2"/>
        <w:keepNext/>
        <w:spacing w:before="170" w:after="60"/>
      </w:pPr>
      <w:r>
        <w:rPr>
          <w:rFonts w:ascii="Calibri" w:hAnsi="Calibri"/>
          <w:b/>
          <w:i w:val="0"/>
          <w:color w:val="2C3E50"/>
          <w:sz w:val="22"/>
        </w:rPr>
        <w:t>4.4 Mechanism of Square-Wave Shaping and Engineering Applications</w:t>
      </w:r>
    </w:p>
    <w:p>
      <w:pPr>
        <w:spacing w:after="100" w:line="276" w:lineRule="auto"/>
        <w:jc w:val="both"/>
      </w:pPr>
      <w:r>
        <w:rPr>
          <w:rFonts w:ascii="Calibri" w:hAnsi="Calibri"/>
          <w:b w:val="0"/>
          <w:i w:val="0"/>
          <w:color w:val="111111"/>
          <w:sz w:val="20"/>
        </w:rPr>
        <w:t>Sharp vertical edges and flat plateaus in an ideal square wave rely on the coherent sum of slow-decaying odd harmonics (</w:t>
      </w:r>
      <w:r>
        <w:rPr>
          <w:rFonts w:ascii="Calibri" w:hAnsi="Calibri"/>
          <w:b w:val="0"/>
          <w:i/>
          <w:color w:val="111111"/>
          <w:sz w:val="20"/>
        </w:rPr>
        <w:t>b</w:t>
      </w:r>
      <w:r>
        <w:rPr>
          <w:rFonts w:ascii="Calibri" w:hAnsi="Calibri"/>
          <w:b w:val="0"/>
          <w:i/>
          <w:color w:val="111111"/>
          <w:sz w:val="20"/>
          <w:vertAlign w:val="subscript"/>
        </w:rPr>
        <w:t>n</w:t>
      </w:r>
      <w:r>
        <w:rPr>
          <w:rFonts w:ascii="Calibri" w:hAnsi="Calibri"/>
          <w:b w:val="0"/>
          <w:i w:val="0"/>
          <w:color w:val="111111"/>
          <w:sz w:val="20"/>
        </w:rPr>
        <w:t xml:space="preserve"> ∝ 1/</w:t>
      </w:r>
      <w:r>
        <w:rPr>
          <w:rFonts w:ascii="Calibri" w:hAnsi="Calibri"/>
          <w:b w:val="0"/>
          <w:i/>
          <w:color w:val="111111"/>
          <w:sz w:val="20"/>
        </w:rPr>
        <w:t>n</w:t>
      </w:r>
      <w:r>
        <w:rPr>
          <w:rFonts w:ascii="Calibri" w:hAnsi="Calibri"/>
          <w:b w:val="0"/>
          <w:i w:val="0"/>
          <w:color w:val="111111"/>
          <w:sz w:val="20"/>
        </w:rPr>
        <w:t>; Oppenheim et al., 1997). Because the RC filter attenuates the 8 kHz fundamental by only 1.95 dB (factor 0.7985) while suppressing the 24 kHz third harmonic by 7.87 dB (0.4043) and the 40 kHz fifth harmonic by 11.82 dB (0.2564)—and imparting non-linear phase dispersion—high-frequency edge energy is stripped away, causing output harmonics to decay as 1/</w:t>
      </w:r>
      <w:r>
        <w:rPr>
          <w:rFonts w:ascii="Calibri" w:hAnsi="Calibri"/>
          <w:b w:val="0"/>
          <w:i/>
          <w:color w:val="111111"/>
          <w:sz w:val="20"/>
        </w:rPr>
        <w:t>n</w:t>
      </w:r>
      <w:r>
        <w:rPr>
          <w:rFonts w:ascii="Calibri" w:hAnsi="Calibri"/>
          <w:b w:val="0"/>
          <w:i w:val="0"/>
          <w:color w:val="111111"/>
          <w:sz w:val="20"/>
          <w:vertAlign w:val="superscript"/>
        </w:rPr>
        <w:t>2</w:t>
      </w:r>
      <w:r>
        <w:rPr>
          <w:rFonts w:ascii="Calibri" w:hAnsi="Calibri"/>
          <w:b w:val="0"/>
          <w:i w:val="0"/>
          <w:color w:val="111111"/>
          <w:sz w:val="20"/>
        </w:rPr>
        <w:t xml:space="preserve"> (triangular/exponential character). In the time domain, each half-cycle duration (</w:t>
      </w:r>
      <w:r>
        <w:rPr>
          <w:rFonts w:ascii="Calibri" w:hAnsi="Calibri"/>
          <w:b w:val="0"/>
          <w:i/>
          <w:color w:val="111111"/>
          <w:sz w:val="20"/>
        </w:rPr>
        <w:t>T</w:t>
      </w:r>
      <w:r>
        <w:rPr>
          <w:rFonts w:ascii="Calibri" w:hAnsi="Calibri"/>
          <w:b w:val="0"/>
          <w:i w:val="0"/>
          <w:color w:val="111111"/>
          <w:sz w:val="20"/>
          <w:vertAlign w:val="subscript"/>
        </w:rPr>
        <w:t>0</w:t>
      </w:r>
      <w:r>
        <w:rPr>
          <w:rFonts w:ascii="Calibri" w:hAnsi="Calibri"/>
          <w:b w:val="0"/>
          <w:i w:val="0"/>
          <w:color w:val="111111"/>
          <w:sz w:val="20"/>
        </w:rPr>
        <w:t xml:space="preserve">/2 = 62.5 µs) spans 4.17τ (τ = 15 µs), allowing the capacitor to charge through 1 − </w:t>
      </w:r>
      <w:r>
        <w:rPr>
          <w:rFonts w:ascii="Calibri" w:hAnsi="Calibri"/>
          <w:b w:val="0"/>
          <w:i/>
          <w:color w:val="111111"/>
          <w:sz w:val="20"/>
        </w:rPr>
        <w:t>e</w:t>
      </w:r>
      <w:r>
        <w:rPr>
          <w:rFonts w:ascii="Calibri" w:hAnsi="Calibri"/>
          <w:b w:val="0"/>
          <w:i w:val="0"/>
          <w:color w:val="111111"/>
          <w:sz w:val="20"/>
          <w:vertAlign w:val="superscript"/>
        </w:rPr>
        <w:t>−4.17</w:t>
      </w:r>
      <w:r>
        <w:rPr>
          <w:rFonts w:ascii="Calibri" w:hAnsi="Calibri"/>
          <w:b w:val="0"/>
          <w:i w:val="0"/>
          <w:color w:val="111111"/>
          <w:sz w:val="20"/>
        </w:rPr>
        <w:t xml:space="preserve"> = 98.5% of its asymptotic step excursion and reaching ±7.27 V (14.54 V</w:t>
      </w:r>
      <w:r>
        <w:rPr>
          <w:rFonts w:ascii="Calibri" w:hAnsi="Calibri"/>
          <w:b w:val="0"/>
          <w:i w:val="0"/>
          <w:color w:val="111111"/>
          <w:sz w:val="20"/>
          <w:vertAlign w:val="subscript"/>
        </w:rPr>
        <w:t>pp</w:t>
      </w:r>
      <w:r>
        <w:rPr>
          <w:rFonts w:ascii="Calibri" w:hAnsi="Calibri"/>
          <w:b w:val="0"/>
          <w:i w:val="0"/>
          <w:color w:val="111111"/>
          <w:sz w:val="20"/>
        </w:rPr>
        <w:t xml:space="preserve"> theoretical vs. 14.2 V Ampl(2) and 14.9 V Pk-Pk(2) measured in Figure 9). Figure 5 confirms that retaining just three odd harmonics reproduces this rounded waveform closely. Practically, this exact mechanism is exploited in microcontroller PWM digital-to-analogue converters (where an RC filter extracts the DC/low-frequency average while suppressing switching harmonics) and in ADC anti-aliasing front-ends (Horowitz &amp; Hill, 2015).</w:t>
      </w:r>
    </w:p>
    <w:p>
      <w:pPr>
        <w:pStyle w:val="Heading2"/>
        <w:keepNext/>
        <w:spacing w:before="170" w:after="60"/>
      </w:pPr>
      <w:r>
        <w:rPr>
          <w:rFonts w:ascii="Calibri" w:hAnsi="Calibri"/>
          <w:b/>
          <w:i w:val="0"/>
          <w:color w:val="2C3E50"/>
          <w:sz w:val="22"/>
        </w:rPr>
        <w:t>4.5 Experimental Limitations and Recommended Improvements</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Sparse Sinusoidal Frequency Sampling:</w:t>
      </w:r>
      <w:r>
        <w:rPr>
          <w:rFonts w:ascii="Calibri" w:hAnsi="Calibri"/>
          <w:b w:val="0"/>
          <w:i w:val="0"/>
          <w:color w:val="111111"/>
          <w:sz w:val="20"/>
        </w:rPr>
        <w:t xml:space="preserve"> Measuring only 1, 10, and 40 kHz bracketed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indirectly. Performing a fine logarithmic frequency sweep (e.g., 100 Hz to 100 kHz with 5–10 points per decade, plus 500 Hz steps across 9–12 kHz) or using the oscilloscope’s built-in Frequency Response Analysis (FRA) Bode plotter would pinpoint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within ±50 Hz.</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Unmeasured Passive Component Tolerances:</w:t>
      </w:r>
      <w:r>
        <w:rPr>
          <w:rFonts w:ascii="Calibri" w:hAnsi="Calibri"/>
          <w:b w:val="0"/>
          <w:i w:val="0"/>
          <w:color w:val="111111"/>
          <w:sz w:val="20"/>
        </w:rPr>
        <w:t xml:space="preserve"> Measuring exact </w:t>
      </w:r>
      <w:r>
        <w:rPr>
          <w:rFonts w:ascii="Calibri" w:hAnsi="Calibri"/>
          <w:b w:val="0"/>
          <w:i/>
          <w:color w:val="111111"/>
          <w:sz w:val="20"/>
        </w:rPr>
        <w:t>R</w:t>
      </w:r>
      <w:r>
        <w:rPr>
          <w:rFonts w:ascii="Calibri" w:hAnsi="Calibri"/>
          <w:b w:val="0"/>
          <w:i w:val="0"/>
          <w:color w:val="111111"/>
          <w:sz w:val="20"/>
        </w:rPr>
        <w:t xml:space="preserve"> and </w:t>
      </w:r>
      <w:r>
        <w:rPr>
          <w:rFonts w:ascii="Calibri" w:hAnsi="Calibri"/>
          <w:b w:val="0"/>
          <w:i/>
          <w:color w:val="111111"/>
          <w:sz w:val="20"/>
        </w:rPr>
        <w:t>C</w:t>
      </w:r>
      <w:r>
        <w:rPr>
          <w:rFonts w:ascii="Calibri" w:hAnsi="Calibri"/>
          <w:b w:val="0"/>
          <w:i w:val="0"/>
          <w:color w:val="111111"/>
          <w:sz w:val="20"/>
        </w:rPr>
        <w:t xml:space="preserve"> values prior to assembly with a calibrated digital LCR bridge would separate genuine measurement error from ±5%–10% component tolerance drift.</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FFT Frequency Resolution and Cursor Quantisation:</w:t>
      </w:r>
      <w:r>
        <w:rPr>
          <w:rFonts w:ascii="Calibri" w:hAnsi="Calibri"/>
          <w:b w:val="0"/>
          <w:i w:val="0"/>
          <w:color w:val="111111"/>
          <w:sz w:val="20"/>
        </w:rPr>
        <w:t xml:space="preserve"> At a 50 kHz span, the 954 Hz FFT bin width caused the 24.0 kHz third harmonic on Channel 2 to register at the nearest bin (23.9 kHz; Figure 10e) with slight scallop loss (Harris, 1978). Narrowing the FFT span around each harmonic and enabling waveform averaging (≥16 acquisitions) would reduce noise and cursor uncertainty.</w:t>
      </w:r>
    </w:p>
    <w:p>
      <w:pPr>
        <w:spacing w:after="84" w:line="276" w:lineRule="auto"/>
        <w:ind w:left="340" w:hanging="198"/>
        <w:jc w:val="both"/>
      </w:pPr>
      <w:r>
        <w:rPr>
          <w:rFonts w:ascii="Calibri" w:hAnsi="Calibri"/>
          <w:b w:val="0"/>
          <w:i w:val="0"/>
          <w:color w:val="111111"/>
          <w:sz w:val="20"/>
        </w:rPr>
        <w:t xml:space="preserve">•  </w:t>
      </w:r>
      <w:r>
        <w:rPr>
          <w:rFonts w:ascii="Calibri" w:hAnsi="Calibri"/>
          <w:b/>
          <w:i w:val="0"/>
          <w:color w:val="111111"/>
          <w:sz w:val="20"/>
        </w:rPr>
        <w:t>Generator Termination Matching:</w:t>
      </w:r>
      <w:r>
        <w:rPr>
          <w:rFonts w:ascii="Calibri" w:hAnsi="Calibri"/>
          <w:b w:val="0"/>
          <w:i w:val="0"/>
          <w:color w:val="111111"/>
          <w:sz w:val="20"/>
        </w:rPr>
        <w:t xml:space="preserve"> Setting the Agilent 33220A output load menu explicitly to ‘High Z’ eliminates the discrepancy between nominal front-panel voltage settings and actual open-circuit terminal amplitudes.</w:t>
      </w:r>
    </w:p>
    <w:p>
      <w:pPr>
        <w:pStyle w:val="Heading1"/>
        <w:keepNext/>
        <w:spacing w:before="240" w:after="80"/>
      </w:pPr>
      <w:r>
        <w:rPr>
          <w:rFonts w:ascii="Calibri" w:hAnsi="Calibri"/>
          <w:b/>
          <w:i w:val="0"/>
          <w:color w:val="1B365D"/>
          <w:sz w:val="26"/>
        </w:rPr>
        <w:t>5. Conclusion</w:t>
      </w:r>
    </w:p>
    <w:p>
      <w:pPr>
        <w:spacing w:after="100" w:line="276" w:lineRule="auto"/>
        <w:jc w:val="both"/>
      </w:pPr>
      <w:r>
        <w:rPr>
          <w:rFonts w:ascii="Calibri" w:hAnsi="Calibri"/>
          <w:b w:val="0"/>
          <w:i w:val="0"/>
          <w:color w:val="111111"/>
          <w:sz w:val="20"/>
        </w:rPr>
        <w:t>This experiment derived the theoretical frequency response of a passive first-order series RC circuit (</w:t>
      </w:r>
      <w:r>
        <w:rPr>
          <w:rFonts w:ascii="Calibri" w:hAnsi="Calibri"/>
          <w:b w:val="0"/>
          <w:i/>
          <w:color w:val="111111"/>
          <w:sz w:val="20"/>
        </w:rPr>
        <w:t>R</w:t>
      </w:r>
      <w:r>
        <w:rPr>
          <w:rFonts w:ascii="Calibri" w:hAnsi="Calibri"/>
          <w:b w:val="0"/>
          <w:i w:val="0"/>
          <w:color w:val="111111"/>
          <w:sz w:val="20"/>
        </w:rPr>
        <w:t xml:space="preserve"> = 1.5 kΩ, </w:t>
      </w:r>
      <w:r>
        <w:rPr>
          <w:rFonts w:ascii="Calibri" w:hAnsi="Calibri"/>
          <w:b w:val="0"/>
          <w:i/>
          <w:color w:val="111111"/>
          <w:sz w:val="20"/>
        </w:rPr>
        <w:t>C</w:t>
      </w:r>
      <w:r>
        <w:rPr>
          <w:rFonts w:ascii="Calibri" w:hAnsi="Calibri"/>
          <w:b w:val="0"/>
          <w:i w:val="0"/>
          <w:color w:val="111111"/>
          <w:sz w:val="20"/>
        </w:rPr>
        <w:t xml:space="preserve"> = 0.01 µF) and verified its filtering action in both the time and frequency domains. From the circuit’s differential equation, the frequency response </w:t>
      </w:r>
      <w:r>
        <w:rPr>
          <w:rFonts w:ascii="Calibri" w:hAnsi="Calibri"/>
          <w:b w:val="0"/>
          <w:i/>
          <w:color w:val="111111"/>
          <w:sz w:val="20"/>
        </w:rPr>
        <w:t>H</w:t>
      </w:r>
      <w:r>
        <w:rPr>
          <w:rFonts w:ascii="Calibri" w:hAnsi="Calibri"/>
          <w:b w:val="0"/>
          <w:i w:val="0"/>
          <w:color w:val="111111"/>
          <w:sz w:val="20"/>
        </w:rPr>
        <w:t>(</w:t>
      </w:r>
      <w:r>
        <w:rPr>
          <w:rFonts w:ascii="Calibri" w:hAnsi="Calibri"/>
          <w:b w:val="0"/>
          <w:i/>
          <w:color w:val="111111"/>
          <w:sz w:val="20"/>
        </w:rPr>
        <w:t>j</w:t>
      </w:r>
      <w:r>
        <w:rPr>
          <w:rFonts w:ascii="Calibri" w:hAnsi="Calibri"/>
          <w:b w:val="0"/>
          <w:i w:val="0"/>
          <w:color w:val="111111"/>
          <w:sz w:val="20"/>
        </w:rPr>
        <w:t xml:space="preserve">ω) = 1 / (1 + </w:t>
      </w:r>
      <w:r>
        <w:rPr>
          <w:rFonts w:ascii="Calibri" w:hAnsi="Calibri"/>
          <w:b w:val="0"/>
          <w:i/>
          <w:color w:val="111111"/>
          <w:sz w:val="20"/>
        </w:rPr>
        <w:t>j</w:t>
      </w:r>
      <w:r>
        <w:rPr>
          <w:rFonts w:ascii="Calibri" w:hAnsi="Calibri"/>
          <w:b w:val="0"/>
          <w:i w:val="0"/>
          <w:color w:val="111111"/>
          <w:sz w:val="20"/>
        </w:rPr>
        <w:t>ω</w:t>
      </w:r>
      <w:r>
        <w:rPr>
          <w:rFonts w:ascii="Calibri" w:hAnsi="Calibri"/>
          <w:b w:val="0"/>
          <w:i/>
          <w:color w:val="111111"/>
          <w:sz w:val="20"/>
        </w:rPr>
        <w:t>RC</w:t>
      </w:r>
      <w:r>
        <w:rPr>
          <w:rFonts w:ascii="Calibri" w:hAnsi="Calibri"/>
          <w:b w:val="0"/>
          <w:i w:val="0"/>
          <w:color w:val="111111"/>
          <w:sz w:val="20"/>
        </w:rPr>
        <w:t xml:space="preserve">) established a low-pass filter with time constant τ = 15 µs and cut-off frequency </w:t>
      </w:r>
      <w:r>
        <w:rPr>
          <w:rFonts w:ascii="Calibri" w:hAnsi="Calibri"/>
          <w:b w:val="0"/>
          <w:i/>
          <w:color w:val="111111"/>
          <w:sz w:val="20"/>
        </w:rPr>
        <w:t>f</w:t>
      </w:r>
      <w:r>
        <w:rPr>
          <w:rFonts w:ascii="Calibri" w:hAnsi="Calibri"/>
          <w:b w:val="0"/>
          <w:i/>
          <w:color w:val="111111"/>
          <w:sz w:val="20"/>
          <w:vertAlign w:val="subscript"/>
        </w:rPr>
        <w:t>c</w:t>
      </w:r>
      <w:r>
        <w:rPr>
          <w:rFonts w:ascii="Calibri" w:hAnsi="Calibri"/>
          <w:b w:val="0"/>
          <w:i w:val="0"/>
          <w:color w:val="111111"/>
          <w:sz w:val="20"/>
        </w:rPr>
        <w:t xml:space="preserve"> = 10.61 kHz. Experimental sinusoidal tests at 1, 10, and 40 kHz yielded normalised voltage gains of 0.9744, 0.7233, and 0.2705 and phase lags of −6.55°, −42.30°, and −73.71°, matching theoretical values within 5.5% in magnitude and 1.43° in phase. Frequency-domain sinusoidal gains (−0.22, −2.81, and −11.36 dB) and oscilloscope FFT cursor measurements of an 8 kHz square wave (−2.03, −7.81, and −11.72 dB at 8, 24, and 40 kHz) agreed with theory within 0.46 dB and 0.10 dB, respectively. Progressive attenuation of higher-order odd harmonics transformed the rectangular input into an exponential charging–discharging waveform, directly linking spectral roll-off to time-constant integration. Although limited by three discrete sinusoidal test frequencies, passive component tolerances, and 954 Hz FFT bin spacing, the findings confirm that LTI frequency-response analysis reliably predicts practical analogue filter performance in anti-aliasing and noise-conditioning applications.</w:t>
      </w:r>
    </w:p>
    <w:p>
      <w:pPr>
        <w:pStyle w:val="Heading1"/>
        <w:keepNext/>
        <w:spacing w:before="240" w:after="80"/>
      </w:pPr>
      <w:r>
        <w:rPr>
          <w:rFonts w:ascii="Calibri" w:hAnsi="Calibri"/>
          <w:b/>
          <w:i w:val="0"/>
          <w:color w:val="1B365D"/>
          <w:sz w:val="26"/>
        </w:rPr>
        <w:t>References</w:t>
      </w:r>
    </w:p>
    <w:p>
      <w:pPr>
        <w:spacing w:after="96"/>
        <w:ind w:left="510" w:hanging="510"/>
      </w:pPr>
      <w:r>
        <w:rPr>
          <w:rFonts w:ascii="Calibri" w:hAnsi="Calibri"/>
          <w:b w:val="0"/>
          <w:i w:val="0"/>
          <w:color w:val="111111"/>
          <w:sz w:val="19"/>
        </w:rPr>
        <w:t xml:space="preserve">Edith Cowan University School of Engineering. (2026a). </w:t>
      </w:r>
      <w:r>
        <w:rPr>
          <w:rFonts w:ascii="Calibri" w:hAnsi="Calibri"/>
          <w:b w:val="0"/>
          <w:i/>
          <w:color w:val="111111"/>
          <w:sz w:val="19"/>
        </w:rPr>
        <w:t>ENS3553/ENS6160 Signals and Systems: Module 5 and Module 6 lecture slides</w:t>
      </w:r>
      <w:r>
        <w:rPr>
          <w:rFonts w:ascii="Calibri" w:hAnsi="Calibri"/>
          <w:b w:val="0"/>
          <w:i w:val="0"/>
          <w:color w:val="111111"/>
          <w:sz w:val="19"/>
        </w:rPr>
        <w:t xml:space="preserve"> [Lecture slides]. Canvas.</w:t>
      </w:r>
    </w:p>
    <w:p>
      <w:pPr>
        <w:spacing w:after="96"/>
        <w:ind w:left="510" w:hanging="510"/>
      </w:pPr>
      <w:r>
        <w:rPr>
          <w:rFonts w:ascii="Calibri" w:hAnsi="Calibri"/>
          <w:b w:val="0"/>
          <w:i w:val="0"/>
          <w:color w:val="111111"/>
          <w:sz w:val="19"/>
        </w:rPr>
        <w:t xml:space="preserve">Edith Cowan University School of Engineering. (2026b). </w:t>
      </w:r>
      <w:r>
        <w:rPr>
          <w:rFonts w:ascii="Calibri" w:hAnsi="Calibri"/>
          <w:b w:val="0"/>
          <w:i/>
          <w:color w:val="111111"/>
          <w:sz w:val="19"/>
        </w:rPr>
        <w:t>ENS3553/ENS6160 Signals and Systems: Tutorial 5 Question 6 and Laboratory Experiment 2 instruction sheet</w:t>
      </w:r>
      <w:r>
        <w:rPr>
          <w:rFonts w:ascii="Calibri" w:hAnsi="Calibri"/>
          <w:b w:val="0"/>
          <w:i w:val="0"/>
          <w:color w:val="111111"/>
          <w:sz w:val="19"/>
        </w:rPr>
        <w:t xml:space="preserve"> [Course handout]. Canvas.</w:t>
      </w:r>
    </w:p>
    <w:p>
      <w:pPr>
        <w:spacing w:after="96"/>
        <w:ind w:left="510" w:hanging="510"/>
      </w:pPr>
      <w:r>
        <w:rPr>
          <w:rFonts w:ascii="Calibri" w:hAnsi="Calibri"/>
          <w:b w:val="0"/>
          <w:i w:val="0"/>
          <w:color w:val="111111"/>
          <w:sz w:val="19"/>
        </w:rPr>
        <w:t xml:space="preserve">Harris, F. J. (1978). On the use of windows for harmonic analysis with the discrete Fourier transform. </w:t>
      </w:r>
      <w:r>
        <w:rPr>
          <w:rFonts w:ascii="Calibri" w:hAnsi="Calibri"/>
          <w:b w:val="0"/>
          <w:i/>
          <w:color w:val="111111"/>
          <w:sz w:val="19"/>
        </w:rPr>
        <w:t>Proceedings of the IEEE</w:t>
      </w:r>
      <w:r>
        <w:rPr>
          <w:rFonts w:ascii="Calibri" w:hAnsi="Calibri"/>
          <w:b w:val="0"/>
          <w:i w:val="0"/>
          <w:color w:val="111111"/>
          <w:sz w:val="19"/>
        </w:rPr>
        <w:t xml:space="preserve">, </w:t>
      </w:r>
      <w:r>
        <w:rPr>
          <w:rFonts w:ascii="Calibri" w:hAnsi="Calibri"/>
          <w:b w:val="0"/>
          <w:i/>
          <w:color w:val="111111"/>
          <w:sz w:val="19"/>
        </w:rPr>
        <w:t>66</w:t>
      </w:r>
      <w:r>
        <w:rPr>
          <w:rFonts w:ascii="Calibri" w:hAnsi="Calibri"/>
          <w:b w:val="0"/>
          <w:i w:val="0"/>
          <w:color w:val="111111"/>
          <w:sz w:val="19"/>
        </w:rPr>
        <w:t>(1), 51–83. https://doi.org/10.1109/PROC.1978.10837</w:t>
      </w:r>
    </w:p>
    <w:p>
      <w:pPr>
        <w:spacing w:after="96"/>
        <w:ind w:left="510" w:hanging="510"/>
      </w:pPr>
      <w:r>
        <w:rPr>
          <w:rFonts w:ascii="Calibri" w:hAnsi="Calibri"/>
          <w:b w:val="0"/>
          <w:i w:val="0"/>
          <w:color w:val="111111"/>
          <w:sz w:val="19"/>
        </w:rPr>
        <w:t xml:space="preserve">Horowitz, P., &amp; Hill, W. (2015). </w:t>
      </w:r>
      <w:r>
        <w:rPr>
          <w:rFonts w:ascii="Calibri" w:hAnsi="Calibri"/>
          <w:b w:val="0"/>
          <w:i/>
          <w:color w:val="111111"/>
          <w:sz w:val="19"/>
        </w:rPr>
        <w:t>The art of electronics</w:t>
      </w:r>
      <w:r>
        <w:rPr>
          <w:rFonts w:ascii="Calibri" w:hAnsi="Calibri"/>
          <w:b w:val="0"/>
          <w:i w:val="0"/>
          <w:color w:val="111111"/>
          <w:sz w:val="19"/>
        </w:rPr>
        <w:t xml:space="preserve"> (3rd ed.). Cambridge University Press.</w:t>
      </w:r>
    </w:p>
    <w:p>
      <w:pPr>
        <w:spacing w:after="96"/>
        <w:ind w:left="510" w:hanging="510"/>
      </w:pPr>
      <w:r>
        <w:rPr>
          <w:rFonts w:ascii="Calibri" w:hAnsi="Calibri"/>
          <w:b w:val="0"/>
          <w:i w:val="0"/>
          <w:color w:val="111111"/>
          <w:sz w:val="19"/>
        </w:rPr>
        <w:t xml:space="preserve">Keysight Technologies. (2014). </w:t>
      </w:r>
      <w:r>
        <w:rPr>
          <w:rFonts w:ascii="Calibri" w:hAnsi="Calibri"/>
          <w:b w:val="0"/>
          <w:i/>
          <w:color w:val="111111"/>
          <w:sz w:val="19"/>
        </w:rPr>
        <w:t>33220A 20 MHz function/arbitrary waveform generator: Data sheet</w:t>
      </w:r>
      <w:r>
        <w:rPr>
          <w:rFonts w:ascii="Calibri" w:hAnsi="Calibri"/>
          <w:b w:val="0"/>
          <w:i w:val="0"/>
          <w:color w:val="111111"/>
          <w:sz w:val="19"/>
        </w:rPr>
        <w:t xml:space="preserve"> (Publication No. 5988-8544EN). Keysight Technologies.</w:t>
      </w:r>
    </w:p>
    <w:p>
      <w:pPr>
        <w:spacing w:after="96"/>
        <w:ind w:left="510" w:hanging="510"/>
      </w:pPr>
      <w:r>
        <w:rPr>
          <w:rFonts w:ascii="Calibri" w:hAnsi="Calibri"/>
          <w:b w:val="0"/>
          <w:i w:val="0"/>
          <w:color w:val="111111"/>
          <w:sz w:val="19"/>
        </w:rPr>
        <w:t xml:space="preserve">Keysight Technologies. (2022). </w:t>
      </w:r>
      <w:r>
        <w:rPr>
          <w:rFonts w:ascii="Calibri" w:hAnsi="Calibri"/>
          <w:b w:val="0"/>
          <w:i/>
          <w:color w:val="111111"/>
          <w:sz w:val="19"/>
        </w:rPr>
        <w:t>InfiniiVision 4000 X-Series oscilloscopes: Data sheet</w:t>
      </w:r>
      <w:r>
        <w:rPr>
          <w:rFonts w:ascii="Calibri" w:hAnsi="Calibri"/>
          <w:b w:val="0"/>
          <w:i w:val="0"/>
          <w:color w:val="111111"/>
          <w:sz w:val="19"/>
        </w:rPr>
        <w:t xml:space="preserve"> (Publication No. 5991-1103EN). Keysight Technologies.</w:t>
      </w:r>
    </w:p>
    <w:p>
      <w:pPr>
        <w:spacing w:after="96"/>
        <w:ind w:left="510" w:hanging="510"/>
      </w:pPr>
      <w:r>
        <w:rPr>
          <w:rFonts w:ascii="Calibri" w:hAnsi="Calibri"/>
          <w:b w:val="0"/>
          <w:i w:val="0"/>
          <w:color w:val="111111"/>
          <w:sz w:val="19"/>
        </w:rPr>
        <w:t xml:space="preserve">Lathi, B. P., &amp; Green, R. A. (2018). </w:t>
      </w:r>
      <w:r>
        <w:rPr>
          <w:rFonts w:ascii="Calibri" w:hAnsi="Calibri"/>
          <w:b w:val="0"/>
          <w:i/>
          <w:color w:val="111111"/>
          <w:sz w:val="19"/>
        </w:rPr>
        <w:t>Linear systems and signals</w:t>
      </w:r>
      <w:r>
        <w:rPr>
          <w:rFonts w:ascii="Calibri" w:hAnsi="Calibri"/>
          <w:b w:val="0"/>
          <w:i w:val="0"/>
          <w:color w:val="111111"/>
          <w:sz w:val="19"/>
        </w:rPr>
        <w:t xml:space="preserve"> (3rd ed.). Oxford University Press.</w:t>
      </w:r>
    </w:p>
    <w:p>
      <w:pPr>
        <w:spacing w:after="96"/>
        <w:ind w:left="510" w:hanging="510"/>
      </w:pPr>
      <w:r>
        <w:rPr>
          <w:rFonts w:ascii="Calibri" w:hAnsi="Calibri"/>
          <w:b w:val="0"/>
          <w:i w:val="0"/>
          <w:color w:val="111111"/>
          <w:sz w:val="19"/>
        </w:rPr>
        <w:t xml:space="preserve">Oppenheim, A. V., Willsky, A. S., &amp; Nawab, S. H. (1997). </w:t>
      </w:r>
      <w:r>
        <w:rPr>
          <w:rFonts w:ascii="Calibri" w:hAnsi="Calibri"/>
          <w:b w:val="0"/>
          <w:i/>
          <w:color w:val="111111"/>
          <w:sz w:val="19"/>
        </w:rPr>
        <w:t>Signals and systems</w:t>
      </w:r>
      <w:r>
        <w:rPr>
          <w:rFonts w:ascii="Calibri" w:hAnsi="Calibri"/>
          <w:b w:val="0"/>
          <w:i w:val="0"/>
          <w:color w:val="111111"/>
          <w:sz w:val="19"/>
        </w:rPr>
        <w:t xml:space="preserve"> (2nd ed.). Prentice Hall.</w:t>
      </w:r>
    </w:p>
    <w:p>
      <w:pPr>
        <w:pStyle w:val="Heading1"/>
        <w:keepNext/>
        <w:spacing w:before="240" w:after="80"/>
      </w:pPr>
      <w:r>
        <w:rPr>
          <w:rFonts w:ascii="Calibri" w:hAnsi="Calibri"/>
          <w:b/>
          <w:i w:val="0"/>
          <w:color w:val="1B365D"/>
          <w:sz w:val="26"/>
        </w:rPr>
        <w:t>Acknowledgement of AI Use</w:t>
      </w:r>
    </w:p>
    <w:p>
      <w:pPr>
        <w:spacing w:after="100" w:line="276" w:lineRule="auto"/>
        <w:jc w:val="both"/>
      </w:pPr>
      <w:r>
        <w:rPr>
          <w:rFonts w:ascii="Calibri" w:hAnsi="Calibri"/>
          <w:b w:val="0"/>
          <w:i w:val="0"/>
          <w:color w:val="111111"/>
          <w:sz w:val="20"/>
        </w:rPr>
        <w:t>Acknowledgement: The authors acknowledge the use of generative artificial intelligence tools—Claude Code (Anthropic, v2.0) and Arena.ai Agent Mode (v2026.10)—to assist with formatting the report layout, generating Python/Matplotlib theoretical and spectral plots from the circuit equations, and editing academic language for clarity. All experimental circuit assembly, oscilloscope measurements, theoretical verifications, and final interpretations are the original work of the group members, who reviewed and verified the entire submission.</w:t>
      </w:r>
    </w:p>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7"/>
      </w:rPr>
      <w:t xml:space="preserve">Edith Cowan University — School of Engineering        Page </w:t>
    </w:r>
    <w:fldSimple w:instr="PAGE"/>
    <w:r>
      <w:rPr>
        <w:rFonts w:ascii="Calibri" w:hAnsi="Calibri"/>
        <w:color w:val="555555"/>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55555"/>
        <w:sz w:val="17"/>
      </w:rPr>
      <w:t>ENS3553 / ENS6160.4 Signals and Systems  |  Laboratory Report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C3E5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