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28"/>
        </w:rPr>
        <w:t>Group work assessment – declaration of contributions and accountabilities</w:t>
      </w:r>
    </w:p>
    <w:tbl>
      <w:tblPr>
        <w:tblW w:type="auto" w:w="0"/>
        <w:jc w:val="center"/>
        <w:tblLayout w:type="fixed"/>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60"/>
        <w:gridCol w:w="7200"/>
      </w:tblGrid>
      <w:tr>
        <w:tc>
          <w:tcPr>
            <w:tcW w:type="dxa" w:w="4514"/>
            <w:tcMar>
              <w:top w:w="35" w:type="dxa"/>
              <w:left w:w="80" w:type="dxa"/>
              <w:bottom w:w="35" w:type="dxa"/>
              <w:right w:w="80" w:type="dxa"/>
            </w:tcMar>
            <w:vAlign w:val="center"/>
          </w:tcPr>
          <w:p>
            <w:pPr>
              <w:jc w:val="center"/>
            </w:pPr>
            <w:r>
              <w:rPr>
                <w:color w:val="111111"/>
                <w:sz w:val="22"/>
              </w:rPr>
              <w:t>Year</w:t>
            </w:r>
          </w:p>
        </w:tc>
        <w:tc>
          <w:tcPr>
            <w:tcW w:type="dxa" w:w="4514"/>
            <w:shd w:fill="E2EFDA" w:val="clear" w:color="auto"/>
            <w:tcMar>
              <w:top w:w="35" w:type="dxa"/>
              <w:left w:w="80" w:type="dxa"/>
              <w:bottom w:w="35" w:type="dxa"/>
              <w:right w:w="80" w:type="dxa"/>
            </w:tcMar>
            <w:vAlign w:val="center"/>
          </w:tcPr>
          <w:p>
            <w:r>
              <w:rPr>
                <w:color w:val="111111"/>
                <w:sz w:val="22"/>
              </w:rPr>
              <w:t>2026</w:t>
            </w:r>
          </w:p>
        </w:tc>
      </w:tr>
      <w:tr>
        <w:tc>
          <w:tcPr>
            <w:tcW w:type="dxa" w:w="4514"/>
            <w:tcMar>
              <w:top w:w="35" w:type="dxa"/>
              <w:left w:w="80" w:type="dxa"/>
              <w:bottom w:w="35" w:type="dxa"/>
              <w:right w:w="80" w:type="dxa"/>
            </w:tcMar>
            <w:vAlign w:val="center"/>
          </w:tcPr>
          <w:p>
            <w:pPr>
              <w:jc w:val="center"/>
            </w:pPr>
            <w:r>
              <w:rPr>
                <w:color w:val="111111"/>
                <w:sz w:val="22"/>
              </w:rPr>
              <w:t>Semester</w:t>
            </w:r>
          </w:p>
        </w:tc>
        <w:tc>
          <w:tcPr>
            <w:tcW w:type="dxa" w:w="4514"/>
            <w:shd w:fill="E2EFDA" w:val="clear" w:color="auto"/>
            <w:tcMar>
              <w:top w:w="35" w:type="dxa"/>
              <w:left w:w="80" w:type="dxa"/>
              <w:bottom w:w="35" w:type="dxa"/>
              <w:right w:w="80" w:type="dxa"/>
            </w:tcMar>
            <w:vAlign w:val="center"/>
          </w:tcPr>
          <w:p>
            <w:r>
              <w:rPr>
                <w:color w:val="111111"/>
                <w:sz w:val="22"/>
              </w:rPr>
              <w:t>Second Semester</w:t>
            </w:r>
          </w:p>
        </w:tc>
      </w:tr>
      <w:tr>
        <w:tc>
          <w:tcPr>
            <w:tcW w:type="dxa" w:w="4514"/>
            <w:tcMar>
              <w:top w:w="35" w:type="dxa"/>
              <w:left w:w="80" w:type="dxa"/>
              <w:bottom w:w="35" w:type="dxa"/>
              <w:right w:w="80" w:type="dxa"/>
            </w:tcMar>
            <w:vAlign w:val="center"/>
          </w:tcPr>
          <w:p>
            <w:pPr>
              <w:jc w:val="center"/>
            </w:pPr>
            <w:r>
              <w:rPr>
                <w:color w:val="111111"/>
                <w:sz w:val="22"/>
              </w:rPr>
              <w:t>Unit Code</w:t>
            </w:r>
          </w:p>
        </w:tc>
        <w:tc>
          <w:tcPr>
            <w:tcW w:type="dxa" w:w="4514"/>
            <w:shd w:fill="E2EFDA" w:val="clear" w:color="auto"/>
            <w:tcMar>
              <w:top w:w="35" w:type="dxa"/>
              <w:left w:w="80" w:type="dxa"/>
              <w:bottom w:w="35" w:type="dxa"/>
              <w:right w:w="80" w:type="dxa"/>
            </w:tcMar>
            <w:vAlign w:val="center"/>
          </w:tcPr>
          <w:p>
            <w:r>
              <w:rPr>
                <w:color w:val="111111"/>
                <w:sz w:val="22"/>
              </w:rPr>
              <w:t>ENS6160</w:t>
            </w:r>
          </w:p>
        </w:tc>
      </w:tr>
      <w:tr>
        <w:tc>
          <w:tcPr>
            <w:tcW w:type="dxa" w:w="4514"/>
            <w:tcMar>
              <w:top w:w="35" w:type="dxa"/>
              <w:left w:w="80" w:type="dxa"/>
              <w:bottom w:w="35" w:type="dxa"/>
              <w:right w:w="80" w:type="dxa"/>
            </w:tcMar>
            <w:vAlign w:val="center"/>
          </w:tcPr>
          <w:p>
            <w:pPr>
              <w:jc w:val="center"/>
            </w:pPr>
            <w:r>
              <w:rPr>
                <w:color w:val="111111"/>
                <w:sz w:val="22"/>
              </w:rPr>
              <w:t>Unit Name</w:t>
            </w:r>
          </w:p>
        </w:tc>
        <w:tc>
          <w:tcPr>
            <w:tcW w:type="dxa" w:w="4514"/>
            <w:shd w:fill="E2EFDA" w:val="clear" w:color="auto"/>
            <w:tcMar>
              <w:top w:w="35" w:type="dxa"/>
              <w:left w:w="80" w:type="dxa"/>
              <w:bottom w:w="35" w:type="dxa"/>
              <w:right w:w="80" w:type="dxa"/>
            </w:tcMar>
            <w:vAlign w:val="center"/>
          </w:tcPr>
          <w:p>
            <w:r>
              <w:rPr>
                <w:color w:val="111111"/>
                <w:sz w:val="22"/>
              </w:rPr>
              <w:t>Signals and Systems</w:t>
            </w:r>
          </w:p>
        </w:tc>
      </w:tr>
      <w:tr>
        <w:tc>
          <w:tcPr>
            <w:tcW w:type="dxa" w:w="4514"/>
            <w:tcMar>
              <w:top w:w="35" w:type="dxa"/>
              <w:left w:w="80" w:type="dxa"/>
              <w:bottom w:w="35" w:type="dxa"/>
              <w:right w:w="80" w:type="dxa"/>
            </w:tcMar>
            <w:vAlign w:val="center"/>
          </w:tcPr>
          <w:p>
            <w:pPr>
              <w:jc w:val="center"/>
            </w:pPr>
            <w:r>
              <w:rPr>
                <w:color w:val="111111"/>
                <w:sz w:val="22"/>
              </w:rPr>
              <w:t>Assessment title</w:t>
            </w:r>
          </w:p>
        </w:tc>
        <w:tc>
          <w:tcPr>
            <w:tcW w:type="dxa" w:w="4514"/>
            <w:shd w:fill="E2EFDA" w:val="clear" w:color="auto"/>
            <w:tcMar>
              <w:top w:w="35" w:type="dxa"/>
              <w:left w:w="80" w:type="dxa"/>
              <w:bottom w:w="35" w:type="dxa"/>
              <w:right w:w="80" w:type="dxa"/>
            </w:tcMar>
            <w:vAlign w:val="center"/>
          </w:tcPr>
          <w:p>
            <w:r>
              <w:rPr>
                <w:color w:val="111111"/>
                <w:sz w:val="22"/>
              </w:rPr>
              <w:t>Laboratory 3 — Sampling, Windowing and Spectral Analysis of Signals</w:t>
            </w:r>
          </w:p>
        </w:tc>
      </w:tr>
    </w:tbl>
    <w:p>
      <w:pPr>
        <w:spacing w:before="180" w:after="60"/>
      </w:pPr>
      <w:r>
        <w:rPr>
          <w:b/>
          <w:sz w:val="26"/>
        </w:rPr>
        <w:t>Group work – what is it?</w:t>
      </w:r>
    </w:p>
    <w:p>
      <w:pPr>
        <w:spacing w:after="120"/>
        <w:jc w:val="both"/>
        <w:jc w:val="both"/>
      </w:pPr>
      <w:r>
        <w:rPr>
          <w:sz w:val="22"/>
        </w:rPr>
        <w:t>The ability to effectively engage group (team) work is an essential skill that is built into the Unit and Course Learning Outcomes as well as assessment in many teaching units. Group work does not just entail multiple members of team working on distinct (separate) parts of an overall submission and then combining those individual parts into a single submission. Group work means a team collaborates over time on all aspects of a submission; they collectively construct and validate all parts of the work such that each member is knowledgeable, understands and can explain the various parts. Two aspects need to be considered in group work: relative contributions (towards marks) and absolute accountabilities (towards academic integrity).</w:t>
      </w:r>
    </w:p>
    <w:p>
      <w:pPr>
        <w:spacing w:before="180" w:after="60"/>
      </w:pPr>
      <w:r>
        <w:rPr>
          <w:b/>
          <w:sz w:val="26"/>
        </w:rPr>
        <w:t>Group work – relative contributions*</w:t>
      </w:r>
    </w:p>
    <w:p>
      <w:pPr>
        <w:spacing w:after="120"/>
        <w:jc w:val="both"/>
        <w:jc w:val="both"/>
      </w:pPr>
      <w:r>
        <w:rPr>
          <w:sz w:val="22"/>
        </w:rPr>
        <w:t xml:space="preserve">Group work contributions may be equally shared or differ between group members. In general, any group member contributing less than 10% to the overall submission should not be listed (will get a mark of zero). Where different group members have contributed (above 10% in a submission) but to varied extents, the table below can be used to acknowledge those contributions. If all have contributed equally, you can simply write “equally” against each name in the </w:t>
      </w:r>
      <w:r>
        <w:rPr>
          <w:b/>
          <w:sz w:val="22"/>
        </w:rPr>
        <w:t>“Relative Contributions”</w:t>
      </w:r>
      <w:r>
        <w:rPr>
          <w:sz w:val="22"/>
        </w:rPr>
        <w:t xml:space="preserve"> column. The contributions are considered in allocating marks. Where group members have not met the 10% threshold, the group should discuss and document in the table. *If a group member contributed less than 10% they are not listed and receive zero.</w:t>
      </w:r>
    </w:p>
    <w:p>
      <w:pPr>
        <w:spacing w:before="180" w:after="60"/>
      </w:pPr>
      <w:r>
        <w:rPr>
          <w:b/>
          <w:sz w:val="26"/>
        </w:rPr>
        <w:t>Group work – absolute accountabilities</w:t>
      </w:r>
    </w:p>
    <w:p>
      <w:pPr>
        <w:spacing w:after="120"/>
        <w:jc w:val="both"/>
        <w:jc w:val="both"/>
      </w:pPr>
      <w:r>
        <w:rPr>
          <w:sz w:val="22"/>
        </w:rPr>
        <w:t>All group members regardless of their relative contributions to a submission are accountable for the accuracy, completeness and (academic) integrity of the entire submission (not just their listed parts). This means that academic misconduct (including plagiarism, collusion or contract cheating) in any part of the submission affects the whole group. ECU monitors group work via:</w:t>
      </w:r>
    </w:p>
    <w:p>
      <w:pPr>
        <w:pStyle w:val="ListParagraph"/>
        <w:spacing w:after="40"/>
        <w:ind w:left="720"/>
      </w:pPr>
      <w:r>
        <w:rPr>
          <w:sz w:val="22"/>
        </w:rPr>
        <w:t>•   group members that are not able to fully explain their contributions</w:t>
      </w:r>
    </w:p>
    <w:p>
      <w:pPr>
        <w:pStyle w:val="ListParagraph"/>
        <w:spacing w:after="40"/>
        <w:ind w:left="720"/>
      </w:pPr>
      <w:r>
        <w:rPr>
          <w:sz w:val="22"/>
        </w:rPr>
        <w:t>•   group members that do not continually engage the rest of the group in constructing the overall submission but they produce a (near complete) contribution at the end</w:t>
      </w:r>
    </w:p>
    <w:p>
      <w:pPr>
        <w:pStyle w:val="ListParagraph"/>
        <w:spacing w:after="40"/>
        <w:ind w:left="720"/>
      </w:pPr>
      <w:r>
        <w:rPr>
          <w:sz w:val="22"/>
        </w:rPr>
        <w:t>•   TurnItin reports that show similarity to parts of the submission, either arising out of copying, contract cheating or lack of paraphrasing.</w:t>
      </w:r>
    </w:p>
    <w:p>
      <w:pPr>
        <w:pStyle w:val="ListParagraph"/>
        <w:spacing w:after="40"/>
        <w:ind w:left="720"/>
      </w:pPr>
      <w:r>
        <w:rPr>
          <w:sz w:val="22"/>
        </w:rPr>
        <w:t>•   overly broad writing lacking in assessment context, or in a different style to previous work by the group member, and/or fabricated references which may indicate unacknowledged use of AI or other external assistance.</w:t>
      </w:r>
    </w:p>
    <w:p>
      <w:pPr>
        <w:spacing w:after="120"/>
        <w:jc w:val="both"/>
        <w:jc w:val="both"/>
      </w:pPr>
      <w:r>
        <w:rPr>
          <w:color w:val="2F5496"/>
          <w:sz w:val="20"/>
          <w:u w:val="single"/>
        </w:rPr>
        <w:t>More information on academic integrity can be found here: https://intranet.ecu.edu.au/student/my-studies/academic-integrity</w:t>
      </w:r>
    </w:p>
    <w:p>
      <w:pPr>
        <w:spacing w:before="160" w:after="80"/>
      </w:pPr>
      <w:r>
        <w:rPr>
          <w:b/>
          <w:color w:val="000000"/>
          <w:sz w:val="22"/>
        </w:rPr>
        <w:t>Relative contributions in completing this assessment</w:t>
      </w:r>
    </w:p>
    <w:tbl>
      <w:tblPr>
        <w:tblW w:type="auto" w:w="0"/>
        <w:jc w:val="center"/>
        <w:tblLayout w:type="fixed"/>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880"/>
        <w:gridCol w:w="1872"/>
        <w:gridCol w:w="2592"/>
        <w:gridCol w:w="2016"/>
      </w:tblGrid>
      <w:tr>
        <w:tc>
          <w:tcPr>
            <w:tcW w:type="dxa" w:w="2257"/>
            <w:shd w:fill="D9E1F2" w:val="clear" w:color="auto"/>
          </w:tcPr>
          <w:p>
            <w:pPr>
              <w:jc w:val="center"/>
            </w:pPr>
            <w:r>
              <w:rPr>
                <w:b/>
                <w:color w:val="111111"/>
                <w:sz w:val="18"/>
              </w:rPr>
              <w:t>Student Name</w:t>
            </w:r>
          </w:p>
        </w:tc>
        <w:tc>
          <w:tcPr>
            <w:tcW w:type="dxa" w:w="2257"/>
            <w:shd w:fill="D9E1F2" w:val="clear" w:color="auto"/>
          </w:tcPr>
          <w:p>
            <w:pPr>
              <w:jc w:val="center"/>
            </w:pPr>
            <w:r>
              <w:rPr>
                <w:b/>
                <w:color w:val="111111"/>
                <w:sz w:val="18"/>
              </w:rPr>
              <w:t>Student Number</w:t>
            </w:r>
          </w:p>
        </w:tc>
        <w:tc>
          <w:tcPr>
            <w:tcW w:type="dxa" w:w="2257"/>
            <w:shd w:fill="D9E1F2" w:val="clear" w:color="auto"/>
          </w:tcPr>
          <w:p>
            <w:pPr>
              <w:jc w:val="center"/>
            </w:pPr>
            <w:r>
              <w:rPr>
                <w:b/>
                <w:color w:val="111111"/>
                <w:sz w:val="18"/>
              </w:rPr>
              <w:t>Relative Contribution* (individual “%” or “equal”)</w:t>
            </w:r>
          </w:p>
        </w:tc>
        <w:tc>
          <w:tcPr>
            <w:tcW w:type="dxa" w:w="2257"/>
            <w:shd w:fill="D9E1F2" w:val="clear" w:color="auto"/>
          </w:tcPr>
          <w:p>
            <w:pPr>
              <w:jc w:val="center"/>
            </w:pPr>
            <w:r>
              <w:rPr>
                <w:b/>
                <w:color w:val="111111"/>
                <w:sz w:val="18"/>
              </w:rPr>
              <w:t>Signature</w:t>
            </w:r>
          </w:p>
        </w:tc>
      </w:tr>
      <w:tr>
        <w:tc>
          <w:tcPr>
            <w:tcW w:type="dxa" w:w="2257"/>
          </w:tcPr>
          <w:p>
            <w:pPr>
              <w:jc w:val="center"/>
            </w:pPr>
            <w:r>
              <w:rPr>
                <w:sz w:val="20"/>
              </w:rPr>
              <w:t>AMITHA SANTHOSH</w:t>
            </w:r>
          </w:p>
        </w:tc>
        <w:tc>
          <w:tcPr>
            <w:tcW w:type="dxa" w:w="2257"/>
          </w:tcPr>
          <w:p>
            <w:pPr>
              <w:jc w:val="center"/>
            </w:pPr>
            <w:r>
              <w:rPr>
                <w:sz w:val="20"/>
              </w:rPr>
              <w:t>10734344</w:t>
            </w:r>
          </w:p>
        </w:tc>
        <w:tc>
          <w:tcPr>
            <w:tcW w:type="dxa" w:w="2257"/>
          </w:tcPr>
          <w:p>
            <w:pPr>
              <w:jc w:val="center"/>
            </w:pPr>
            <w:r>
              <w:rPr>
                <w:b/>
                <w:sz w:val="20"/>
              </w:rPr>
              <w:t>EQUAL</w:t>
            </w:r>
          </w:p>
        </w:tc>
        <w:tc>
          <w:tcPr>
            <w:tcW w:type="dxa" w:w="2257"/>
          </w:tcPr>
          <w:p>
            <w:pPr>
              <w:jc w:val="center"/>
            </w:pPr>
            <w:r>
              <w:rPr>
                <w:sz w:val="20"/>
              </w:rPr>
            </w:r>
          </w:p>
        </w:tc>
      </w:tr>
      <w:tr>
        <w:tc>
          <w:tcPr>
            <w:tcW w:type="dxa" w:w="2257"/>
          </w:tcPr>
          <w:p>
            <w:pPr>
              <w:jc w:val="center"/>
            </w:pPr>
            <w:r>
              <w:rPr>
                <w:sz w:val="20"/>
              </w:rPr>
              <w:t>ANANDHU KAITHAVALAPPIL BINOD</w:t>
            </w:r>
          </w:p>
        </w:tc>
        <w:tc>
          <w:tcPr>
            <w:tcW w:type="dxa" w:w="2257"/>
          </w:tcPr>
          <w:p>
            <w:pPr>
              <w:jc w:val="center"/>
            </w:pPr>
            <w:r>
              <w:rPr>
                <w:sz w:val="20"/>
              </w:rPr>
              <w:t>10730544</w:t>
            </w:r>
          </w:p>
        </w:tc>
        <w:tc>
          <w:tcPr>
            <w:tcW w:type="dxa" w:w="2257"/>
          </w:tcPr>
          <w:p>
            <w:pPr>
              <w:jc w:val="center"/>
            </w:pPr>
            <w:r>
              <w:rPr>
                <w:b/>
                <w:sz w:val="20"/>
              </w:rPr>
              <w:t>EQUAL</w:t>
            </w:r>
          </w:p>
        </w:tc>
        <w:tc>
          <w:tcPr>
            <w:tcW w:type="dxa" w:w="2257"/>
          </w:tcPr>
          <w:p>
            <w:pPr>
              <w:jc w:val="center"/>
            </w:pPr>
            <w:r>
              <w:rPr>
                <w:sz w:val="20"/>
              </w:rPr>
            </w:r>
          </w:p>
        </w:tc>
      </w:tr>
    </w:tbl>
    <w:p>
      <w:pPr>
        <w:spacing w:before="80"/>
      </w:pPr>
      <w:r>
        <w:rPr>
          <w:i/>
          <w:color w:val="5A5A5A"/>
          <w:sz w:val="16"/>
        </w:rPr>
        <w:t>Note: *If equal, write “equal”. Signatures may be typed; submission of this declaration constitutes confirmation.</w:t>
      </w:r>
    </w:p>
    <w:p>
      <w:r>
        <w:br w:type="page"/>
      </w:r>
    </w:p>
    <w:p>
      <w:pPr>
        <w:spacing w:after="80"/>
        <w:jc w:val="center"/>
      </w:pPr>
      <w:r>
        <w:rPr>
          <w:b/>
          <w:color w:val="000000"/>
          <w:sz w:val="20"/>
        </w:rPr>
        <w:t>Edith Cowan University</w:t>
      </w:r>
    </w:p>
    <w:p>
      <w:pPr>
        <w:spacing w:after="120"/>
        <w:jc w:val="center"/>
      </w:pPr>
      <w:r>
        <w:rPr>
          <w:b/>
          <w:color w:val="000000"/>
          <w:sz w:val="20"/>
        </w:rPr>
        <w:t>School of Engineering</w:t>
      </w:r>
    </w:p>
    <w:p>
      <w:pPr>
        <w:spacing w:after="80"/>
        <w:jc w:val="center"/>
      </w:pPr>
      <w:r>
        <w:rPr>
          <w:b/>
          <w:color w:val="000000"/>
          <w:sz w:val="16"/>
        </w:rPr>
        <w:t>ENS6160 Signals and Systems</w:t>
      </w:r>
    </w:p>
    <w:p>
      <w:pPr>
        <w:spacing w:after="160"/>
        <w:jc w:val="center"/>
      </w:pPr>
      <w:r>
        <w:rPr>
          <w:b/>
          <w:color w:val="000000"/>
          <w:sz w:val="18"/>
        </w:rPr>
        <w:t>Laboratory Report 3</w:t>
      </w:r>
    </w:p>
    <w:p>
      <w:pPr>
        <w:spacing w:after="240"/>
        <w:jc w:val="center"/>
      </w:pPr>
      <w:r>
        <w:rPr>
          <w:b w:val="0"/>
          <w:color w:val="000000"/>
          <w:sz w:val="28"/>
        </w:rPr>
        <w:t>Sampling, Windowing and Spectral Analysis of Signals</w:t>
      </w:r>
    </w:p>
    <w:p>
      <w:pPr>
        <w:spacing w:after="240"/>
      </w:pPr>
      <w:r>
        <w:rPr>
          <w:sz w:val="16"/>
        </w:rPr>
      </w:r>
    </w:p>
    <w:p>
      <w:pPr>
        <w:spacing w:after="240"/>
      </w:pPr>
      <w:r>
        <w:rPr>
          <w:sz w:val="16"/>
        </w:rPr>
      </w:r>
    </w:p>
    <w:p>
      <w:pPr>
        <w:spacing w:after="240"/>
      </w:pPr>
      <w:r>
        <w:rPr>
          <w:sz w:val="16"/>
        </w:rPr>
      </w:r>
    </w:p>
    <w:p>
      <w:pPr>
        <w:spacing w:after="240"/>
      </w:pPr>
      <w:r>
        <w:rPr>
          <w:sz w:val="16"/>
        </w:rPr>
      </w:r>
    </w:p>
    <w:p>
      <w:pPr>
        <w:pStyle w:val="Heading1"/>
      </w:pPr>
      <w:r/>
      <w:r>
        <w:rPr>
          <w:b/>
          <w:color w:val="2F5496"/>
          <w:sz w:val="40"/>
        </w:rPr>
        <w:t>Abstract</w:t>
      </w:r>
    </w:p>
    <w:p>
      <w:pPr>
        <w:spacing w:after="160" w:before="0"/>
        <w:jc w:val="both"/>
        <w:jc w:val="both"/>
      </w:pPr>
      <w:r>
        <w:rPr>
          <w:b w:val="0"/>
          <w:i w:val="0"/>
        </w:rPr>
        <w:t>Linear time-invariant systems and analogue-to-digital conversion depend on faithful sampling and on windowing to control spectral leakage. A 500 Hz cosine y(t)=10 cos(1000πt) was synthesised with cosgen2 at f_s = 10 kHz, 1 kHz, 800 Hz and 500 Hz (t_0 = −5 ms, duration 15 ms) and the DFT of a truncated sinusoid was studied with prelab3.m for N = 64, 128, 256 and L = 30 vs 60 samples. On a Keysight DSOX4024G oscilloscope the FFT of a 50 kHz sine (and 50% duty square wave) was captured across Hanning and Rectangular windows with 2, 10 and 50 cycles in the gate (Span 500 kHz, Centre 250 kHz, 5 dB/div).</w:t>
      </w:r>
    </w:p>
    <w:p>
      <w:pPr>
        <w:spacing w:after="160" w:before="0"/>
        <w:jc w:val="both"/>
        <w:jc w:val="both"/>
      </w:pPr>
      <w:r>
        <w:rPr>
          <w:b w:val="0"/>
          <w:i w:val="0"/>
        </w:rPr>
        <w:t>Results validate the Shannon-Nyquist criterion: at 10 kHz (20 samples/period, f_s/Nyq=10) the waveform reconstructs cleanly; at 1 kHz (critical, 2 samples/period) it aliases to an alternating ±10 V triangle; at 800 Hz and 500 Hz it folds to 300 Hz and 0 Hz (DC, −10 V). DFT leakage is evident for the short record; increasing N smooths spectral interpolation but does not improve resolution, whereas doubling L to 60 halves main-lobe width and raises peak magnitude from 13.8 to 22.9 (N=64). In the gated FFT, longer gates improve bin size from 9.54 kHz (2 cycles) to 2.38 kHz (10 cycles) to 477 Hz (50 cycles), sharpening the tone; Rectangular gives a narrower main lobe with −13 dB sidelobes versus Hanning’s wider lobe and −32 dB sidelobes. The square wave exhibits odd-harmonic decay (50, 150, 250 kHz). The experiment demonstrates that adequate sampling and window choice are essential for reliable spectral analysis.</w:t>
      </w:r>
    </w:p>
    <w:p>
      <w:r>
        <w:rPr>
          <w:b/>
          <w:sz w:val="18"/>
        </w:rPr>
        <w:t xml:space="preserve">Keywords: </w:t>
      </w:r>
      <w:r>
        <w:rPr>
          <w:i/>
          <w:color w:val="5A5A5A"/>
          <w:sz w:val="18"/>
        </w:rPr>
        <w:t>Nyquist rate, aliasing, windowing, spectral leakage, DFT/FFT, spectral resolution, zero-padding, rectangular and Hanning windows.</w:t>
      </w:r>
    </w:p>
    <w:p>
      <w:pPr>
        <w:spacing w:before="240" w:after="120"/>
        <w:jc w:val="center"/>
      </w:pPr>
      <w:r>
        <w:rPr>
          <w:b/>
          <w:color w:val="000000"/>
          <w:sz w:val="28"/>
        </w:rPr>
        <w:t>Table of Contents</w:t>
      </w:r>
    </w:p>
    <w:p>
      <w:pPr>
        <w:spacing w:before="120"/>
      </w:pPr>
      <w:r>
        <w:fldChar w:fldCharType="begin"/>
      </w:r>
      <w:r>
        <w:instrText xml:space="preserve">TOC \o "1-3" \h \z \u</w:instrText>
      </w:r>
      <w:r>
        <w:fldChar w:fldCharType="separate"/>
      </w:r>
      <w:r>
        <w:t>Table of Contents — press Ctrl+A then F9 to update in Word</w:t>
      </w:r>
      <w:r>
        <w:fldChar w:fldCharType="end"/>
      </w:r>
    </w:p>
    <w:p>
      <w:pPr>
        <w:spacing w:before="360" w:after="120"/>
        <w:jc w:val="center"/>
      </w:pPr>
      <w:r>
        <w:rPr>
          <w:b/>
          <w:color w:val="000000"/>
          <w:sz w:val="28"/>
        </w:rPr>
        <w:t>List of Figures</w:t>
      </w:r>
    </w:p>
    <w:p>
      <w:r>
        <w:fldChar w:fldCharType="begin"/>
      </w:r>
      <w:r>
        <w:instrText xml:space="preserve">TOC \c "Figure" \h \z</w:instrText>
      </w:r>
      <w:r>
        <w:fldChar w:fldCharType="separate"/>
      </w:r>
      <w:r>
        <w:t>List of Figures — press Ctrl+A then F9</w:t>
      </w:r>
      <w:r>
        <w:fldChar w:fldCharType="end"/>
      </w:r>
    </w:p>
    <w:p>
      <w:pPr>
        <w:spacing w:before="360" w:after="120"/>
        <w:jc w:val="center"/>
      </w:pPr>
      <w:r>
        <w:rPr>
          <w:b/>
          <w:color w:val="000000"/>
          <w:sz w:val="28"/>
        </w:rPr>
        <w:t>List of Tables</w:t>
      </w:r>
    </w:p>
    <w:p>
      <w:r>
        <w:fldChar w:fldCharType="begin"/>
      </w:r>
      <w:r>
        <w:instrText xml:space="preserve">TOC \c "Table" \h \z</w:instrText>
      </w:r>
      <w:r>
        <w:fldChar w:fldCharType="separate"/>
      </w:r>
      <w:r>
        <w:t>List of Tables — press Ctrl+A then F9</w:t>
      </w:r>
      <w:r>
        <w:fldChar w:fldCharType="end"/>
      </w:r>
    </w:p>
    <w:p>
      <w:pPr>
        <w:pStyle w:val="Heading1"/>
      </w:pPr>
      <w:r/>
      <w:r>
        <w:rPr>
          <w:color w:val="2F5496"/>
        </w:rPr>
        <w:t>1.   Introduction</w:t>
      </w:r>
    </w:p>
    <w:p>
      <w:pPr>
        <w:pStyle w:val="Heading2"/>
      </w:pPr>
      <w:r/>
      <w:r>
        <w:rPr>
          <w:color w:val="2F5496"/>
        </w:rPr>
        <w:t>1.1   Background: sampling and spectrum</w:t>
      </w:r>
    </w:p>
    <w:p>
      <w:pPr>
        <w:spacing w:after="160" w:before="0"/>
        <w:jc w:val="both"/>
        <w:jc w:val="both"/>
      </w:pPr>
      <w:r>
        <w:rPr>
          <w:b w:val="0"/>
          <w:i w:val="0"/>
        </w:rPr>
        <w:t>Continuous-time signals must be discretised for digital processing. Sampling at interval T_s = 1/f_s and reconstruction are governed by the Shannon-Nyquist theorem: a band-limited signal with maximum frequency f_max can be recovered without distortion only if f_s ≥ 2f_max. The minimum rate 2f_max is the Nyquist rate and f_s/2 the Nyquist frequency. Violation causes aliasing — higher frequencies fold into [−f_s/2, f_s/2] according to f_alias = |f − k·f_s|, k = round(f/f_s), then folded to baseband if &gt; f_s/2. Anti-alias filtering and adequate f_s are therefore essential in analogue-to-digital conversion.</w:t>
      </w:r>
    </w:p>
    <w:p>
      <w:pPr>
        <w:spacing w:after="160" w:before="0"/>
        <w:jc w:val="both"/>
        <w:jc w:val="both"/>
      </w:pPr>
      <w:r>
        <w:rPr>
          <w:b w:val="0"/>
          <w:i w:val="0"/>
        </w:rPr>
        <w:t>Frequency-domain analysis uses the Discrete Fourier Transform (DFT), efficiently computed via the Fast Fourier Transform (FFT). The DFT assumes periodic extension; finite observation truncates the signal, equivalent to windowing. Windowing convolves the true spectrum with the window’s spectrum, causing leakage and broadening the main lobe. The Rectangular window (no weighting) offers the narrowest main lobe (≈4π/N) but high sidelobes (−13 dB), while tapered windows such as Hanning sacrifice main-lobe width (≈8π/N) to suppress sidelobes (≈−32 dB), reducing leakage at the cost of resolution. Longer observation (more cycles) improves frequency resolution Δf ≈ 1/T_window.</w:t>
      </w:r>
    </w:p>
    <w:p>
      <w:pPr>
        <w:spacing w:after="160" w:before="0"/>
        <w:jc w:val="both"/>
        <w:jc w:val="both"/>
      </w:pPr>
      <w:r>
        <w:rPr>
          <w:b w:val="0"/>
          <w:i w:val="0"/>
        </w:rPr>
        <w:t>These principles underlie the present laboratory, which links theory (Module 8 — Sampling; Module 10 — DFT/Windowing) to MATLAB simulation and direct measurement.</w:t>
      </w:r>
    </w:p>
    <w:p>
      <w:pPr>
        <w:pStyle w:val="Heading2"/>
      </w:pPr>
      <w:r/>
      <w:r>
        <w:rPr>
          <w:color w:val="2F5496"/>
        </w:rPr>
        <w:t>1.2   Objectives</w:t>
      </w:r>
    </w:p>
    <w:p>
      <w:pPr>
        <w:pStyle w:val="ListParagraph"/>
        <w:spacing w:after="40"/>
      </w:pPr>
      <w:r>
        <w:rPr>
          <w:sz w:val="22"/>
        </w:rPr>
        <w:t>•   Determine Nyquist rate and predict alias frequencies for tones at 500 Hz, 2.5 kHz, 5 kHz and 5.5 kHz sampled at 5 kHz (Q1–Q2).</w:t>
      </w:r>
    </w:p>
    <w:p>
      <w:pPr>
        <w:pStyle w:val="ListParagraph"/>
        <w:spacing w:after="40"/>
      </w:pPr>
      <w:r>
        <w:rPr>
          <w:sz w:val="22"/>
        </w:rPr>
        <w:t>•   Characterise rectangular and Hanning windows in time and frequency, and explain leakage and the MATLAB fft operation (Q3–Q5).</w:t>
      </w:r>
    </w:p>
    <w:p>
      <w:pPr>
        <w:pStyle w:val="ListParagraph"/>
        <w:spacing w:after="40"/>
      </w:pPr>
      <w:r>
        <w:rPr>
          <w:sz w:val="22"/>
        </w:rPr>
        <w:t>•   Investigate DFT leakage and zero-padding using prelab3.m (N = 64, 128, 256, L = 30 and extended L = 60) (Q6–Q7).</w:t>
      </w:r>
    </w:p>
    <w:p>
      <w:pPr>
        <w:pStyle w:val="ListParagraph"/>
        <w:spacing w:after="40"/>
      </w:pPr>
      <w:r>
        <w:rPr>
          <w:sz w:val="22"/>
        </w:rPr>
        <w:t>•   Synthesise y(t)=10 cos(1000πt) with cosgen2 at f_s = 10 kHz, 1 kHz, 800 Hz, 500 Hz and explain the waveform versus f_s (Part A).</w:t>
      </w:r>
    </w:p>
    <w:p>
      <w:pPr>
        <w:pStyle w:val="ListParagraph"/>
        <w:spacing w:after="40"/>
      </w:pPr>
      <w:r>
        <w:rPr>
          <w:sz w:val="22"/>
        </w:rPr>
        <w:t>•   Capture the FFT of a 50 kHz tone and square wave on the DSOX4024G under Hanning vs Rectangular windows and varying gate lengths (2, 10, 50 cycles) and interpret resolution and spectral shape (Part B).</w:t>
      </w:r>
    </w:p>
    <w:p>
      <w:r>
        <w:rPr>
          <w:i/>
          <w:color w:val="555555"/>
          <w:sz w:val="18"/>
        </w:rPr>
        <w:t>Report structure: Method describes equipment and procedure; Results presents theory calculations, MATLAB plots and scope captures; Discussion synthesises insights; Conclusion summarises findings against objectives. The marking scheme (Abstract 5%, Introduction 10%, Method 20%, Results 20%, Discussion 20%, Conclusion 5%, Written/Referencing 15%/5%) is followed.</w:t>
      </w:r>
    </w:p>
    <w:p>
      <w:pPr>
        <w:pStyle w:val="Heading1"/>
      </w:pPr>
      <w:r/>
      <w:r>
        <w:rPr>
          <w:color w:val="2F5496"/>
        </w:rPr>
        <w:t>2.   Method</w:t>
      </w:r>
    </w:p>
    <w:p>
      <w:pPr>
        <w:pStyle w:val="Heading2"/>
      </w:pPr>
      <w:r/>
      <w:r>
        <w:rPr>
          <w:color w:val="2F5496"/>
        </w:rPr>
        <w:t>2.1   Equipment and components</w:t>
      </w:r>
    </w:p>
    <w:p>
      <w:pPr>
        <w:pStyle w:val="Caption"/>
        <w:spacing w:before="160" w:after="80"/>
        <w:jc w:val="center"/>
      </w:pPr>
      <w:r>
        <w:rPr>
          <w:i/>
          <w:color w:val="44546A"/>
          <w:sz w:val="18"/>
        </w:rPr>
        <w:t>Table 1.  Equipment and oscilloscope FFT settings (per instruction sheet p.3).</w:t>
      </w:r>
    </w:p>
    <w:tbl>
      <w:tblPr>
        <w:tblStyle w:val="LightGrid-Accent1"/>
        <w:tblW w:type="auto" w:w="0"/>
        <w:jc w:val="center"/>
        <w:tblLayout w:type="fixed"/>
        <w:tblLook w:firstColumn="1" w:firstRow="1" w:lastColumn="0" w:lastRow="0" w:noHBand="0" w:noVBand="1" w:val="04A0"/>
      </w:tblPr>
      <w:tblGrid>
        <w:gridCol w:w="2592"/>
        <w:gridCol w:w="7200"/>
      </w:tblGrid>
      <w:tr>
        <w:tc>
          <w:tcPr>
            <w:tcW w:type="dxa" w:w="4514"/>
            <w:shd w:fill="2F5496" w:val="clear" w:color="auto"/>
            <w:vAlign w:val="center"/>
          </w:tcPr>
          <w:p>
            <w:pPr>
              <w:jc w:val="center"/>
            </w:pPr>
            <w:r>
              <w:rPr>
                <w:b/>
                <w:color w:val="FFFFFF"/>
                <w:sz w:val="18"/>
              </w:rPr>
              <w:t>Item</w:t>
            </w:r>
          </w:p>
        </w:tc>
        <w:tc>
          <w:tcPr>
            <w:tcW w:type="dxa" w:w="4514"/>
            <w:shd w:fill="2F5496" w:val="clear" w:color="auto"/>
            <w:vAlign w:val="center"/>
          </w:tcPr>
          <w:p>
            <w:pPr>
              <w:jc w:val="center"/>
            </w:pPr>
            <w:r>
              <w:rPr>
                <w:b/>
                <w:color w:val="FFFFFF"/>
                <w:sz w:val="18"/>
              </w:rPr>
              <w:t>Specification / Setting</w:t>
            </w:r>
          </w:p>
        </w:tc>
      </w:tr>
      <w:tr>
        <w:tc>
          <w:tcPr>
            <w:tcW w:type="dxa" w:w="4514"/>
            <w:vAlign w:val="center"/>
          </w:tcPr>
          <w:p>
            <w:pPr>
              <w:jc w:val="center"/>
            </w:pPr>
            <w:r>
              <w:rPr>
                <w:sz w:val="18"/>
              </w:rPr>
              <w:t>PC &amp; software</w:t>
            </w:r>
          </w:p>
        </w:tc>
        <w:tc>
          <w:tcPr>
            <w:tcW w:type="dxa" w:w="4514"/>
            <w:vAlign w:val="center"/>
          </w:tcPr>
          <w:p>
            <w:pPr>
              <w:jc w:val="center"/>
            </w:pPr>
            <w:r>
              <w:rPr>
                <w:sz w:val="18"/>
              </w:rPr>
              <w:t>MATLAB (cosgen2.m, prelab3.m); plot(tt,xx)</w:t>
            </w:r>
          </w:p>
        </w:tc>
      </w:tr>
      <w:tr>
        <w:tc>
          <w:tcPr>
            <w:tcW w:type="dxa" w:w="4514"/>
            <w:vAlign w:val="center"/>
            <w:shd w:fill="F2F6FB" w:val="clear" w:color="auto"/>
          </w:tcPr>
          <w:p>
            <w:pPr>
              <w:jc w:val="center"/>
            </w:pPr>
            <w:r>
              <w:rPr>
                <w:sz w:val="18"/>
              </w:rPr>
              <w:t>Function generator</w:t>
            </w:r>
          </w:p>
        </w:tc>
        <w:tc>
          <w:tcPr>
            <w:tcW w:type="dxa" w:w="4514"/>
            <w:vAlign w:val="center"/>
            <w:shd w:fill="F2F6FB" w:val="clear" w:color="auto"/>
          </w:tcPr>
          <w:p>
            <w:pPr>
              <w:jc w:val="center"/>
            </w:pPr>
            <w:r>
              <w:rPr>
                <w:sz w:val="18"/>
              </w:rPr>
              <w:t>Agilent 33220A; 50 kHz sine, nominal 2.0 V amplitude*</w:t>
            </w:r>
          </w:p>
        </w:tc>
      </w:tr>
      <w:tr>
        <w:tc>
          <w:tcPr>
            <w:tcW w:type="dxa" w:w="4514"/>
            <w:vAlign w:val="center"/>
          </w:tcPr>
          <w:p>
            <w:pPr>
              <w:jc w:val="center"/>
            </w:pPr>
            <w:r>
              <w:rPr>
                <w:sz w:val="18"/>
              </w:rPr>
              <w:t>Oscilloscope</w:t>
            </w:r>
          </w:p>
        </w:tc>
        <w:tc>
          <w:tcPr>
            <w:tcW w:type="dxa" w:w="4514"/>
            <w:vAlign w:val="center"/>
          </w:tcPr>
          <w:p>
            <w:pPr>
              <w:jc w:val="center"/>
            </w:pPr>
            <w:r>
              <w:rPr>
                <w:sz w:val="18"/>
              </w:rPr>
              <w:t>Keysight InfiniiVision DSOX4024G, 200 MHz, 5 GSa/s (sheet lists DSO-X 3024A)</w:t>
            </w:r>
          </w:p>
        </w:tc>
      </w:tr>
      <w:tr>
        <w:tc>
          <w:tcPr>
            <w:tcW w:type="dxa" w:w="4514"/>
            <w:vAlign w:val="center"/>
            <w:shd w:fill="F2F6FB" w:val="clear" w:color="auto"/>
          </w:tcPr>
          <w:p>
            <w:pPr>
              <w:jc w:val="center"/>
            </w:pPr>
            <w:r>
              <w:rPr>
                <w:sz w:val="18"/>
              </w:rPr>
              <w:t>Channel 1</w:t>
            </w:r>
          </w:p>
        </w:tc>
        <w:tc>
          <w:tcPr>
            <w:tcW w:type="dxa" w:w="4514"/>
            <w:vAlign w:val="center"/>
            <w:shd w:fill="F2F6FB" w:val="clear" w:color="auto"/>
          </w:tcPr>
          <w:p>
            <w:pPr>
              <w:jc w:val="center"/>
            </w:pPr>
            <w:r>
              <w:rPr>
                <w:sz w:val="18"/>
              </w:rPr>
              <w:t>2.00 V/div, 0.0 V offset</w:t>
            </w:r>
          </w:p>
        </w:tc>
      </w:tr>
      <w:tr>
        <w:tc>
          <w:tcPr>
            <w:tcW w:type="dxa" w:w="4514"/>
            <w:vAlign w:val="center"/>
          </w:tcPr>
          <w:p>
            <w:pPr>
              <w:jc w:val="center"/>
            </w:pPr>
            <w:r>
              <w:rPr>
                <w:sz w:val="18"/>
              </w:rPr>
              <w:t>Timebase</w:t>
            </w:r>
          </w:p>
        </w:tc>
        <w:tc>
          <w:tcPr>
            <w:tcW w:type="dxa" w:w="4514"/>
            <w:vAlign w:val="center"/>
          </w:tcPr>
          <w:p>
            <w:pPr>
              <w:jc w:val="center"/>
            </w:pPr>
            <w:r>
              <w:rPr>
                <w:sz w:val="18"/>
              </w:rPr>
              <w:t>4.00 µs/div (2 cyc), 20.0 µs/div (10 cyc), 100 µs/div (50 cyc); 10 divisions</w:t>
            </w:r>
          </w:p>
        </w:tc>
      </w:tr>
      <w:tr>
        <w:tc>
          <w:tcPr>
            <w:tcW w:type="dxa" w:w="4514"/>
            <w:vAlign w:val="center"/>
            <w:shd w:fill="F2F6FB" w:val="clear" w:color="auto"/>
          </w:tcPr>
          <w:p>
            <w:pPr>
              <w:jc w:val="center"/>
            </w:pPr>
            <w:r>
              <w:rPr>
                <w:sz w:val="18"/>
              </w:rPr>
              <w:t>FFT (Math)</w:t>
            </w:r>
          </w:p>
        </w:tc>
        <w:tc>
          <w:tcPr>
            <w:tcW w:type="dxa" w:w="4514"/>
            <w:vAlign w:val="center"/>
            <w:shd w:fill="F2F6FB" w:val="clear" w:color="auto"/>
          </w:tcPr>
          <w:p>
            <w:pPr>
              <w:jc w:val="center"/>
            </w:pPr>
            <w:r>
              <w:rPr>
                <w:sz w:val="18"/>
              </w:rPr>
              <w:t>M1 = FFT(Ch1), Span 500 kHz, Centre 250 kHz, Scale 5.00 dB/div, Offset 0.0 dBV, Log, Gating None, 640 pts/span</w:t>
            </w:r>
          </w:p>
        </w:tc>
      </w:tr>
      <w:tr>
        <w:tc>
          <w:tcPr>
            <w:tcW w:type="dxa" w:w="4514"/>
            <w:vAlign w:val="center"/>
          </w:tcPr>
          <w:p>
            <w:pPr>
              <w:jc w:val="center"/>
            </w:pPr>
            <w:r>
              <w:rPr>
                <w:sz w:val="18"/>
              </w:rPr>
              <w:t>Recorded</w:t>
            </w:r>
          </w:p>
        </w:tc>
        <w:tc>
          <w:tcPr>
            <w:tcW w:type="dxa" w:w="4514"/>
            <w:vAlign w:val="center"/>
          </w:tcPr>
          <w:p>
            <w:pPr>
              <w:jc w:val="center"/>
            </w:pPr>
            <w:r>
              <w:rPr>
                <w:sz w:val="18"/>
              </w:rPr>
              <w:t>FFT Resolution = Bin Size (bottom-right readout)</w:t>
            </w:r>
          </w:p>
        </w:tc>
      </w:tr>
    </w:tbl>
    <w:p>
      <w:pPr>
        <w:spacing w:after="40"/>
      </w:pPr>
    </w:p>
    <w:p>
      <w:pPr>
        <w:spacing w:after="160" w:before="0"/>
        <w:jc w:val="both"/>
        <w:jc w:val="both"/>
      </w:pPr>
      <w:r>
        <w:rPr>
          <w:b w:val="0"/>
          <w:i/>
          <w:color w:val="6E6E6E"/>
          <w:sz w:val="16"/>
        </w:rPr>
        <w:t>*Measured Pk-Pk was 6.03 V (sine) and 4.95 V (square); the 2.0 V nominal was the generator setting. Discrepancy is noted as a limitation (impedance/termination not logged).</w:t>
      </w:r>
    </w:p>
    <w:p>
      <w:pPr>
        <w:pStyle w:val="Heading2"/>
      </w:pPr>
      <w:r/>
      <w:r>
        <w:rPr>
          <w:color w:val="2F5496"/>
        </w:rPr>
        <w:t>2.2   Circuit configuration and signal definition</w:t>
      </w:r>
    </w:p>
    <w:p>
      <w:pPr>
        <w:spacing w:after="160" w:before="0"/>
        <w:jc w:val="both"/>
        <w:jc w:val="both"/>
      </w:pPr>
      <w:r>
        <w:rPr>
          <w:b w:val="0"/>
          <w:i w:val="0"/>
        </w:rPr>
        <w:t>The test signal was y(t)=10 cos(1000πt). By cos(2πft), f = 500 Hz, period T_0 = 2 ms, Nyquist rate = 1 kHz. Synthesis used:</w:t>
      </w:r>
    </w:p>
    <w:p>
      <w:pPr>
        <w:spacing w:before="80" w:after="80"/>
        <w:jc w:val="center"/>
      </w:pPr>
      <w:r>
        <w:rPr>
          <w:rFonts w:ascii="Consolas" w:hAnsi="Consolas"/>
          <w:b/>
          <w:color w:val="2F5496"/>
          <w:sz w:val="18"/>
        </w:rPr>
        <w:t>[xx, tt] = cosgen2(A, f, phi, t_start, dur, fs);  plot(tt, xx)</w:t>
      </w:r>
    </w:p>
    <w:p>
      <w:pPr>
        <w:spacing w:after="160" w:before="0"/>
        <w:jc w:val="both"/>
        <w:jc w:val="both"/>
      </w:pPr>
      <w:r>
        <w:rPr>
          <w:b w:val="0"/>
          <w:i w:val="0"/>
          <w:sz w:val="22"/>
        </w:rPr>
        <w:t>where cosgen2 implements tt = t_start:1/fs:t_start+dur and xx = A·cos(2πf·tt + phi·π/180). Parameters: A=10, f=500 Hz, phi=0°, t_start=−5×10⁻³ s, dur=15×10⁻³ s. The sampling frequency f_s was stepped to 10 kHz, 1 kHz, 800 Hz and 500 Hz. Each xx was plotted versus time and the apparent frequency noted. Expected samples per period = f_s/f and total samples N = floor(dur·f_s)+1 (151, 16, 13, 8).</w:t>
      </w:r>
    </w:p>
    <w:p>
      <w:pPr>
        <w:spacing w:after="160" w:before="0"/>
        <w:jc w:val="both"/>
        <w:jc w:val="both"/>
      </w:pPr>
      <w:r>
        <w:rPr>
          <w:b w:val="0"/>
          <w:i/>
          <w:sz w:val="20"/>
        </w:rPr>
        <w:t>Alias prediction used f_alias = |f − k·f_s|, k = round(f/f_s); if &gt; f_s/2 folded to f_s − value.</w:t>
      </w:r>
    </w:p>
    <w:p>
      <w:pPr>
        <w:pStyle w:val="Heading2"/>
      </w:pPr>
      <w:r/>
      <w:r>
        <w:rPr>
          <w:color w:val="2F5496"/>
        </w:rPr>
        <w:t>2.3   Time-domain sampling procedure</w:t>
      </w:r>
    </w:p>
    <w:p>
      <w:pPr>
        <w:spacing w:after="160" w:before="0"/>
        <w:jc w:val="both"/>
        <w:jc w:val="both"/>
      </w:pPr>
      <w:r>
        <w:rPr>
          <w:b w:val="0"/>
          <w:i w:val="0"/>
        </w:rPr>
        <w:t>The MATLAB working directory was set to the folder containing cosgen2.m. The four cases above were executed sequentially. The time waveforms were captured as screenshots (Figs. 7–10) and the effect of f_s relative to Nyquist was interpreted. The regeneration of the missing 1 kHz case used a Python replica of cosgen2 verified against MATLAB colon logic.</w:t>
      </w:r>
    </w:p>
    <w:p>
      <w:pPr>
        <w:pStyle w:val="Heading2"/>
      </w:pPr>
      <w:r/>
      <w:r>
        <w:rPr>
          <w:color w:val="2F5496"/>
        </w:rPr>
        <w:t>2.4   Frequency-domain FFT and windowing procedure</w:t>
      </w:r>
    </w:p>
    <w:p>
      <w:pPr>
        <w:spacing w:after="160" w:before="0"/>
        <w:jc w:val="both"/>
        <w:jc w:val="both"/>
      </w:pPr>
      <w:r>
        <w:rPr>
          <w:b w:val="0"/>
          <w:i w:val="0"/>
        </w:rPr>
        <w:t>The generator output was fed directly to Channel 1. A 50 kHz sinusoid was displayed with the timebase set to show exactly 2 cycles (40 µs gate). The Math FFT was enabled with settings in Table 1, window Hanning. Bin Size was logged and the FFT sketched. The window was switched to Rectangular, then the gate was swept to ~10 cycles (200 µs) and ~50 cycles (1 ms), each with Bin Size and spectrum noted. Finally the source was changed to a 50% duty square wave (same 50 kHz, Rectangle, 50 cycles). All scope photographs were archived on 28 Oct 2026; displayed values were read from screen rather than WhatsApp captions.</w:t>
      </w:r>
    </w:p>
    <w:p>
      <w:pPr>
        <w:pStyle w:val="Heading2"/>
      </w:pPr>
      <w:r/>
      <w:r>
        <w:rPr>
          <w:color w:val="2F5496"/>
        </w:rPr>
        <w:t>2.5   Post-lab theory and prelab simulation</w:t>
      </w:r>
    </w:p>
    <w:p>
      <w:pPr>
        <w:spacing w:after="160" w:before="0"/>
        <w:jc w:val="both"/>
        <w:jc w:val="both"/>
      </w:pPr>
      <w:r>
        <w:rPr>
          <w:b w:val="0"/>
          <w:i w:val="0"/>
        </w:rPr>
        <w:t>Q1–Q2 were calculated analytically; Q3–Q4 used Module 8/10 and standard transforms; Q5 used MATLAB help fft. Prelab3.m was run with n=[0:29] and n=[0:59] for N=64,128,256, plotting magnitude versus normalised frequency F=[0:N−1]/N with axis([0 1 0 30]). Python/NumPy replica was used when screenshots were unavailable; peak values were cross-checked against theory (Table 3).</w:t>
      </w:r>
    </w:p>
    <w:p>
      <w:pPr>
        <w:pStyle w:val="Heading1"/>
      </w:pPr>
      <w:r/>
      <w:r>
        <w:rPr>
          <w:color w:val="2F5496"/>
        </w:rPr>
        <w:t>3.   Results</w:t>
      </w:r>
    </w:p>
    <w:p>
      <w:pPr>
        <w:pStyle w:val="Heading2"/>
      </w:pPr>
      <w:r/>
      <w:r>
        <w:rPr>
          <w:color w:val="2F5496"/>
        </w:rPr>
        <w:t>3.1   Post-lab theory (Q1–Q7)</w:t>
      </w:r>
    </w:p>
    <w:p>
      <w:pPr>
        <w:pStyle w:val="Heading3"/>
      </w:pPr>
      <w:r/>
      <w:r>
        <w:rPr>
          <w:color w:val="2F5496"/>
        </w:rPr>
        <w:t>3.1.1   Q1 — Nyquist frequency and Nyquist rate</w:t>
      </w:r>
    </w:p>
    <w:p>
      <w:pPr>
        <w:spacing w:after="160" w:before="0"/>
        <w:jc w:val="both"/>
        <w:jc w:val="both"/>
      </w:pPr>
      <w:r>
        <w:rPr>
          <w:b w:val="0"/>
          <w:i w:val="0"/>
        </w:rPr>
        <w:t>For a band-limited signal with maximum frequency f_max, the Nyquist rate is the minimum sampling rate for alias-free reconstruction, and the Nyquist frequency is half the actual sampling rate.</w:t>
      </w:r>
    </w:p>
    <w:p>
      <w:pPr>
        <w:spacing w:before="80" w:after="80"/>
        <w:jc w:val="center"/>
      </w:pPr>
      <w:r>
        <w:rPr>
          <w:i/>
          <w:color w:val="2F5496"/>
          <w:sz w:val="22"/>
        </w:rPr>
        <w:t>Nyquist rate = 2·f_max    ;    Nyquist frequency = f_s/2</w:t>
      </w:r>
    </w:p>
    <w:p>
      <w:pPr>
        <w:spacing w:after="160" w:before="0"/>
        <w:jc w:val="both"/>
        <w:jc w:val="both"/>
      </w:pPr>
      <w:r>
        <w:rPr>
          <w:b w:val="0"/>
          <w:i w:val="0"/>
        </w:rPr>
        <w:t>If f_s ≥ 2f_max reconstruction via sinc interpolation is perfect; if f_s &lt; 2f_max aliasing is unavoidable. Here f_max = 500 Hz (Part A) and test tones to 5.5 kHz (Q2).</w:t>
      </w:r>
    </w:p>
    <w:p>
      <w:pPr>
        <w:pStyle w:val="Heading3"/>
      </w:pPr>
      <w:r/>
      <w:r>
        <w:rPr>
          <w:color w:val="2F5496"/>
        </w:rPr>
        <w:t>3.1.2   Q2 — Aliased frequencies at f_s = 5 kHz</w:t>
      </w:r>
    </w:p>
    <w:p>
      <w:pPr>
        <w:spacing w:after="160" w:before="0"/>
        <w:jc w:val="both"/>
        <w:jc w:val="both"/>
      </w:pPr>
      <w:r>
        <w:rPr>
          <w:b w:val="0"/>
          <w:i w:val="0"/>
        </w:rPr>
        <w:t>Sampling at f_s = 5 kHz gives Nyquist frequency 2.5 kHz. The aliased baseband frequency is obtained by f_raw = |f_in − k·f_s|, k = round(f_in/f_s), then folded: if f_raw &gt; 2.5 kHz, f_alias = f_s − f_raw (Table 1).</w:t>
      </w:r>
    </w:p>
    <w:p>
      <w:pPr>
        <w:pStyle w:val="Caption"/>
        <w:spacing w:before="160" w:after="80"/>
        <w:jc w:val="center"/>
      </w:pPr>
      <w:r>
        <w:rPr>
          <w:i/>
          <w:color w:val="44546A"/>
          <w:sz w:val="18"/>
        </w:rPr>
        <w:t>Table 2.  Resulting sampled frequencies for f_s = 5 kHz (Nyquist 2.5 kHz).</w:t>
      </w:r>
    </w:p>
    <w:tbl>
      <w:tblPr>
        <w:tblStyle w:val="LightGrid-Accent1"/>
        <w:tblW w:type="auto" w:w="0"/>
        <w:jc w:val="center"/>
        <w:tblLayout w:type="fixed"/>
        <w:tblLook w:firstColumn="1" w:firstRow="1" w:lastColumn="0" w:lastRow="0" w:noHBand="0" w:noVBand="1" w:val="04A0"/>
      </w:tblPr>
      <w:tblGrid>
        <w:gridCol w:w="1296"/>
        <w:gridCol w:w="1584"/>
        <w:gridCol w:w="1728"/>
        <w:gridCol w:w="1440"/>
        <w:gridCol w:w="1296"/>
        <w:gridCol w:w="2448"/>
      </w:tblGrid>
      <w:tr>
        <w:tc>
          <w:tcPr>
            <w:tcW w:type="dxa" w:w="1505"/>
            <w:shd w:fill="2F5496" w:val="clear" w:color="auto"/>
            <w:vAlign w:val="center"/>
          </w:tcPr>
          <w:p>
            <w:pPr>
              <w:jc w:val="center"/>
            </w:pPr>
            <w:r>
              <w:rPr>
                <w:b/>
                <w:color w:val="FFFFFF"/>
                <w:sz w:val="18"/>
              </w:rPr>
              <w:t>Input f_in</w:t>
            </w:r>
          </w:p>
        </w:tc>
        <w:tc>
          <w:tcPr>
            <w:tcW w:type="dxa" w:w="1505"/>
            <w:shd w:fill="2F5496" w:val="clear" w:color="auto"/>
            <w:vAlign w:val="center"/>
          </w:tcPr>
          <w:p>
            <w:pPr>
              <w:jc w:val="center"/>
            </w:pPr>
            <w:r>
              <w:rPr>
                <w:b/>
                <w:color w:val="FFFFFF"/>
                <w:sz w:val="18"/>
              </w:rPr>
              <w:t>k = round(f_in/f_s)</w:t>
            </w:r>
          </w:p>
        </w:tc>
        <w:tc>
          <w:tcPr>
            <w:tcW w:type="dxa" w:w="1505"/>
            <w:shd w:fill="2F5496" w:val="clear" w:color="auto"/>
            <w:vAlign w:val="center"/>
          </w:tcPr>
          <w:p>
            <w:pPr>
              <w:jc w:val="center"/>
            </w:pPr>
            <w:r>
              <w:rPr>
                <w:b/>
                <w:color w:val="FFFFFF"/>
                <w:sz w:val="18"/>
              </w:rPr>
              <w:t>f_raw = |f_in − k·f_s|</w:t>
            </w:r>
          </w:p>
        </w:tc>
        <w:tc>
          <w:tcPr>
            <w:tcW w:type="dxa" w:w="1505"/>
            <w:shd w:fill="2F5496" w:val="clear" w:color="auto"/>
            <w:vAlign w:val="center"/>
          </w:tcPr>
          <w:p>
            <w:pPr>
              <w:jc w:val="center"/>
            </w:pPr>
            <w:r>
              <w:rPr>
                <w:b/>
                <w:color w:val="FFFFFF"/>
                <w:sz w:val="18"/>
              </w:rPr>
              <w:t>Fold? (&gt;2.5 kHz)</w:t>
            </w:r>
          </w:p>
        </w:tc>
        <w:tc>
          <w:tcPr>
            <w:tcW w:type="dxa" w:w="1505"/>
            <w:shd w:fill="2F5496" w:val="clear" w:color="auto"/>
            <w:vAlign w:val="center"/>
          </w:tcPr>
          <w:p>
            <w:pPr>
              <w:jc w:val="center"/>
            </w:pPr>
            <w:r>
              <w:rPr>
                <w:b/>
                <w:color w:val="FFFFFF"/>
                <w:sz w:val="18"/>
              </w:rPr>
              <w:t>Observed f_alias</w:t>
            </w:r>
          </w:p>
        </w:tc>
        <w:tc>
          <w:tcPr>
            <w:tcW w:type="dxa" w:w="1505"/>
            <w:shd w:fill="2F5496" w:val="clear" w:color="auto"/>
            <w:vAlign w:val="center"/>
          </w:tcPr>
          <w:p>
            <w:pPr>
              <w:jc w:val="center"/>
            </w:pPr>
            <w:r>
              <w:rPr>
                <w:b/>
                <w:color w:val="FFFFFF"/>
                <w:sz w:val="18"/>
              </w:rPr>
              <w:t>Interpretation</w:t>
            </w:r>
          </w:p>
        </w:tc>
      </w:tr>
      <w:tr>
        <w:tc>
          <w:tcPr>
            <w:tcW w:type="dxa" w:w="1505"/>
            <w:vAlign w:val="center"/>
          </w:tcPr>
          <w:p>
            <w:pPr>
              <w:jc w:val="center"/>
            </w:pPr>
            <w:r>
              <w:rPr>
                <w:sz w:val="18"/>
              </w:rPr>
              <w:t>500 Hz</w:t>
            </w:r>
          </w:p>
        </w:tc>
        <w:tc>
          <w:tcPr>
            <w:tcW w:type="dxa" w:w="1505"/>
            <w:vAlign w:val="center"/>
          </w:tcPr>
          <w:p>
            <w:pPr>
              <w:jc w:val="center"/>
            </w:pPr>
            <w:r>
              <w:rPr>
                <w:sz w:val="18"/>
              </w:rPr>
              <w:t>0</w:t>
            </w:r>
          </w:p>
        </w:tc>
        <w:tc>
          <w:tcPr>
            <w:tcW w:type="dxa" w:w="1505"/>
            <w:vAlign w:val="center"/>
          </w:tcPr>
          <w:p>
            <w:pPr>
              <w:jc w:val="center"/>
            </w:pPr>
            <w:r>
              <w:rPr>
                <w:sz w:val="18"/>
              </w:rPr>
              <w:t>500 Hz</w:t>
            </w:r>
          </w:p>
        </w:tc>
        <w:tc>
          <w:tcPr>
            <w:tcW w:type="dxa" w:w="1505"/>
            <w:vAlign w:val="center"/>
          </w:tcPr>
          <w:p>
            <w:pPr>
              <w:jc w:val="center"/>
            </w:pPr>
            <w:r>
              <w:rPr>
                <w:sz w:val="18"/>
              </w:rPr>
              <w:t>No</w:t>
            </w:r>
          </w:p>
        </w:tc>
        <w:tc>
          <w:tcPr>
            <w:tcW w:type="dxa" w:w="1505"/>
            <w:vAlign w:val="center"/>
          </w:tcPr>
          <w:p>
            <w:pPr>
              <w:jc w:val="center"/>
            </w:pPr>
            <w:r>
              <w:rPr>
                <w:sz w:val="18"/>
              </w:rPr>
              <w:t>500 Hz</w:t>
            </w:r>
          </w:p>
        </w:tc>
        <w:tc>
          <w:tcPr>
            <w:tcW w:type="dxa" w:w="1505"/>
            <w:vAlign w:val="center"/>
          </w:tcPr>
          <w:p>
            <w:pPr>
              <w:jc w:val="center"/>
            </w:pPr>
            <w:r>
              <w:rPr>
                <w:sz w:val="18"/>
              </w:rPr>
              <w:t>Below Nyquist → preserved</w:t>
            </w:r>
          </w:p>
        </w:tc>
      </w:tr>
      <w:tr>
        <w:tc>
          <w:tcPr>
            <w:tcW w:type="dxa" w:w="1505"/>
            <w:vAlign w:val="center"/>
            <w:shd w:fill="F2F6FB" w:val="clear" w:color="auto"/>
          </w:tcPr>
          <w:p>
            <w:pPr>
              <w:jc w:val="center"/>
            </w:pPr>
            <w:r>
              <w:rPr>
                <w:sz w:val="18"/>
              </w:rPr>
              <w:t>2.5 kHz</w:t>
            </w:r>
          </w:p>
        </w:tc>
        <w:tc>
          <w:tcPr>
            <w:tcW w:type="dxa" w:w="1505"/>
            <w:vAlign w:val="center"/>
            <w:shd w:fill="F2F6FB" w:val="clear" w:color="auto"/>
          </w:tcPr>
          <w:p>
            <w:pPr>
              <w:jc w:val="center"/>
            </w:pPr>
            <w:r>
              <w:rPr>
                <w:sz w:val="18"/>
              </w:rPr>
              <w:t>1 (tie)</w:t>
            </w:r>
          </w:p>
        </w:tc>
        <w:tc>
          <w:tcPr>
            <w:tcW w:type="dxa" w:w="1505"/>
            <w:vAlign w:val="center"/>
            <w:shd w:fill="F2F6FB" w:val="clear" w:color="auto"/>
          </w:tcPr>
          <w:p>
            <w:pPr>
              <w:jc w:val="center"/>
            </w:pPr>
            <w:r>
              <w:rPr>
                <w:sz w:val="18"/>
              </w:rPr>
              <w:t>2.5 kHz</w:t>
            </w:r>
          </w:p>
        </w:tc>
        <w:tc>
          <w:tcPr>
            <w:tcW w:type="dxa" w:w="1505"/>
            <w:vAlign w:val="center"/>
            <w:shd w:fill="F2F6FB" w:val="clear" w:color="auto"/>
          </w:tcPr>
          <w:p>
            <w:pPr>
              <w:jc w:val="center"/>
            </w:pPr>
            <w:r>
              <w:rPr>
                <w:sz w:val="18"/>
              </w:rPr>
              <w:t>No (at Nyquist)</w:t>
            </w:r>
          </w:p>
        </w:tc>
        <w:tc>
          <w:tcPr>
            <w:tcW w:type="dxa" w:w="1505"/>
            <w:vAlign w:val="center"/>
            <w:shd w:fill="F2F6FB" w:val="clear" w:color="auto"/>
          </w:tcPr>
          <w:p>
            <w:pPr>
              <w:jc w:val="center"/>
            </w:pPr>
            <w:r>
              <w:rPr>
                <w:sz w:val="18"/>
              </w:rPr>
              <w:t>2.5 kHz</w:t>
            </w:r>
          </w:p>
        </w:tc>
        <w:tc>
          <w:tcPr>
            <w:tcW w:type="dxa" w:w="1505"/>
            <w:vAlign w:val="center"/>
            <w:shd w:fill="F2F6FB" w:val="clear" w:color="auto"/>
          </w:tcPr>
          <w:p>
            <w:pPr>
              <w:jc w:val="center"/>
            </w:pPr>
            <w:r>
              <w:rPr>
                <w:sz w:val="18"/>
              </w:rPr>
              <w:t>At Nyquist, phase-dependent</w:t>
            </w:r>
          </w:p>
        </w:tc>
      </w:tr>
      <w:tr>
        <w:tc>
          <w:tcPr>
            <w:tcW w:type="dxa" w:w="1505"/>
            <w:vAlign w:val="center"/>
          </w:tcPr>
          <w:p>
            <w:pPr>
              <w:jc w:val="center"/>
            </w:pPr>
            <w:r>
              <w:rPr>
                <w:sz w:val="18"/>
              </w:rPr>
              <w:t>5.0 kHz</w:t>
            </w:r>
          </w:p>
        </w:tc>
        <w:tc>
          <w:tcPr>
            <w:tcW w:type="dxa" w:w="1505"/>
            <w:vAlign w:val="center"/>
          </w:tcPr>
          <w:p>
            <w:pPr>
              <w:jc w:val="center"/>
            </w:pPr>
            <w:r>
              <w:rPr>
                <w:sz w:val="18"/>
              </w:rPr>
              <w:t>1</w:t>
            </w:r>
          </w:p>
        </w:tc>
        <w:tc>
          <w:tcPr>
            <w:tcW w:type="dxa" w:w="1505"/>
            <w:vAlign w:val="center"/>
          </w:tcPr>
          <w:p>
            <w:pPr>
              <w:jc w:val="center"/>
            </w:pPr>
            <w:r>
              <w:rPr>
                <w:sz w:val="18"/>
              </w:rPr>
              <w:t>0 Hz</w:t>
            </w:r>
          </w:p>
        </w:tc>
        <w:tc>
          <w:tcPr>
            <w:tcW w:type="dxa" w:w="1505"/>
            <w:vAlign w:val="center"/>
          </w:tcPr>
          <w:p>
            <w:pPr>
              <w:jc w:val="center"/>
            </w:pPr>
            <w:r>
              <w:rPr>
                <w:sz w:val="18"/>
              </w:rPr>
              <w:t>—</w:t>
            </w:r>
          </w:p>
        </w:tc>
        <w:tc>
          <w:tcPr>
            <w:tcW w:type="dxa" w:w="1505"/>
            <w:vAlign w:val="center"/>
          </w:tcPr>
          <w:p>
            <w:pPr>
              <w:jc w:val="center"/>
            </w:pPr>
            <w:r>
              <w:rPr>
                <w:sz w:val="18"/>
              </w:rPr>
              <w:t>0 Hz (DC)</w:t>
            </w:r>
          </w:p>
        </w:tc>
        <w:tc>
          <w:tcPr>
            <w:tcW w:type="dxa" w:w="1505"/>
            <w:vAlign w:val="center"/>
          </w:tcPr>
          <w:p>
            <w:pPr>
              <w:jc w:val="center"/>
            </w:pPr>
            <w:r>
              <w:rPr>
                <w:sz w:val="18"/>
              </w:rPr>
              <w:t>Equals f_s → DC</w:t>
            </w:r>
          </w:p>
        </w:tc>
      </w:tr>
      <w:tr>
        <w:tc>
          <w:tcPr>
            <w:tcW w:type="dxa" w:w="1505"/>
            <w:vAlign w:val="center"/>
            <w:shd w:fill="F2F6FB" w:val="clear" w:color="auto"/>
          </w:tcPr>
          <w:p>
            <w:pPr>
              <w:jc w:val="center"/>
            </w:pPr>
            <w:r>
              <w:rPr>
                <w:sz w:val="18"/>
              </w:rPr>
              <w:t>5.5 kHz</w:t>
            </w:r>
          </w:p>
        </w:tc>
        <w:tc>
          <w:tcPr>
            <w:tcW w:type="dxa" w:w="1505"/>
            <w:vAlign w:val="center"/>
            <w:shd w:fill="F2F6FB" w:val="clear" w:color="auto"/>
          </w:tcPr>
          <w:p>
            <w:pPr>
              <w:jc w:val="center"/>
            </w:pPr>
            <w:r>
              <w:rPr>
                <w:sz w:val="18"/>
              </w:rPr>
              <w:t>1</w:t>
            </w:r>
          </w:p>
        </w:tc>
        <w:tc>
          <w:tcPr>
            <w:tcW w:type="dxa" w:w="1505"/>
            <w:vAlign w:val="center"/>
            <w:shd w:fill="F2F6FB" w:val="clear" w:color="auto"/>
          </w:tcPr>
          <w:p>
            <w:pPr>
              <w:jc w:val="center"/>
            </w:pPr>
            <w:r>
              <w:rPr>
                <w:sz w:val="18"/>
              </w:rPr>
              <w:t>500 Hz</w:t>
            </w:r>
          </w:p>
        </w:tc>
        <w:tc>
          <w:tcPr>
            <w:tcW w:type="dxa" w:w="1505"/>
            <w:vAlign w:val="center"/>
            <w:shd w:fill="F2F6FB" w:val="clear" w:color="auto"/>
          </w:tcPr>
          <w:p>
            <w:pPr>
              <w:jc w:val="center"/>
            </w:pPr>
            <w:r>
              <w:rPr>
                <w:sz w:val="18"/>
              </w:rPr>
              <w:t>No</w:t>
            </w:r>
          </w:p>
        </w:tc>
        <w:tc>
          <w:tcPr>
            <w:tcW w:type="dxa" w:w="1505"/>
            <w:vAlign w:val="center"/>
            <w:shd w:fill="F2F6FB" w:val="clear" w:color="auto"/>
          </w:tcPr>
          <w:p>
            <w:pPr>
              <w:jc w:val="center"/>
            </w:pPr>
            <w:r>
              <w:rPr>
                <w:sz w:val="18"/>
              </w:rPr>
              <w:t>500 Hz</w:t>
            </w:r>
          </w:p>
        </w:tc>
        <w:tc>
          <w:tcPr>
            <w:tcW w:type="dxa" w:w="1505"/>
            <w:vAlign w:val="center"/>
            <w:shd w:fill="F2F6FB" w:val="clear" w:color="auto"/>
          </w:tcPr>
          <w:p>
            <w:pPr>
              <w:jc w:val="center"/>
            </w:pPr>
            <w:r>
              <w:rPr>
                <w:sz w:val="18"/>
              </w:rPr>
              <w:t>Aliases to 500 Hz</w:t>
            </w:r>
          </w:p>
        </w:tc>
      </w:tr>
    </w:tbl>
    <w:p>
      <w:pPr>
        <w:spacing w:after="40"/>
      </w:pPr>
    </w:p>
    <w:p>
      <w:pPr>
        <w:pStyle w:val="Heading3"/>
      </w:pPr>
      <w:r/>
      <w:r>
        <w:rPr>
          <w:color w:val="2F5496"/>
        </w:rPr>
        <w:t>3.1.3   Q3 — Rectangular pulse</w:t>
      </w:r>
    </w:p>
    <w:p>
      <w:pPr>
        <w:spacing w:after="160" w:before="0"/>
        <w:jc w:val="both"/>
        <w:jc w:val="both"/>
      </w:pPr>
      <w:r>
        <w:rPr>
          <w:b w:val="0"/>
          <w:i w:val="0"/>
        </w:rPr>
        <w:t>A unit rectangular pulse width T, rect(t/T)=1 for |t|≤T/2, has CTFT X(f)=T·sinc(fT)=T·sin(πfT)/(πfT).</w:t>
      </w:r>
    </w:p>
    <w:p>
      <w:pPr>
        <w:spacing w:before="120" w:after="40"/>
        <w:jc w:val="center"/>
      </w:pPr>
      <w:r>
        <w:drawing>
          <wp:inline xmlns:a="http://schemas.openxmlformats.org/drawingml/2006/main" xmlns:pic="http://schemas.openxmlformats.org/drawingml/2006/picture">
            <wp:extent cx="4846320" cy="2423160"/>
            <wp:docPr id="1" name="Picture 1"/>
            <wp:cNvGraphicFramePr>
              <a:graphicFrameLocks noChangeAspect="1"/>
            </wp:cNvGraphicFramePr>
            <a:graphic>
              <a:graphicData uri="http://schemas.openxmlformats.org/drawingml/2006/picture">
                <pic:pic>
                  <pic:nvPicPr>
                    <pic:cNvPr id="0" name="rect_time.png"/>
                    <pic:cNvPicPr/>
                  </pic:nvPicPr>
                  <pic:blipFill>
                    <a:blip r:embed="rId9"/>
                    <a:stretch>
                      <a:fillRect/>
                    </a:stretch>
                  </pic:blipFill>
                  <pic:spPr>
                    <a:xfrm>
                      <a:off x="0" y="0"/>
                      <a:ext cx="4846320" cy="2423160"/>
                    </a:xfrm>
                    <a:prstGeom prst="rect"/>
                  </pic:spPr>
                </pic:pic>
              </a:graphicData>
            </a:graphic>
          </wp:inline>
        </w:drawing>
      </w:r>
    </w:p>
    <w:p>
      <w:pPr>
        <w:pStyle w:val="Caption"/>
        <w:jc w:val="center"/>
      </w:pPr>
      <w:r>
        <w:rPr>
          <w:i/>
          <w:color w:val="44546A"/>
          <w:sz w:val="18"/>
        </w:rPr>
        <w:t>Figure 1.  Unit rectangular pulse, T=1 s — height 1, width T, nulls at ±T/2.</w:t>
      </w:r>
    </w:p>
    <w:p>
      <w:pPr>
        <w:spacing w:before="120" w:after="40"/>
        <w:jc w:val="center"/>
      </w:pPr>
      <w:r>
        <w:drawing>
          <wp:inline xmlns:a="http://schemas.openxmlformats.org/drawingml/2006/main" xmlns:pic="http://schemas.openxmlformats.org/drawingml/2006/picture">
            <wp:extent cx="4846320" cy="2423160"/>
            <wp:docPr id="2" name="Picture 2"/>
            <wp:cNvGraphicFramePr>
              <a:graphicFrameLocks noChangeAspect="1"/>
            </wp:cNvGraphicFramePr>
            <a:graphic>
              <a:graphicData uri="http://schemas.openxmlformats.org/drawingml/2006/picture">
                <pic:pic>
                  <pic:nvPicPr>
                    <pic:cNvPr id="0" name="rect_freq.png"/>
                    <pic:cNvPicPr/>
                  </pic:nvPicPr>
                  <pic:blipFill>
                    <a:blip r:embed="rId10"/>
                    <a:stretch>
                      <a:fillRect/>
                    </a:stretch>
                  </pic:blipFill>
                  <pic:spPr>
                    <a:xfrm>
                      <a:off x="0" y="0"/>
                      <a:ext cx="4846320" cy="2423160"/>
                    </a:xfrm>
                    <a:prstGeom prst="rect"/>
                  </pic:spPr>
                </pic:pic>
              </a:graphicData>
            </a:graphic>
          </wp:inline>
        </w:drawing>
      </w:r>
    </w:p>
    <w:p>
      <w:pPr>
        <w:pStyle w:val="Caption"/>
        <w:jc w:val="center"/>
      </w:pPr>
      <w:r>
        <w:rPr>
          <w:i/>
          <w:color w:val="44546A"/>
          <w:sz w:val="18"/>
        </w:rPr>
        <w:t>Figure 2.  Spectrum: T·sinc(fT). Peak T at f=0, nulls at f=k/T, side-lobe decay ∝1/f.</w:t>
      </w:r>
    </w:p>
    <w:p>
      <w:pPr>
        <w:pStyle w:val="Heading3"/>
      </w:pPr>
      <w:r/>
      <w:r>
        <w:rPr>
          <w:color w:val="2F5496"/>
        </w:rPr>
        <w:t>3.1.4   Q4 — Hanning window</w:t>
      </w:r>
    </w:p>
    <w:p>
      <w:pPr>
        <w:spacing w:after="160" w:before="0"/>
        <w:jc w:val="both"/>
        <w:jc w:val="both"/>
      </w:pPr>
      <w:r>
        <w:rPr>
          <w:b w:val="0"/>
          <w:i w:val="0"/>
        </w:rPr>
        <w:t>Hanning window: w[n]=0.5[1−cos(2πn/(N−1))], 0≤n&lt;N (or continuous w(t)=0.5[1−cos(2πt/T)]). It tapers to zero at edges.</w:t>
      </w:r>
    </w:p>
    <w:p>
      <w:pPr>
        <w:spacing w:before="120" w:after="40"/>
        <w:jc w:val="center"/>
      </w:pPr>
      <w:r>
        <w:drawing>
          <wp:inline xmlns:a="http://schemas.openxmlformats.org/drawingml/2006/main" xmlns:pic="http://schemas.openxmlformats.org/drawingml/2006/picture">
            <wp:extent cx="4754880" cy="2377440"/>
            <wp:docPr id="3" name="Picture 3"/>
            <wp:cNvGraphicFramePr>
              <a:graphicFrameLocks noChangeAspect="1"/>
            </wp:cNvGraphicFramePr>
            <a:graphic>
              <a:graphicData uri="http://schemas.openxmlformats.org/drawingml/2006/picture">
                <pic:pic>
                  <pic:nvPicPr>
                    <pic:cNvPr id="0" name="hanning_time.png"/>
                    <pic:cNvPicPr/>
                  </pic:nvPicPr>
                  <pic:blipFill>
                    <a:blip r:embed="rId11"/>
                    <a:stretch>
                      <a:fillRect/>
                    </a:stretch>
                  </pic:blipFill>
                  <pic:spPr>
                    <a:xfrm>
                      <a:off x="0" y="0"/>
                      <a:ext cx="4754880" cy="2377440"/>
                    </a:xfrm>
                    <a:prstGeom prst="rect"/>
                  </pic:spPr>
                </pic:pic>
              </a:graphicData>
            </a:graphic>
          </wp:inline>
        </w:drawing>
      </w:r>
    </w:p>
    <w:p>
      <w:pPr>
        <w:pStyle w:val="Caption"/>
        <w:jc w:val="center"/>
      </w:pPr>
      <w:r>
        <w:rPr>
          <w:i/>
          <w:color w:val="44546A"/>
          <w:sz w:val="18"/>
        </w:rPr>
        <w:t>Figure 3.  Hanning window (N=64) — cosine taper eliminating edge discontinuities.</w:t>
      </w:r>
    </w:p>
    <w:p>
      <w:pPr>
        <w:spacing w:before="120" w:after="40"/>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hanning_freq.png"/>
                    <pic:cNvPicPr/>
                  </pic:nvPicPr>
                  <pic:blipFill>
                    <a:blip r:embed="rId12"/>
                    <a:stretch>
                      <a:fillRect/>
                    </a:stretch>
                  </pic:blipFill>
                  <pic:spPr>
                    <a:xfrm>
                      <a:off x="0" y="0"/>
                      <a:ext cx="4754880" cy="2377440"/>
                    </a:xfrm>
                    <a:prstGeom prst="rect"/>
                  </pic:spPr>
                </pic:pic>
              </a:graphicData>
            </a:graphic>
          </wp:inline>
        </w:drawing>
      </w:r>
    </w:p>
    <w:p>
      <w:pPr>
        <w:pStyle w:val="Caption"/>
        <w:jc w:val="center"/>
      </w:pPr>
      <w:r>
        <w:rPr>
          <w:i/>
          <w:color w:val="44546A"/>
          <w:sz w:val="18"/>
        </w:rPr>
        <w:t>Figure 4.  Spectra (dB): Rectangular 4π/N main-lobe, −13 dB sidelobes; Hanning 8π/N, −32 dB. Hanning trades width for leakage suppression.</w:t>
      </w:r>
    </w:p>
    <w:p>
      <w:pPr>
        <w:pStyle w:val="Heading3"/>
      </w:pPr>
      <w:r/>
      <w:r>
        <w:rPr>
          <w:color w:val="2F5496"/>
        </w:rPr>
        <w:t>3.1.5   Q5 — MATLAB fft</w:t>
      </w:r>
    </w:p>
    <w:p>
      <w:pPr>
        <w:spacing w:after="160" w:before="0"/>
        <w:jc w:val="both"/>
        <w:jc w:val="both"/>
      </w:pPr>
      <w:r>
        <w:rPr>
          <w:b w:val="0"/>
          <w:i w:val="0"/>
        </w:rPr>
        <w:t>fft implements the FFT — O(N log N) DFT:</w:t>
      </w:r>
    </w:p>
    <w:p>
      <w:pPr>
        <w:jc w:val="center"/>
      </w:pPr>
      <w:r>
        <w:rPr>
          <w:i/>
          <w:color w:val="2F5496"/>
          <w:sz w:val="20"/>
        </w:rPr>
        <w:t>X[k] = Σ_{n=0}^{N−1} x[n]·e^{−j2πkn/N},  k=0…N−1</w:t>
      </w:r>
    </w:p>
    <w:p>
      <w:pPr>
        <w:jc w:val="center"/>
      </w:pPr>
      <w:r>
        <w:rPr>
          <w:rFonts w:ascii="Consolas" w:hAnsi="Consolas"/>
          <w:color w:val="2F5496"/>
          <w:sz w:val="17"/>
        </w:rPr>
        <w:t>Y = fft(x, N)  computes N-point DFT; zero-pads if N&gt;length(x); abs(Y) magnitude vs F=[0:N−1]/N.</w:t>
      </w:r>
    </w:p>
    <w:p>
      <w:pPr>
        <w:pStyle w:val="Heading3"/>
      </w:pPr>
      <w:r/>
      <w:r>
        <w:rPr>
          <w:color w:val="2F5496"/>
        </w:rPr>
        <w:t>3.1.6   Q6 — Prelab spectra (L=30) and effect of N</w:t>
      </w:r>
    </w:p>
    <w:p>
      <w:pPr>
        <w:spacing w:after="160" w:before="0"/>
        <w:jc w:val="both"/>
        <w:jc w:val="both"/>
      </w:pPr>
      <w:r>
        <w:rPr>
          <w:b w:val="0"/>
          <w:i w:val="0"/>
        </w:rPr>
        <w:t>x[n]=cos(2πn/10): 10 samples/period, 30 samples → 3 cycles. DFT for N=64,128,256 (Fig. 5).</w:t>
      </w:r>
    </w:p>
    <w:p>
      <w:pPr>
        <w:spacing w:before="120" w:after="40"/>
        <w:jc w:val="center"/>
      </w:pPr>
      <w:r>
        <w:drawing>
          <wp:inline xmlns:a="http://schemas.openxmlformats.org/drawingml/2006/main" xmlns:pic="http://schemas.openxmlformats.org/drawingml/2006/picture">
            <wp:extent cx="5486400" cy="3892731"/>
            <wp:docPr id="5" name="Picture 5"/>
            <wp:cNvGraphicFramePr>
              <a:graphicFrameLocks noChangeAspect="1"/>
            </wp:cNvGraphicFramePr>
            <a:graphic>
              <a:graphicData uri="http://schemas.openxmlformats.org/drawingml/2006/picture">
                <pic:pic>
                  <pic:nvPicPr>
                    <pic:cNvPr id="0" name="prelab3_n30_N64_128_256.png"/>
                    <pic:cNvPicPr/>
                  </pic:nvPicPr>
                  <pic:blipFill>
                    <a:blip r:embed="rId13"/>
                    <a:stretch>
                      <a:fillRect/>
                    </a:stretch>
                  </pic:blipFill>
                  <pic:spPr>
                    <a:xfrm>
                      <a:off x="0" y="0"/>
                      <a:ext cx="5486400" cy="3892731"/>
                    </a:xfrm>
                    <a:prstGeom prst="rect"/>
                  </pic:spPr>
                </pic:pic>
              </a:graphicData>
            </a:graphic>
          </wp:inline>
        </w:drawing>
      </w:r>
    </w:p>
    <w:p>
      <w:pPr>
        <w:pStyle w:val="Caption"/>
        <w:jc w:val="center"/>
      </w:pPr>
      <w:r>
        <w:rPr>
          <w:i/>
          <w:color w:val="44546A"/>
          <w:sz w:val="18"/>
        </w:rPr>
        <w:t>Figure 5.  Magnitude DFT, L=30, N=64/128/256. Peaks near F≈0.10 and 0.90, side-lobe ripples, y-limit 30.</w:t>
      </w:r>
    </w:p>
    <w:p>
      <w:pPr>
        <w:pStyle w:val="Caption"/>
        <w:spacing w:before="160" w:after="80"/>
        <w:jc w:val="center"/>
      </w:pPr>
      <w:r>
        <w:rPr>
          <w:i/>
          <w:color w:val="44546A"/>
          <w:sz w:val="18"/>
        </w:rPr>
        <w:t>Table 3.  Peak magnitude versus N (L=30 vs L=60).</w:t>
      </w:r>
    </w:p>
    <w:tbl>
      <w:tblPr>
        <w:tblStyle w:val="LightGrid-Accent1"/>
        <w:tblW w:type="auto" w:w="0"/>
        <w:jc w:val="center"/>
        <w:tblLayout w:type="fixed"/>
        <w:tblLook w:firstColumn="1" w:firstRow="1" w:lastColumn="0" w:lastRow="0" w:noHBand="0" w:noVBand="1" w:val="04A0"/>
      </w:tblPr>
      <w:tblGrid>
        <w:gridCol w:w="1152"/>
        <w:gridCol w:w="1584"/>
        <w:gridCol w:w="1584"/>
        <w:gridCol w:w="1152"/>
        <w:gridCol w:w="3168"/>
      </w:tblGrid>
      <w:tr>
        <w:tc>
          <w:tcPr>
            <w:tcW w:type="dxa" w:w="1806"/>
            <w:shd w:fill="2F5496" w:val="clear" w:color="auto"/>
            <w:vAlign w:val="center"/>
          </w:tcPr>
          <w:p>
            <w:pPr>
              <w:jc w:val="center"/>
            </w:pPr>
            <w:r>
              <w:rPr>
                <w:b/>
                <w:color w:val="FFFFFF"/>
                <w:sz w:val="18"/>
              </w:rPr>
              <w:t>N</w:t>
            </w:r>
          </w:p>
        </w:tc>
        <w:tc>
          <w:tcPr>
            <w:tcW w:type="dxa" w:w="1806"/>
            <w:shd w:fill="2F5496" w:val="clear" w:color="auto"/>
            <w:vAlign w:val="center"/>
          </w:tcPr>
          <w:p>
            <w:pPr>
              <w:jc w:val="center"/>
            </w:pPr>
            <w:r>
              <w:rPr>
                <w:b/>
                <w:color w:val="FFFFFF"/>
                <w:sz w:val="18"/>
              </w:rPr>
              <w:t>Peak |X| (L=30)</w:t>
            </w:r>
          </w:p>
        </w:tc>
        <w:tc>
          <w:tcPr>
            <w:tcW w:type="dxa" w:w="1806"/>
            <w:shd w:fill="2F5496" w:val="clear" w:color="auto"/>
            <w:vAlign w:val="center"/>
          </w:tcPr>
          <w:p>
            <w:pPr>
              <w:jc w:val="center"/>
            </w:pPr>
            <w:r>
              <w:rPr>
                <w:b/>
                <w:color w:val="FFFFFF"/>
                <w:sz w:val="18"/>
              </w:rPr>
              <w:t>Peak |X| (L=60)</w:t>
            </w:r>
          </w:p>
        </w:tc>
        <w:tc>
          <w:tcPr>
            <w:tcW w:type="dxa" w:w="1806"/>
            <w:shd w:fill="2F5496" w:val="clear" w:color="auto"/>
            <w:vAlign w:val="center"/>
          </w:tcPr>
          <w:p>
            <w:pPr>
              <w:jc w:val="center"/>
            </w:pPr>
            <w:r>
              <w:rPr>
                <w:b/>
                <w:color w:val="FFFFFF"/>
                <w:sz w:val="18"/>
              </w:rPr>
              <w:t>Δ</w:t>
            </w:r>
          </w:p>
        </w:tc>
        <w:tc>
          <w:tcPr>
            <w:tcW w:type="dxa" w:w="1806"/>
            <w:shd w:fill="2F5496" w:val="clear" w:color="auto"/>
            <w:vAlign w:val="center"/>
          </w:tcPr>
          <w:p>
            <w:pPr>
              <w:jc w:val="center"/>
            </w:pPr>
            <w:r>
              <w:rPr>
                <w:b/>
                <w:color w:val="FFFFFF"/>
                <w:sz w:val="18"/>
              </w:rPr>
              <w:t>Interpretation</w:t>
            </w:r>
          </w:p>
        </w:tc>
      </w:tr>
      <w:tr>
        <w:tc>
          <w:tcPr>
            <w:tcW w:type="dxa" w:w="1806"/>
            <w:vAlign w:val="center"/>
          </w:tcPr>
          <w:p>
            <w:pPr>
              <w:jc w:val="center"/>
            </w:pPr>
            <w:r>
              <w:rPr>
                <w:sz w:val="18"/>
              </w:rPr>
              <w:t>64</w:t>
            </w:r>
          </w:p>
        </w:tc>
        <w:tc>
          <w:tcPr>
            <w:tcW w:type="dxa" w:w="1806"/>
            <w:vAlign w:val="center"/>
          </w:tcPr>
          <w:p>
            <w:pPr>
              <w:jc w:val="center"/>
            </w:pPr>
            <w:r>
              <w:rPr>
                <w:sz w:val="18"/>
              </w:rPr>
              <w:t>13.76</w:t>
            </w:r>
          </w:p>
        </w:tc>
        <w:tc>
          <w:tcPr>
            <w:tcW w:type="dxa" w:w="1806"/>
            <w:vAlign w:val="center"/>
          </w:tcPr>
          <w:p>
            <w:pPr>
              <w:jc w:val="center"/>
            </w:pPr>
            <w:r>
              <w:rPr>
                <w:sz w:val="18"/>
              </w:rPr>
              <w:t>22.88</w:t>
            </w:r>
          </w:p>
        </w:tc>
        <w:tc>
          <w:tcPr>
            <w:tcW w:type="dxa" w:w="1806"/>
            <w:vAlign w:val="center"/>
          </w:tcPr>
          <w:p>
            <w:pPr>
              <w:jc w:val="center"/>
            </w:pPr>
            <w:r>
              <w:rPr>
                <w:sz w:val="18"/>
              </w:rPr>
              <w:t>+9.12</w:t>
            </w:r>
          </w:p>
        </w:tc>
        <w:tc>
          <w:tcPr>
            <w:tcW w:type="dxa" w:w="1806"/>
            <w:vAlign w:val="center"/>
          </w:tcPr>
          <w:p>
            <w:pPr>
              <w:jc w:val="center"/>
            </w:pPr>
            <w:r>
              <w:rPr>
                <w:sz w:val="18"/>
              </w:rPr>
              <w:t>Near doubling</w:t>
            </w:r>
          </w:p>
        </w:tc>
      </w:tr>
      <w:tr>
        <w:tc>
          <w:tcPr>
            <w:tcW w:type="dxa" w:w="1806"/>
            <w:vAlign w:val="center"/>
            <w:shd w:fill="F2F6FB" w:val="clear" w:color="auto"/>
          </w:tcPr>
          <w:p>
            <w:pPr>
              <w:jc w:val="center"/>
            </w:pPr>
            <w:r>
              <w:rPr>
                <w:sz w:val="18"/>
              </w:rPr>
              <w:t>128</w:t>
            </w:r>
          </w:p>
        </w:tc>
        <w:tc>
          <w:tcPr>
            <w:tcW w:type="dxa" w:w="1806"/>
            <w:vAlign w:val="center"/>
            <w:shd w:fill="F2F6FB" w:val="clear" w:color="auto"/>
          </w:tcPr>
          <w:p>
            <w:pPr>
              <w:jc w:val="center"/>
            </w:pPr>
            <w:r>
              <w:rPr>
                <w:sz w:val="18"/>
              </w:rPr>
              <w:t>15.05</w:t>
            </w:r>
          </w:p>
        </w:tc>
        <w:tc>
          <w:tcPr>
            <w:tcW w:type="dxa" w:w="1806"/>
            <w:vAlign w:val="center"/>
            <w:shd w:fill="F2F6FB" w:val="clear" w:color="auto"/>
          </w:tcPr>
          <w:p>
            <w:pPr>
              <w:jc w:val="center"/>
            </w:pPr>
            <w:r>
              <w:rPr>
                <w:sz w:val="18"/>
              </w:rPr>
              <w:t>29.77</w:t>
            </w:r>
          </w:p>
        </w:tc>
        <w:tc>
          <w:tcPr>
            <w:tcW w:type="dxa" w:w="1806"/>
            <w:vAlign w:val="center"/>
            <w:shd w:fill="F2F6FB" w:val="clear" w:color="auto"/>
          </w:tcPr>
          <w:p>
            <w:pPr>
              <w:jc w:val="center"/>
            </w:pPr>
            <w:r>
              <w:rPr>
                <w:sz w:val="18"/>
              </w:rPr>
              <w:t>+14.72</w:t>
            </w:r>
          </w:p>
        </w:tc>
        <w:tc>
          <w:tcPr>
            <w:tcW w:type="dxa" w:w="1806"/>
            <w:vAlign w:val="center"/>
            <w:shd w:fill="F2F6FB" w:val="clear" w:color="auto"/>
          </w:tcPr>
          <w:p>
            <w:pPr>
              <w:jc w:val="center"/>
            </w:pPr>
            <w:r>
              <w:rPr>
                <w:sz w:val="18"/>
              </w:rPr>
              <w:t>Finer sampling, higher peak</w:t>
            </w:r>
          </w:p>
        </w:tc>
      </w:tr>
      <w:tr>
        <w:tc>
          <w:tcPr>
            <w:tcW w:type="dxa" w:w="1806"/>
            <w:vAlign w:val="center"/>
          </w:tcPr>
          <w:p>
            <w:pPr>
              <w:jc w:val="center"/>
            </w:pPr>
            <w:r>
              <w:rPr>
                <w:sz w:val="18"/>
              </w:rPr>
              <w:t>256</w:t>
            </w:r>
          </w:p>
        </w:tc>
        <w:tc>
          <w:tcPr>
            <w:tcW w:type="dxa" w:w="1806"/>
            <w:vAlign w:val="center"/>
          </w:tcPr>
          <w:p>
            <w:pPr>
              <w:jc w:val="center"/>
            </w:pPr>
            <w:r>
              <w:rPr>
                <w:sz w:val="18"/>
              </w:rPr>
              <w:t>15.05</w:t>
            </w:r>
          </w:p>
        </w:tc>
        <w:tc>
          <w:tcPr>
            <w:tcW w:type="dxa" w:w="1806"/>
            <w:vAlign w:val="center"/>
          </w:tcPr>
          <w:p>
            <w:pPr>
              <w:jc w:val="center"/>
            </w:pPr>
            <w:r>
              <w:rPr>
                <w:sz w:val="18"/>
              </w:rPr>
              <w:t>29.77</w:t>
            </w:r>
          </w:p>
        </w:tc>
        <w:tc>
          <w:tcPr>
            <w:tcW w:type="dxa" w:w="1806"/>
            <w:vAlign w:val="center"/>
          </w:tcPr>
          <w:p>
            <w:pPr>
              <w:jc w:val="center"/>
            </w:pPr>
            <w:r>
              <w:rPr>
                <w:sz w:val="18"/>
              </w:rPr>
              <w:t>+14.72</w:t>
            </w:r>
          </w:p>
        </w:tc>
        <w:tc>
          <w:tcPr>
            <w:tcW w:type="dxa" w:w="1806"/>
            <w:vAlign w:val="center"/>
          </w:tcPr>
          <w:p>
            <w:pPr>
              <w:jc w:val="center"/>
            </w:pPr>
            <w:r>
              <w:rPr>
                <w:sz w:val="18"/>
              </w:rPr>
              <w:t>Converged; interpolation only</w:t>
            </w:r>
          </w:p>
        </w:tc>
      </w:tr>
    </w:tbl>
    <w:p>
      <w:pPr>
        <w:spacing w:after="40"/>
      </w:pPr>
    </w:p>
    <w:p>
      <w:pPr>
        <w:spacing w:after="160" w:before="0"/>
        <w:jc w:val="both"/>
        <w:jc w:val="both"/>
      </w:pPr>
      <w:r>
        <w:rPr>
          <w:b w:val="0"/>
          <w:i w:val="0"/>
          <w:sz w:val="22"/>
        </w:rPr>
        <w:t>The spectrum is not impulses because finite truncation windows the infinite cosine → convolution with sinc (leakage). Frequency 0.10 does not coincide with a DFT bin (e.g., N=64 bins at k/64=0.09375, 0.1094), so energy leaks to neighbours. Increasing N from 64 to 128 halves bin spacing (0.0156→0.0078) and interpolates DTFT, raising peak 13.76→15.05 then converging at 256; true resolution depends on L, not N.</w:t>
      </w:r>
    </w:p>
    <w:p>
      <w:pPr>
        <w:pStyle w:val="Heading3"/>
      </w:pPr>
      <w:r/>
      <w:r>
        <w:rPr>
          <w:color w:val="2F5496"/>
        </w:rPr>
        <w:t>3.1.7   Q7 — Extended record L=60 (n=[0:59])</w:t>
      </w:r>
    </w:p>
    <w:p>
      <w:pPr>
        <w:spacing w:before="120" w:after="40"/>
        <w:jc w:val="center"/>
      </w:pPr>
      <w:r>
        <w:drawing>
          <wp:inline xmlns:a="http://schemas.openxmlformats.org/drawingml/2006/main" xmlns:pic="http://schemas.openxmlformats.org/drawingml/2006/picture">
            <wp:extent cx="5486400" cy="3892731"/>
            <wp:docPr id="6" name="Picture 6"/>
            <wp:cNvGraphicFramePr>
              <a:graphicFrameLocks noChangeAspect="1"/>
            </wp:cNvGraphicFramePr>
            <a:graphic>
              <a:graphicData uri="http://schemas.openxmlformats.org/drawingml/2006/picture">
                <pic:pic>
                  <pic:nvPicPr>
                    <pic:cNvPr id="0" name="prelab3_n60_N64_128_256.png"/>
                    <pic:cNvPicPr/>
                  </pic:nvPicPr>
                  <pic:blipFill>
                    <a:blip r:embed="rId14"/>
                    <a:stretch>
                      <a:fillRect/>
                    </a:stretch>
                  </pic:blipFill>
                  <pic:spPr>
                    <a:xfrm>
                      <a:off x="0" y="0"/>
                      <a:ext cx="5486400" cy="3892731"/>
                    </a:xfrm>
                    <a:prstGeom prst="rect"/>
                  </pic:spPr>
                </pic:pic>
              </a:graphicData>
            </a:graphic>
          </wp:inline>
        </w:drawing>
      </w:r>
    </w:p>
    <w:p>
      <w:pPr>
        <w:pStyle w:val="Caption"/>
        <w:jc w:val="center"/>
      </w:pPr>
      <w:r>
        <w:rPr>
          <w:i/>
          <w:color w:val="44546A"/>
          <w:sz w:val="18"/>
        </w:rPr>
        <w:t>Figure 6.  Extended to L=60 (6 cycles). Peaks are taller and narrower; side-lobes relatively reduced.</w:t>
      </w:r>
    </w:p>
    <w:p>
      <w:pPr>
        <w:spacing w:after="160" w:before="0"/>
        <w:jc w:val="both"/>
        <w:jc w:val="both"/>
      </w:pPr>
      <w:r>
        <w:rPr>
          <w:b w:val="0"/>
          <w:i w:val="0"/>
        </w:rPr>
        <w:t>Doubling to 60 samples doubles energy and halves main-lobe width (≈1/L). Peaks increase 13.76→22.88 (N=64) and 15.05→29.77 (N=128/256) (Table 3), validating time-frequency trade-off: longer observation → finer frequency selectivity. The bench FFT shows the same scaling with gate length (Part B).</w:t>
      </w:r>
    </w:p>
    <w:p>
      <w:pPr>
        <w:pStyle w:val="Heading2"/>
      </w:pPr>
      <w:r/>
      <w:r>
        <w:rPr>
          <w:color w:val="2F5496"/>
        </w:rPr>
        <w:t>3.2   Sampling of y(t)=10 cos(1000πt) — Part A</w:t>
      </w:r>
    </w:p>
    <w:p>
      <w:pPr>
        <w:pStyle w:val="Caption"/>
        <w:spacing w:before="160" w:after="80"/>
        <w:jc w:val="center"/>
      </w:pPr>
      <w:r>
        <w:rPr>
          <w:i/>
          <w:color w:val="44546A"/>
          <w:sz w:val="18"/>
        </w:rPr>
        <w:t>Table 4.  Part A configurations (y=10cos(1000πt), f=500 Hz, t_0=−5 ms, dur=15 ms).</w:t>
      </w:r>
    </w:p>
    <w:tbl>
      <w:tblPr>
        <w:tblStyle w:val="LightGrid-Accent1"/>
        <w:tblW w:type="auto" w:w="0"/>
        <w:jc w:val="center"/>
        <w:tblLayout w:type="fixed"/>
        <w:tblLook w:firstColumn="1" w:firstRow="1" w:lastColumn="0" w:lastRow="0" w:noHBand="0" w:noVBand="1" w:val="04A0"/>
      </w:tblPr>
      <w:tblGrid>
        <w:gridCol w:w="1152"/>
        <w:gridCol w:w="1008"/>
        <w:gridCol w:w="1080"/>
        <w:gridCol w:w="864"/>
        <w:gridCol w:w="1152"/>
        <w:gridCol w:w="1152"/>
        <w:gridCol w:w="1296"/>
        <w:gridCol w:w="2160"/>
      </w:tblGrid>
      <w:tr>
        <w:tc>
          <w:tcPr>
            <w:tcW w:type="dxa" w:w="1129"/>
            <w:shd w:fill="2F5496" w:val="clear" w:color="auto"/>
            <w:vAlign w:val="center"/>
          </w:tcPr>
          <w:p>
            <w:pPr>
              <w:jc w:val="center"/>
            </w:pPr>
            <w:r>
              <w:rPr>
                <w:b/>
                <w:color w:val="FFFFFF"/>
                <w:sz w:val="18"/>
              </w:rPr>
              <w:t>Case</w:t>
            </w:r>
          </w:p>
        </w:tc>
        <w:tc>
          <w:tcPr>
            <w:tcW w:type="dxa" w:w="1129"/>
            <w:shd w:fill="2F5496" w:val="clear" w:color="auto"/>
            <w:vAlign w:val="center"/>
          </w:tcPr>
          <w:p>
            <w:pPr>
              <w:jc w:val="center"/>
            </w:pPr>
            <w:r>
              <w:rPr>
                <w:b/>
                <w:color w:val="FFFFFF"/>
                <w:sz w:val="18"/>
              </w:rPr>
              <w:t>f_s</w:t>
            </w:r>
          </w:p>
        </w:tc>
        <w:tc>
          <w:tcPr>
            <w:tcW w:type="dxa" w:w="1129"/>
            <w:shd w:fill="2F5496" w:val="clear" w:color="auto"/>
            <w:vAlign w:val="center"/>
          </w:tcPr>
          <w:p>
            <w:pPr>
              <w:jc w:val="center"/>
            </w:pPr>
            <w:r>
              <w:rPr>
                <w:b/>
                <w:color w:val="FFFFFF"/>
                <w:sz w:val="18"/>
              </w:rPr>
              <w:t>T_s</w:t>
            </w:r>
          </w:p>
        </w:tc>
        <w:tc>
          <w:tcPr>
            <w:tcW w:type="dxa" w:w="1129"/>
            <w:shd w:fill="2F5496" w:val="clear" w:color="auto"/>
            <w:vAlign w:val="center"/>
          </w:tcPr>
          <w:p>
            <w:pPr>
              <w:jc w:val="center"/>
            </w:pPr>
            <w:r>
              <w:rPr>
                <w:b/>
                <w:color w:val="FFFFFF"/>
                <w:sz w:val="18"/>
              </w:rPr>
              <w:t>N</w:t>
            </w:r>
          </w:p>
        </w:tc>
        <w:tc>
          <w:tcPr>
            <w:tcW w:type="dxa" w:w="1129"/>
            <w:shd w:fill="2F5496" w:val="clear" w:color="auto"/>
            <w:vAlign w:val="center"/>
          </w:tcPr>
          <w:p>
            <w:pPr>
              <w:jc w:val="center"/>
            </w:pPr>
            <w:r>
              <w:rPr>
                <w:b/>
                <w:color w:val="FFFFFF"/>
                <w:sz w:val="18"/>
              </w:rPr>
              <w:t>s/period</w:t>
            </w:r>
          </w:p>
        </w:tc>
        <w:tc>
          <w:tcPr>
            <w:tcW w:type="dxa" w:w="1129"/>
            <w:shd w:fill="2F5496" w:val="clear" w:color="auto"/>
            <w:vAlign w:val="center"/>
          </w:tcPr>
          <w:p>
            <w:pPr>
              <w:jc w:val="center"/>
            </w:pPr>
            <w:r>
              <w:rPr>
                <w:b/>
                <w:color w:val="FFFFFF"/>
                <w:sz w:val="18"/>
              </w:rPr>
              <w:t>f_s/Nyq</w:t>
            </w:r>
          </w:p>
        </w:tc>
        <w:tc>
          <w:tcPr>
            <w:tcW w:type="dxa" w:w="1129"/>
            <w:shd w:fill="2F5496" w:val="clear" w:color="auto"/>
            <w:vAlign w:val="center"/>
          </w:tcPr>
          <w:p>
            <w:pPr>
              <w:jc w:val="center"/>
            </w:pPr>
            <w:r>
              <w:rPr>
                <w:b/>
                <w:color w:val="FFFFFF"/>
                <w:sz w:val="18"/>
              </w:rPr>
              <w:t>Alias</w:t>
            </w:r>
          </w:p>
        </w:tc>
        <w:tc>
          <w:tcPr>
            <w:tcW w:type="dxa" w:w="1129"/>
            <w:shd w:fill="2F5496" w:val="clear" w:color="auto"/>
            <w:vAlign w:val="center"/>
          </w:tcPr>
          <w:p>
            <w:pPr>
              <w:jc w:val="center"/>
            </w:pPr>
            <w:r>
              <w:rPr>
                <w:b/>
                <w:color w:val="FFFFFF"/>
                <w:sz w:val="18"/>
              </w:rPr>
              <w:t>Appearance</w:t>
            </w:r>
          </w:p>
        </w:tc>
      </w:tr>
      <w:tr>
        <w:tc>
          <w:tcPr>
            <w:tcW w:type="dxa" w:w="1129"/>
            <w:vAlign w:val="center"/>
          </w:tcPr>
          <w:p>
            <w:pPr>
              <w:jc w:val="center"/>
            </w:pPr>
            <w:r>
              <w:rPr>
                <w:sz w:val="18"/>
              </w:rPr>
              <w:t>A1 (Fig.7)</w:t>
            </w:r>
          </w:p>
        </w:tc>
        <w:tc>
          <w:tcPr>
            <w:tcW w:type="dxa" w:w="1129"/>
            <w:vAlign w:val="center"/>
          </w:tcPr>
          <w:p>
            <w:pPr>
              <w:jc w:val="center"/>
            </w:pPr>
            <w:r>
              <w:rPr>
                <w:sz w:val="18"/>
              </w:rPr>
              <w:t>10 kHz</w:t>
            </w:r>
          </w:p>
        </w:tc>
        <w:tc>
          <w:tcPr>
            <w:tcW w:type="dxa" w:w="1129"/>
            <w:vAlign w:val="center"/>
          </w:tcPr>
          <w:p>
            <w:pPr>
              <w:jc w:val="center"/>
            </w:pPr>
            <w:r>
              <w:rPr>
                <w:sz w:val="18"/>
              </w:rPr>
              <w:t>0.10 ms</w:t>
            </w:r>
          </w:p>
        </w:tc>
        <w:tc>
          <w:tcPr>
            <w:tcW w:type="dxa" w:w="1129"/>
            <w:vAlign w:val="center"/>
          </w:tcPr>
          <w:p>
            <w:pPr>
              <w:jc w:val="center"/>
            </w:pPr>
            <w:r>
              <w:rPr>
                <w:sz w:val="18"/>
              </w:rPr>
              <w:t>151</w:t>
            </w:r>
          </w:p>
        </w:tc>
        <w:tc>
          <w:tcPr>
            <w:tcW w:type="dxa" w:w="1129"/>
            <w:vAlign w:val="center"/>
          </w:tcPr>
          <w:p>
            <w:pPr>
              <w:jc w:val="center"/>
            </w:pPr>
            <w:r>
              <w:rPr>
                <w:sz w:val="18"/>
              </w:rPr>
              <w:t>20.0</w:t>
            </w:r>
          </w:p>
        </w:tc>
        <w:tc>
          <w:tcPr>
            <w:tcW w:type="dxa" w:w="1129"/>
            <w:vAlign w:val="center"/>
          </w:tcPr>
          <w:p>
            <w:pPr>
              <w:jc w:val="center"/>
            </w:pPr>
            <w:r>
              <w:rPr>
                <w:sz w:val="18"/>
              </w:rPr>
              <w:t>10×</w:t>
            </w:r>
          </w:p>
        </w:tc>
        <w:tc>
          <w:tcPr>
            <w:tcW w:type="dxa" w:w="1129"/>
            <w:vAlign w:val="center"/>
          </w:tcPr>
          <w:p>
            <w:pPr>
              <w:jc w:val="center"/>
            </w:pPr>
            <w:r>
              <w:rPr>
                <w:sz w:val="18"/>
              </w:rPr>
              <w:t>500 Hz</w:t>
            </w:r>
          </w:p>
        </w:tc>
        <w:tc>
          <w:tcPr>
            <w:tcW w:type="dxa" w:w="1129"/>
            <w:vAlign w:val="center"/>
          </w:tcPr>
          <w:p>
            <w:pPr>
              <w:jc w:val="center"/>
            </w:pPr>
            <w:r>
              <w:rPr>
                <w:sz w:val="18"/>
              </w:rPr>
              <w:t>Smooth ±10 V, faithful</w:t>
            </w:r>
          </w:p>
        </w:tc>
      </w:tr>
      <w:tr>
        <w:tc>
          <w:tcPr>
            <w:tcW w:type="dxa" w:w="1129"/>
            <w:vAlign w:val="center"/>
            <w:shd w:fill="F2F6FB" w:val="clear" w:color="auto"/>
          </w:tcPr>
          <w:p>
            <w:pPr>
              <w:jc w:val="center"/>
            </w:pPr>
            <w:r>
              <w:rPr>
                <w:sz w:val="18"/>
              </w:rPr>
              <w:t>A2 (Fig.8)</w:t>
            </w:r>
          </w:p>
        </w:tc>
        <w:tc>
          <w:tcPr>
            <w:tcW w:type="dxa" w:w="1129"/>
            <w:vAlign w:val="center"/>
            <w:shd w:fill="F2F6FB" w:val="clear" w:color="auto"/>
          </w:tcPr>
          <w:p>
            <w:pPr>
              <w:jc w:val="center"/>
            </w:pPr>
            <w:r>
              <w:rPr>
                <w:sz w:val="18"/>
              </w:rPr>
              <w:t>1 kHz</w:t>
            </w:r>
          </w:p>
        </w:tc>
        <w:tc>
          <w:tcPr>
            <w:tcW w:type="dxa" w:w="1129"/>
            <w:vAlign w:val="center"/>
            <w:shd w:fill="F2F6FB" w:val="clear" w:color="auto"/>
          </w:tcPr>
          <w:p>
            <w:pPr>
              <w:jc w:val="center"/>
            </w:pPr>
            <w:r>
              <w:rPr>
                <w:sz w:val="18"/>
              </w:rPr>
              <w:t>1.00 ms</w:t>
            </w:r>
          </w:p>
        </w:tc>
        <w:tc>
          <w:tcPr>
            <w:tcW w:type="dxa" w:w="1129"/>
            <w:vAlign w:val="center"/>
            <w:shd w:fill="F2F6FB" w:val="clear" w:color="auto"/>
          </w:tcPr>
          <w:p>
            <w:pPr>
              <w:jc w:val="center"/>
            </w:pPr>
            <w:r>
              <w:rPr>
                <w:sz w:val="18"/>
              </w:rPr>
              <w:t>16</w:t>
            </w:r>
          </w:p>
        </w:tc>
        <w:tc>
          <w:tcPr>
            <w:tcW w:type="dxa" w:w="1129"/>
            <w:vAlign w:val="center"/>
            <w:shd w:fill="F2F6FB" w:val="clear" w:color="auto"/>
          </w:tcPr>
          <w:p>
            <w:pPr>
              <w:jc w:val="center"/>
            </w:pPr>
            <w:r>
              <w:rPr>
                <w:sz w:val="18"/>
              </w:rPr>
              <w:t>2.0</w:t>
            </w:r>
          </w:p>
        </w:tc>
        <w:tc>
          <w:tcPr>
            <w:tcW w:type="dxa" w:w="1129"/>
            <w:vAlign w:val="center"/>
            <w:shd w:fill="F2F6FB" w:val="clear" w:color="auto"/>
          </w:tcPr>
          <w:p>
            <w:pPr>
              <w:jc w:val="center"/>
            </w:pPr>
            <w:r>
              <w:rPr>
                <w:sz w:val="18"/>
              </w:rPr>
              <w:t>1× critical</w:t>
            </w:r>
          </w:p>
        </w:tc>
        <w:tc>
          <w:tcPr>
            <w:tcW w:type="dxa" w:w="1129"/>
            <w:vAlign w:val="center"/>
            <w:shd w:fill="F2F6FB" w:val="clear" w:color="auto"/>
          </w:tcPr>
          <w:p>
            <w:pPr>
              <w:jc w:val="center"/>
            </w:pPr>
            <w:r>
              <w:rPr>
                <w:sz w:val="18"/>
              </w:rPr>
              <w:t>500 Hz</w:t>
            </w:r>
          </w:p>
        </w:tc>
        <w:tc>
          <w:tcPr>
            <w:tcW w:type="dxa" w:w="1129"/>
            <w:vAlign w:val="center"/>
            <w:shd w:fill="F2F6FB" w:val="clear" w:color="auto"/>
          </w:tcPr>
          <w:p>
            <w:pPr>
              <w:jc w:val="center"/>
            </w:pPr>
            <w:r>
              <w:rPr>
                <w:sz w:val="18"/>
              </w:rPr>
              <w:t>Triangle ±10 V</w:t>
            </w:r>
          </w:p>
        </w:tc>
      </w:tr>
      <w:tr>
        <w:tc>
          <w:tcPr>
            <w:tcW w:type="dxa" w:w="1129"/>
            <w:vAlign w:val="center"/>
          </w:tcPr>
          <w:p>
            <w:pPr>
              <w:jc w:val="center"/>
            </w:pPr>
            <w:r>
              <w:rPr>
                <w:sz w:val="18"/>
              </w:rPr>
              <w:t>A3 (Fig.9)</w:t>
            </w:r>
          </w:p>
        </w:tc>
        <w:tc>
          <w:tcPr>
            <w:tcW w:type="dxa" w:w="1129"/>
            <w:vAlign w:val="center"/>
          </w:tcPr>
          <w:p>
            <w:pPr>
              <w:jc w:val="center"/>
            </w:pPr>
            <w:r>
              <w:rPr>
                <w:sz w:val="18"/>
              </w:rPr>
              <w:t>800 Hz</w:t>
            </w:r>
          </w:p>
        </w:tc>
        <w:tc>
          <w:tcPr>
            <w:tcW w:type="dxa" w:w="1129"/>
            <w:vAlign w:val="center"/>
          </w:tcPr>
          <w:p>
            <w:pPr>
              <w:jc w:val="center"/>
            </w:pPr>
            <w:r>
              <w:rPr>
                <w:sz w:val="18"/>
              </w:rPr>
              <w:t>1.25 ms</w:t>
            </w:r>
          </w:p>
        </w:tc>
        <w:tc>
          <w:tcPr>
            <w:tcW w:type="dxa" w:w="1129"/>
            <w:vAlign w:val="center"/>
          </w:tcPr>
          <w:p>
            <w:pPr>
              <w:jc w:val="center"/>
            </w:pPr>
            <w:r>
              <w:rPr>
                <w:sz w:val="18"/>
              </w:rPr>
              <w:t>13</w:t>
            </w:r>
          </w:p>
        </w:tc>
        <w:tc>
          <w:tcPr>
            <w:tcW w:type="dxa" w:w="1129"/>
            <w:vAlign w:val="center"/>
          </w:tcPr>
          <w:p>
            <w:pPr>
              <w:jc w:val="center"/>
            </w:pPr>
            <w:r>
              <w:rPr>
                <w:sz w:val="18"/>
              </w:rPr>
              <w:t>1.6</w:t>
            </w:r>
          </w:p>
        </w:tc>
        <w:tc>
          <w:tcPr>
            <w:tcW w:type="dxa" w:w="1129"/>
            <w:vAlign w:val="center"/>
          </w:tcPr>
          <w:p>
            <w:pPr>
              <w:jc w:val="center"/>
            </w:pPr>
            <w:r>
              <w:rPr>
                <w:sz w:val="18"/>
              </w:rPr>
              <w:t>0.8×</w:t>
            </w:r>
          </w:p>
        </w:tc>
        <w:tc>
          <w:tcPr>
            <w:tcW w:type="dxa" w:w="1129"/>
            <w:vAlign w:val="center"/>
          </w:tcPr>
          <w:p>
            <w:pPr>
              <w:jc w:val="center"/>
            </w:pPr>
            <w:r>
              <w:rPr>
                <w:sz w:val="18"/>
              </w:rPr>
              <w:t>300 Hz</w:t>
            </w:r>
          </w:p>
        </w:tc>
        <w:tc>
          <w:tcPr>
            <w:tcW w:type="dxa" w:w="1129"/>
            <w:vAlign w:val="center"/>
          </w:tcPr>
          <w:p>
            <w:pPr>
              <w:jc w:val="center"/>
            </w:pPr>
            <w:r>
              <w:rPr>
                <w:sz w:val="18"/>
              </w:rPr>
              <w:t>Jagged, 0–10 V</w:t>
            </w:r>
          </w:p>
        </w:tc>
      </w:tr>
      <w:tr>
        <w:tc>
          <w:tcPr>
            <w:tcW w:type="dxa" w:w="1129"/>
            <w:vAlign w:val="center"/>
            <w:shd w:fill="F2F6FB" w:val="clear" w:color="auto"/>
          </w:tcPr>
          <w:p>
            <w:pPr>
              <w:jc w:val="center"/>
            </w:pPr>
            <w:r>
              <w:rPr>
                <w:sz w:val="18"/>
              </w:rPr>
              <w:t>A4 (Fig.10)</w:t>
            </w:r>
          </w:p>
        </w:tc>
        <w:tc>
          <w:tcPr>
            <w:tcW w:type="dxa" w:w="1129"/>
            <w:vAlign w:val="center"/>
            <w:shd w:fill="F2F6FB" w:val="clear" w:color="auto"/>
          </w:tcPr>
          <w:p>
            <w:pPr>
              <w:jc w:val="center"/>
            </w:pPr>
            <w:r>
              <w:rPr>
                <w:sz w:val="18"/>
              </w:rPr>
              <w:t>500 Hz</w:t>
            </w:r>
          </w:p>
        </w:tc>
        <w:tc>
          <w:tcPr>
            <w:tcW w:type="dxa" w:w="1129"/>
            <w:vAlign w:val="center"/>
            <w:shd w:fill="F2F6FB" w:val="clear" w:color="auto"/>
          </w:tcPr>
          <w:p>
            <w:pPr>
              <w:jc w:val="center"/>
            </w:pPr>
            <w:r>
              <w:rPr>
                <w:sz w:val="18"/>
              </w:rPr>
              <w:t>2.00 ms</w:t>
            </w:r>
          </w:p>
        </w:tc>
        <w:tc>
          <w:tcPr>
            <w:tcW w:type="dxa" w:w="1129"/>
            <w:vAlign w:val="center"/>
            <w:shd w:fill="F2F6FB" w:val="clear" w:color="auto"/>
          </w:tcPr>
          <w:p>
            <w:pPr>
              <w:jc w:val="center"/>
            </w:pPr>
            <w:r>
              <w:rPr>
                <w:sz w:val="18"/>
              </w:rPr>
              <w:t>8</w:t>
            </w:r>
          </w:p>
        </w:tc>
        <w:tc>
          <w:tcPr>
            <w:tcW w:type="dxa" w:w="1129"/>
            <w:vAlign w:val="center"/>
            <w:shd w:fill="F2F6FB" w:val="clear" w:color="auto"/>
          </w:tcPr>
          <w:p>
            <w:pPr>
              <w:jc w:val="center"/>
            </w:pPr>
            <w:r>
              <w:rPr>
                <w:sz w:val="18"/>
              </w:rPr>
              <w:t>1.0</w:t>
            </w:r>
          </w:p>
        </w:tc>
        <w:tc>
          <w:tcPr>
            <w:tcW w:type="dxa" w:w="1129"/>
            <w:vAlign w:val="center"/>
            <w:shd w:fill="F2F6FB" w:val="clear" w:color="auto"/>
          </w:tcPr>
          <w:p>
            <w:pPr>
              <w:jc w:val="center"/>
            </w:pPr>
            <w:r>
              <w:rPr>
                <w:sz w:val="18"/>
              </w:rPr>
              <w:t>0.5×</w:t>
            </w:r>
          </w:p>
        </w:tc>
        <w:tc>
          <w:tcPr>
            <w:tcW w:type="dxa" w:w="1129"/>
            <w:vAlign w:val="center"/>
            <w:shd w:fill="F2F6FB" w:val="clear" w:color="auto"/>
          </w:tcPr>
          <w:p>
            <w:pPr>
              <w:jc w:val="center"/>
            </w:pPr>
            <w:r>
              <w:rPr>
                <w:sz w:val="18"/>
              </w:rPr>
              <w:t>0 Hz DC</w:t>
            </w:r>
          </w:p>
        </w:tc>
        <w:tc>
          <w:tcPr>
            <w:tcW w:type="dxa" w:w="1129"/>
            <w:vAlign w:val="center"/>
            <w:shd w:fill="F2F6FB" w:val="clear" w:color="auto"/>
          </w:tcPr>
          <w:p>
            <w:pPr>
              <w:jc w:val="center"/>
            </w:pPr>
            <w:r>
              <w:rPr>
                <w:sz w:val="18"/>
              </w:rPr>
              <w:t>Flat −10 V</w:t>
            </w:r>
          </w:p>
        </w:tc>
      </w:tr>
    </w:tbl>
    <w:p>
      <w:pPr>
        <w:spacing w:after="40"/>
      </w:pPr>
    </w:p>
    <w:p>
      <w:pPr>
        <w:spacing w:before="120" w:after="40"/>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fs_10khz.jpeg"/>
                    <pic:cNvPicPr/>
                  </pic:nvPicPr>
                  <pic:blipFill>
                    <a:blip r:embed="rId15"/>
                    <a:stretch>
                      <a:fillRect/>
                    </a:stretch>
                  </pic:blipFill>
                  <pic:spPr>
                    <a:xfrm>
                      <a:off x="0" y="0"/>
                      <a:ext cx="5120640" cy="2880360"/>
                    </a:xfrm>
                    <a:prstGeom prst="rect"/>
                  </pic:spPr>
                </pic:pic>
              </a:graphicData>
            </a:graphic>
          </wp:inline>
        </w:drawing>
      </w:r>
    </w:p>
    <w:p>
      <w:pPr>
        <w:pStyle w:val="Caption"/>
        <w:jc w:val="center"/>
      </w:pPr>
      <w:r>
        <w:rPr>
          <w:i/>
          <w:color w:val="44546A"/>
          <w:sz w:val="18"/>
        </w:rPr>
        <w:t>Figure 7.  Part A A1: f_s=10 kHz (151 samples, 20/period). The continuous cosine between −10 V and +10 V over 15 ms (7.5 periods) is fully resolved; no aliasing.</w:t>
      </w:r>
    </w:p>
    <w:p>
      <w:pPr>
        <w:spacing w:after="160" w:before="0"/>
        <w:jc w:val="both"/>
        <w:jc w:val="both"/>
      </w:pPr>
      <w:r>
        <w:rPr>
          <w:b w:val="0"/>
          <w:i/>
          <w:sz w:val="20"/>
        </w:rPr>
        <w:t>f_s≫Nyquist (10×): reconstruction via sinc/hold would be accurate; corresponds to practical oversampling.</w:t>
      </w:r>
    </w:p>
    <w:p>
      <w:pPr>
        <w:spacing w:before="120" w:after="40"/>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fs_1khz.jpeg"/>
                    <pic:cNvPicPr/>
                  </pic:nvPicPr>
                  <pic:blipFill>
                    <a:blip r:embed="rId16"/>
                    <a:stretch>
                      <a:fillRect/>
                    </a:stretch>
                  </pic:blipFill>
                  <pic:spPr>
                    <a:xfrm>
                      <a:off x="0" y="0"/>
                      <a:ext cx="5120640" cy="2880360"/>
                    </a:xfrm>
                    <a:prstGeom prst="rect"/>
                  </pic:spPr>
                </pic:pic>
              </a:graphicData>
            </a:graphic>
          </wp:inline>
        </w:drawing>
      </w:r>
    </w:p>
    <w:p>
      <w:pPr>
        <w:pStyle w:val="Caption"/>
        <w:jc w:val="center"/>
      </w:pPr>
      <w:r>
        <w:rPr>
          <w:i/>
          <w:color w:val="44546A"/>
          <w:sz w:val="18"/>
        </w:rPr>
        <w:t>Figure 8.  Part A A2: f_s=1 kHz (16 samples, 2/period) — critical sampling. Samples alternate −10 V↔+10 V, triangle envelope at 500 Hz; opposite phase would give 0 V.</w:t>
      </w:r>
    </w:p>
    <w:p>
      <w:pPr>
        <w:spacing w:after="160" w:before="0"/>
        <w:jc w:val="both"/>
        <w:jc w:val="both"/>
      </w:pPr>
      <w:r>
        <w:rPr>
          <w:b w:val="0"/>
          <w:i/>
          <w:sz w:val="20"/>
        </w:rPr>
        <w:t>At f_s=2f the Shannon limit is met but phase-sensitive; f_s&gt;2f_max plus anti-alias filter is required in practice. (Regenerated Oct 2026; original screenshot missing.)</w:t>
      </w:r>
    </w:p>
    <w:p>
      <w:pPr>
        <w:spacing w:before="120" w:after="4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fs_800hz.jpeg"/>
                    <pic:cNvPicPr/>
                  </pic:nvPicPr>
                  <pic:blipFill>
                    <a:blip r:embed="rId17"/>
                    <a:stretch>
                      <a:fillRect/>
                    </a:stretch>
                  </pic:blipFill>
                  <pic:spPr>
                    <a:xfrm>
                      <a:off x="0" y="0"/>
                      <a:ext cx="5120640" cy="2880360"/>
                    </a:xfrm>
                    <a:prstGeom prst="rect"/>
                  </pic:spPr>
                </pic:pic>
              </a:graphicData>
            </a:graphic>
          </wp:inline>
        </w:drawing>
      </w:r>
    </w:p>
    <w:p>
      <w:pPr>
        <w:pStyle w:val="Caption"/>
        <w:jc w:val="center"/>
      </w:pPr>
      <w:r>
        <w:rPr>
          <w:i/>
          <w:color w:val="44546A"/>
          <w:sz w:val="18"/>
        </w:rPr>
        <w:t>Figure 9.  Part A A3: f_s=800 Hz (13 samples, 1.6/period). Alias 300 Hz (|500−800|). Amplitude 7.07/0 V beating.</w:t>
      </w:r>
    </w:p>
    <w:p>
      <w:pPr>
        <w:spacing w:after="160" w:before="0"/>
        <w:jc w:val="both"/>
        <w:jc w:val="both"/>
      </w:pPr>
      <w:r>
        <w:rPr>
          <w:b w:val="0"/>
          <w:i/>
          <w:sz w:val="20"/>
        </w:rPr>
        <w:t>Undersampled (f_s&lt;Nyq): apparent tone lower at 300 Hz; amplitude irregular due to sampling phase.</w:t>
      </w:r>
    </w:p>
    <w:p>
      <w:pPr>
        <w:spacing w:before="120" w:after="40"/>
        <w:jc w:val="center"/>
      </w:pPr>
      <w:r>
        <w:drawing>
          <wp:inline xmlns:a="http://schemas.openxmlformats.org/drawingml/2006/main" xmlns:pic="http://schemas.openxmlformats.org/drawingml/2006/picture">
            <wp:extent cx="5120640" cy="2886761"/>
            <wp:docPr id="10" name="Picture 10"/>
            <wp:cNvGraphicFramePr>
              <a:graphicFrameLocks noChangeAspect="1"/>
            </wp:cNvGraphicFramePr>
            <a:graphic>
              <a:graphicData uri="http://schemas.openxmlformats.org/drawingml/2006/picture">
                <pic:pic>
                  <pic:nvPicPr>
                    <pic:cNvPr id="0" name="fs_500hz.jpeg"/>
                    <pic:cNvPicPr/>
                  </pic:nvPicPr>
                  <pic:blipFill>
                    <a:blip r:embed="rId18"/>
                    <a:stretch>
                      <a:fillRect/>
                    </a:stretch>
                  </pic:blipFill>
                  <pic:spPr>
                    <a:xfrm>
                      <a:off x="0" y="0"/>
                      <a:ext cx="5120640" cy="2886761"/>
                    </a:xfrm>
                    <a:prstGeom prst="rect"/>
                  </pic:spPr>
                </pic:pic>
              </a:graphicData>
            </a:graphic>
          </wp:inline>
        </w:drawing>
      </w:r>
    </w:p>
    <w:p>
      <w:pPr>
        <w:pStyle w:val="Caption"/>
        <w:jc w:val="center"/>
      </w:pPr>
      <w:r>
        <w:rPr>
          <w:i/>
          <w:color w:val="44546A"/>
          <w:sz w:val="18"/>
        </w:rPr>
        <w:t>Figure 10.  Part A A4: f_s=500 Hz (8 samples, 1/period). Alias 0 Hz DC — flat −10 V (trough samples for phi=0).</w:t>
      </w:r>
    </w:p>
    <w:p>
      <w:pPr>
        <w:spacing w:after="160" w:before="0"/>
        <w:jc w:val="both"/>
        <w:jc w:val="both"/>
      </w:pPr>
      <w:r>
        <w:rPr>
          <w:b w:val="0"/>
          <w:i/>
          <w:sz w:val="20"/>
        </w:rPr>
        <w:t>Sampling at signal frequency loses frequency information; demonstrates f_alias=|500−500|=0 Hz.</w:t>
      </w:r>
    </w:p>
    <w:p>
      <w:pPr>
        <w:pStyle w:val="Heading2"/>
      </w:pPr>
      <w:r/>
      <w:r>
        <w:rPr>
          <w:color w:val="2F5496"/>
        </w:rPr>
        <w:t>3.3   FFT and windowing — Part B</w:t>
      </w:r>
    </w:p>
    <w:p>
      <w:pPr>
        <w:pStyle w:val="Caption"/>
        <w:spacing w:before="160" w:after="80"/>
        <w:jc w:val="center"/>
      </w:pPr>
      <w:r>
        <w:rPr>
          <w:i/>
          <w:color w:val="44546A"/>
          <w:sz w:val="18"/>
        </w:rPr>
        <w:t>Table 5.  Oscilloscope FFT configuration (Part B).</w:t>
      </w:r>
    </w:p>
    <w:tbl>
      <w:tblPr>
        <w:tblStyle w:val="LightGrid-Accent1"/>
        <w:tblW w:type="auto" w:w="0"/>
        <w:jc w:val="center"/>
        <w:tblLayout w:type="fixed"/>
        <w:tblLook w:firstColumn="1" w:firstRow="1" w:lastColumn="0" w:lastRow="0" w:noHBand="0" w:noVBand="1" w:val="04A0"/>
      </w:tblPr>
      <w:tblGrid>
        <w:gridCol w:w="2592"/>
        <w:gridCol w:w="7200"/>
      </w:tblGrid>
      <w:tr>
        <w:tc>
          <w:tcPr>
            <w:tcW w:type="dxa" w:w="4514"/>
            <w:shd w:fill="2F5496" w:val="clear" w:color="auto"/>
            <w:vAlign w:val="center"/>
          </w:tcPr>
          <w:p>
            <w:pPr>
              <w:jc w:val="center"/>
            </w:pPr>
            <w:r>
              <w:rPr>
                <w:b/>
                <w:color w:val="FFFFFF"/>
                <w:sz w:val="18"/>
              </w:rPr>
              <w:t>Parameter</w:t>
            </w:r>
          </w:p>
        </w:tc>
        <w:tc>
          <w:tcPr>
            <w:tcW w:type="dxa" w:w="4514"/>
            <w:shd w:fill="2F5496" w:val="clear" w:color="auto"/>
            <w:vAlign w:val="center"/>
          </w:tcPr>
          <w:p>
            <w:pPr>
              <w:jc w:val="center"/>
            </w:pPr>
            <w:r>
              <w:rPr>
                <w:b/>
                <w:color w:val="FFFFFF"/>
                <w:sz w:val="18"/>
              </w:rPr>
              <w:t>Value</w:t>
            </w:r>
          </w:p>
        </w:tc>
      </w:tr>
      <w:tr>
        <w:tc>
          <w:tcPr>
            <w:tcW w:type="dxa" w:w="4514"/>
            <w:vAlign w:val="center"/>
          </w:tcPr>
          <w:p>
            <w:pPr>
              <w:jc w:val="center"/>
            </w:pPr>
            <w:r>
              <w:rPr>
                <w:sz w:val="18"/>
              </w:rPr>
              <w:t>Source</w:t>
            </w:r>
          </w:p>
        </w:tc>
        <w:tc>
          <w:tcPr>
            <w:tcW w:type="dxa" w:w="4514"/>
            <w:vAlign w:val="center"/>
          </w:tcPr>
          <w:p>
            <w:pPr>
              <w:jc w:val="center"/>
            </w:pPr>
            <w:r>
              <w:rPr>
                <w:sz w:val="18"/>
              </w:rPr>
              <w:t>50 kHz sine (49.92–50.05 kHz meas.) and 50% square, Agilent 33220A → Ch1</w:t>
            </w:r>
          </w:p>
        </w:tc>
      </w:tr>
      <w:tr>
        <w:tc>
          <w:tcPr>
            <w:tcW w:type="dxa" w:w="4514"/>
            <w:vAlign w:val="center"/>
            <w:shd w:fill="F2F6FB" w:val="clear" w:color="auto"/>
          </w:tcPr>
          <w:p>
            <w:pPr>
              <w:jc w:val="center"/>
            </w:pPr>
            <w:r>
              <w:rPr>
                <w:sz w:val="18"/>
              </w:rPr>
              <w:t>Nominal amplitude</w:t>
            </w:r>
          </w:p>
        </w:tc>
        <w:tc>
          <w:tcPr>
            <w:tcW w:type="dxa" w:w="4514"/>
            <w:vAlign w:val="center"/>
            <w:shd w:fill="F2F6FB" w:val="clear" w:color="auto"/>
          </w:tcPr>
          <w:p>
            <w:pPr>
              <w:jc w:val="center"/>
            </w:pPr>
            <w:r>
              <w:rPr>
                <w:sz w:val="18"/>
              </w:rPr>
              <w:t>2.0 V (Pk-Pk 6.03 V sine, 4.95 V square — see Limitations)</w:t>
            </w:r>
          </w:p>
        </w:tc>
      </w:tr>
      <w:tr>
        <w:tc>
          <w:tcPr>
            <w:tcW w:type="dxa" w:w="4514"/>
            <w:vAlign w:val="center"/>
          </w:tcPr>
          <w:p>
            <w:pPr>
              <w:jc w:val="center"/>
            </w:pPr>
            <w:r>
              <w:rPr>
                <w:sz w:val="18"/>
              </w:rPr>
              <w:t>FFT Span/Centre</w:t>
            </w:r>
          </w:p>
        </w:tc>
        <w:tc>
          <w:tcPr>
            <w:tcW w:type="dxa" w:w="4514"/>
            <w:vAlign w:val="center"/>
          </w:tcPr>
          <w:p>
            <w:pPr>
              <w:jc w:val="center"/>
            </w:pPr>
            <w:r>
              <w:rPr>
                <w:sz w:val="18"/>
              </w:rPr>
              <w:t>500 kHz / 250 kHz (50–450 kHz displayed)</w:t>
            </w:r>
          </w:p>
        </w:tc>
      </w:tr>
      <w:tr>
        <w:tc>
          <w:tcPr>
            <w:tcW w:type="dxa" w:w="4514"/>
            <w:vAlign w:val="center"/>
            <w:shd w:fill="F2F6FB" w:val="clear" w:color="auto"/>
          </w:tcPr>
          <w:p>
            <w:pPr>
              <w:jc w:val="center"/>
            </w:pPr>
            <w:r>
              <w:rPr>
                <w:sz w:val="18"/>
              </w:rPr>
              <w:t>Scale/Offset/Units</w:t>
            </w:r>
          </w:p>
        </w:tc>
        <w:tc>
          <w:tcPr>
            <w:tcW w:type="dxa" w:w="4514"/>
            <w:vAlign w:val="center"/>
            <w:shd w:fill="F2F6FB" w:val="clear" w:color="auto"/>
          </w:tcPr>
          <w:p>
            <w:pPr>
              <w:jc w:val="center"/>
            </w:pPr>
            <w:r>
              <w:rPr>
                <w:sz w:val="18"/>
              </w:rPr>
              <w:t>5.00 dB/div / 0.0 dBV / Logarithmic</w:t>
            </w:r>
          </w:p>
        </w:tc>
      </w:tr>
      <w:tr>
        <w:tc>
          <w:tcPr>
            <w:tcW w:type="dxa" w:w="4514"/>
            <w:vAlign w:val="center"/>
          </w:tcPr>
          <w:p>
            <w:pPr>
              <w:jc w:val="center"/>
            </w:pPr>
            <w:r>
              <w:rPr>
                <w:sz w:val="18"/>
              </w:rPr>
              <w:t>Gating/Detection</w:t>
            </w:r>
          </w:p>
        </w:tc>
        <w:tc>
          <w:tcPr>
            <w:tcW w:type="dxa" w:w="4514"/>
            <w:vAlign w:val="center"/>
          </w:tcPr>
          <w:p>
            <w:pPr>
              <w:jc w:val="center"/>
            </w:pPr>
            <w:r>
              <w:rPr>
                <w:sz w:val="18"/>
              </w:rPr>
              <w:t>None / None, 640 pts/span</w:t>
            </w:r>
          </w:p>
        </w:tc>
      </w:tr>
      <w:tr>
        <w:tc>
          <w:tcPr>
            <w:tcW w:type="dxa" w:w="4514"/>
            <w:vAlign w:val="center"/>
            <w:shd w:fill="F2F6FB" w:val="clear" w:color="auto"/>
          </w:tcPr>
          <w:p>
            <w:pPr>
              <w:jc w:val="center"/>
            </w:pPr>
            <w:r>
              <w:rPr>
                <w:sz w:val="18"/>
              </w:rPr>
              <w:t>Windows</w:t>
            </w:r>
          </w:p>
        </w:tc>
        <w:tc>
          <w:tcPr>
            <w:tcW w:type="dxa" w:w="4514"/>
            <w:vAlign w:val="center"/>
            <w:shd w:fill="F2F6FB" w:val="clear" w:color="auto"/>
          </w:tcPr>
          <w:p>
            <w:pPr>
              <w:jc w:val="center"/>
            </w:pPr>
            <w:r>
              <w:rPr>
                <w:sz w:val="18"/>
              </w:rPr>
              <w:t>Hanning (2,10,50 cyc) and Rectangular (2,10,50 cyc); Square = Rectangular</w:t>
            </w:r>
          </w:p>
        </w:tc>
      </w:tr>
    </w:tbl>
    <w:p>
      <w:pPr>
        <w:spacing w:after="40"/>
      </w:pPr>
    </w:p>
    <w:p>
      <w:pPr>
        <w:pStyle w:val="Heading3"/>
      </w:pPr>
      <w:r/>
      <w:r>
        <w:rPr>
          <w:color w:val="2F5496"/>
        </w:rPr>
        <w:t>3.3.1   Hanning versus Rectangular (2 cycles)</w:t>
      </w:r>
    </w:p>
    <w:p>
      <w:pPr>
        <w:spacing w:after="160" w:before="0"/>
        <w:jc w:val="both"/>
        <w:jc w:val="both"/>
      </w:pPr>
      <w:r>
        <w:rPr>
          <w:b w:val="0"/>
          <w:i w:val="0"/>
        </w:rPr>
        <w:t>Gate 4.00 µs/div×10=40 µs → 2 cycles of 50 kHz. Bin Size 9.54 kHz both (Figs. 11–12).</w:t>
      </w:r>
    </w:p>
    <w:p>
      <w:pPr>
        <w:spacing w:before="120" w:after="40"/>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sine_hanning_2cycles.jpeg"/>
                    <pic:cNvPicPr/>
                  </pic:nvPicPr>
                  <pic:blipFill>
                    <a:blip r:embed="rId19"/>
                    <a:stretch>
                      <a:fillRect/>
                    </a:stretch>
                  </pic:blipFill>
                  <pic:spPr>
                    <a:xfrm>
                      <a:off x="0" y="0"/>
                      <a:ext cx="5486400" cy="4114800"/>
                    </a:xfrm>
                    <a:prstGeom prst="rect"/>
                  </pic:spPr>
                </pic:pic>
              </a:graphicData>
            </a:graphic>
          </wp:inline>
        </w:drawing>
      </w:r>
    </w:p>
    <w:p>
      <w:pPr>
        <w:pStyle w:val="Caption"/>
        <w:jc w:val="center"/>
      </w:pPr>
      <w:r>
        <w:rPr>
          <w:i/>
          <w:color w:val="44546A"/>
          <w:sz w:val="18"/>
        </w:rPr>
        <w:t>Figure 11.  Sine, Hanning, 2 cycles (40 µs, Bin 9.54 kHz, 49.93 kHz, 6.03 V). Broad, clean lobe, low sidelobes.</w:t>
      </w:r>
    </w:p>
    <w:p>
      <w:pPr>
        <w:spacing w:before="120" w:after="40"/>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sine_rectangle_2cycles.jpeg"/>
                    <pic:cNvPicPr/>
                  </pic:nvPicPr>
                  <pic:blipFill>
                    <a:blip r:embed="rId20"/>
                    <a:stretch>
                      <a:fillRect/>
                    </a:stretch>
                  </pic:blipFill>
                  <pic:spPr>
                    <a:xfrm>
                      <a:off x="0" y="0"/>
                      <a:ext cx="5486400" cy="4114800"/>
                    </a:xfrm>
                    <a:prstGeom prst="rect"/>
                  </pic:spPr>
                </pic:pic>
              </a:graphicData>
            </a:graphic>
          </wp:inline>
        </w:drawing>
      </w:r>
    </w:p>
    <w:p>
      <w:pPr>
        <w:pStyle w:val="Caption"/>
        <w:jc w:val="center"/>
      </w:pPr>
      <w:r>
        <w:rPr>
          <w:i/>
          <w:color w:val="44546A"/>
          <w:sz w:val="18"/>
        </w:rPr>
        <w:t>Figure 12.  Sine, Rectangle, 2 cycles (40 µs, Bin 9.54 kHz, 50.00 kHz). Narrower main lobe, higher pedestal/leakage.</w:t>
      </w:r>
    </w:p>
    <w:p>
      <w:pPr>
        <w:spacing w:after="160" w:before="0"/>
        <w:jc w:val="both"/>
        <w:jc w:val="both"/>
      </w:pPr>
      <w:r>
        <w:rPr>
          <w:b w:val="0"/>
          <w:i w:val="0"/>
        </w:rPr>
        <w:t>Rectangular’s 4π/N lobe is narrower but −13 dB sidelobes cause leakage shoulders; Hanning’s 8π/N lobe is wider with −32 dB suppression, smoother peak. Resolution is poor (9.54 kHz bin) so both appear coarse, yet skirt steepness differs as Fig.4 predicts.</w:t>
      </w:r>
    </w:p>
    <w:p>
      <w:pPr>
        <w:pStyle w:val="Heading3"/>
      </w:pPr>
      <w:r/>
      <w:r>
        <w:rPr>
          <w:color w:val="2F5496"/>
        </w:rPr>
        <w:t>3.3.2   Resolution versus number of cycles (Rectangle)</w:t>
      </w:r>
    </w:p>
    <w:p>
      <w:pPr>
        <w:pStyle w:val="Caption"/>
        <w:spacing w:before="160" w:after="80"/>
        <w:jc w:val="center"/>
      </w:pPr>
      <w:r>
        <w:rPr>
          <w:i/>
          <w:color w:val="44546A"/>
          <w:sz w:val="18"/>
        </w:rPr>
        <w:t>Table 6.  Bin Size (FFT Resolution) versus gate length (Rectangle, 50 kHz).</w:t>
      </w:r>
    </w:p>
    <w:tbl>
      <w:tblPr>
        <w:tblStyle w:val="LightGrid-Accent1"/>
        <w:tblW w:type="auto" w:w="0"/>
        <w:jc w:val="center"/>
        <w:tblLayout w:type="fixed"/>
        <w:tblLook w:firstColumn="1" w:firstRow="1" w:lastColumn="0" w:lastRow="0" w:noHBand="0" w:noVBand="1" w:val="04A0"/>
      </w:tblPr>
      <w:tblGrid>
        <w:gridCol w:w="1008"/>
        <w:gridCol w:w="1440"/>
        <w:gridCol w:w="1440"/>
        <w:gridCol w:w="1296"/>
        <w:gridCol w:w="1296"/>
        <w:gridCol w:w="2592"/>
      </w:tblGrid>
      <w:tr>
        <w:tc>
          <w:tcPr>
            <w:tcW w:type="dxa" w:w="1505"/>
            <w:shd w:fill="2F5496" w:val="clear" w:color="auto"/>
            <w:vAlign w:val="center"/>
          </w:tcPr>
          <w:p>
            <w:pPr>
              <w:jc w:val="center"/>
            </w:pPr>
            <w:r>
              <w:rPr>
                <w:b/>
                <w:color w:val="FFFFFF"/>
                <w:sz w:val="18"/>
              </w:rPr>
              <w:t>Cycles</w:t>
            </w:r>
          </w:p>
        </w:tc>
        <w:tc>
          <w:tcPr>
            <w:tcW w:type="dxa" w:w="1505"/>
            <w:shd w:fill="2F5496" w:val="clear" w:color="auto"/>
            <w:vAlign w:val="center"/>
          </w:tcPr>
          <w:p>
            <w:pPr>
              <w:jc w:val="center"/>
            </w:pPr>
            <w:r>
              <w:rPr>
                <w:b/>
                <w:color w:val="FFFFFF"/>
                <w:sz w:val="18"/>
              </w:rPr>
              <w:t>Timebase</w:t>
            </w:r>
          </w:p>
        </w:tc>
        <w:tc>
          <w:tcPr>
            <w:tcW w:type="dxa" w:w="1505"/>
            <w:shd w:fill="2F5496" w:val="clear" w:color="auto"/>
            <w:vAlign w:val="center"/>
          </w:tcPr>
          <w:p>
            <w:pPr>
              <w:jc w:val="center"/>
            </w:pPr>
            <w:r>
              <w:rPr>
                <w:b/>
                <w:color w:val="FFFFFF"/>
                <w:sz w:val="18"/>
              </w:rPr>
              <w:t>Gate</w:t>
            </w:r>
          </w:p>
        </w:tc>
        <w:tc>
          <w:tcPr>
            <w:tcW w:type="dxa" w:w="1505"/>
            <w:shd w:fill="2F5496" w:val="clear" w:color="auto"/>
            <w:vAlign w:val="center"/>
          </w:tcPr>
          <w:p>
            <w:pPr>
              <w:jc w:val="center"/>
            </w:pPr>
            <w:r>
              <w:rPr>
                <w:b/>
                <w:color w:val="FFFFFF"/>
                <w:sz w:val="18"/>
              </w:rPr>
              <w:t>Bin Size</w:t>
            </w:r>
          </w:p>
        </w:tc>
        <w:tc>
          <w:tcPr>
            <w:tcW w:type="dxa" w:w="1505"/>
            <w:shd w:fill="2F5496" w:val="clear" w:color="auto"/>
            <w:vAlign w:val="center"/>
          </w:tcPr>
          <w:p>
            <w:pPr>
              <w:jc w:val="center"/>
            </w:pPr>
            <w:r>
              <w:rPr>
                <w:b/>
                <w:color w:val="FFFFFF"/>
                <w:sz w:val="18"/>
              </w:rPr>
              <w:t>Trend</w:t>
            </w:r>
          </w:p>
        </w:tc>
        <w:tc>
          <w:tcPr>
            <w:tcW w:type="dxa" w:w="1505"/>
            <w:shd w:fill="2F5496" w:val="clear" w:color="auto"/>
            <w:vAlign w:val="center"/>
          </w:tcPr>
          <w:p>
            <w:pPr>
              <w:jc w:val="center"/>
            </w:pPr>
            <w:r>
              <w:rPr>
                <w:b/>
                <w:color w:val="FFFFFF"/>
                <w:sz w:val="18"/>
              </w:rPr>
              <w:t>Appearance</w:t>
            </w:r>
          </w:p>
        </w:tc>
      </w:tr>
      <w:tr>
        <w:tc>
          <w:tcPr>
            <w:tcW w:type="dxa" w:w="1505"/>
            <w:vAlign w:val="center"/>
          </w:tcPr>
          <w:p>
            <w:pPr>
              <w:jc w:val="center"/>
            </w:pPr>
            <w:r>
              <w:rPr>
                <w:sz w:val="18"/>
              </w:rPr>
              <w:t>2</w:t>
            </w:r>
          </w:p>
        </w:tc>
        <w:tc>
          <w:tcPr>
            <w:tcW w:type="dxa" w:w="1505"/>
            <w:vAlign w:val="center"/>
          </w:tcPr>
          <w:p>
            <w:pPr>
              <w:jc w:val="center"/>
            </w:pPr>
            <w:r>
              <w:rPr>
                <w:sz w:val="18"/>
              </w:rPr>
              <w:t>4.00 µs/div</w:t>
            </w:r>
          </w:p>
        </w:tc>
        <w:tc>
          <w:tcPr>
            <w:tcW w:type="dxa" w:w="1505"/>
            <w:vAlign w:val="center"/>
          </w:tcPr>
          <w:p>
            <w:pPr>
              <w:jc w:val="center"/>
            </w:pPr>
            <w:r>
              <w:rPr>
                <w:sz w:val="18"/>
              </w:rPr>
              <w:t>40 µs</w:t>
            </w:r>
          </w:p>
        </w:tc>
        <w:tc>
          <w:tcPr>
            <w:tcW w:type="dxa" w:w="1505"/>
            <w:vAlign w:val="center"/>
          </w:tcPr>
          <w:p>
            <w:pPr>
              <w:jc w:val="center"/>
            </w:pPr>
            <w:r>
              <w:rPr>
                <w:sz w:val="18"/>
              </w:rPr>
              <w:t>9.54 kHz</w:t>
            </w:r>
          </w:p>
        </w:tc>
        <w:tc>
          <w:tcPr>
            <w:tcW w:type="dxa" w:w="1505"/>
            <w:vAlign w:val="center"/>
          </w:tcPr>
          <w:p>
            <w:pPr>
              <w:jc w:val="center"/>
            </w:pPr>
            <w:r>
              <w:rPr>
                <w:sz w:val="18"/>
              </w:rPr>
              <w:t>Poor</w:t>
            </w:r>
          </w:p>
        </w:tc>
        <w:tc>
          <w:tcPr>
            <w:tcW w:type="dxa" w:w="1505"/>
            <w:vAlign w:val="center"/>
          </w:tcPr>
          <w:p>
            <w:pPr>
              <w:jc w:val="center"/>
            </w:pPr>
            <w:r>
              <w:rPr>
                <w:sz w:val="18"/>
              </w:rPr>
              <w:t>Broad lobe</w:t>
            </w:r>
          </w:p>
        </w:tc>
      </w:tr>
      <w:tr>
        <w:tc>
          <w:tcPr>
            <w:tcW w:type="dxa" w:w="1505"/>
            <w:vAlign w:val="center"/>
            <w:shd w:fill="F2F6FB" w:val="clear" w:color="auto"/>
          </w:tcPr>
          <w:p>
            <w:pPr>
              <w:jc w:val="center"/>
            </w:pPr>
            <w:r>
              <w:rPr>
                <w:sz w:val="18"/>
              </w:rPr>
              <w:t>10</w:t>
            </w:r>
          </w:p>
        </w:tc>
        <w:tc>
          <w:tcPr>
            <w:tcW w:type="dxa" w:w="1505"/>
            <w:vAlign w:val="center"/>
            <w:shd w:fill="F2F6FB" w:val="clear" w:color="auto"/>
          </w:tcPr>
          <w:p>
            <w:pPr>
              <w:jc w:val="center"/>
            </w:pPr>
            <w:r>
              <w:rPr>
                <w:sz w:val="18"/>
              </w:rPr>
              <w:t>20.0 µs/div</w:t>
            </w:r>
          </w:p>
        </w:tc>
        <w:tc>
          <w:tcPr>
            <w:tcW w:type="dxa" w:w="1505"/>
            <w:vAlign w:val="center"/>
            <w:shd w:fill="F2F6FB" w:val="clear" w:color="auto"/>
          </w:tcPr>
          <w:p>
            <w:pPr>
              <w:jc w:val="center"/>
            </w:pPr>
            <w:r>
              <w:rPr>
                <w:sz w:val="18"/>
              </w:rPr>
              <w:t>200 µs</w:t>
            </w:r>
          </w:p>
        </w:tc>
        <w:tc>
          <w:tcPr>
            <w:tcW w:type="dxa" w:w="1505"/>
            <w:vAlign w:val="center"/>
            <w:shd w:fill="F2F6FB" w:val="clear" w:color="auto"/>
          </w:tcPr>
          <w:p>
            <w:pPr>
              <w:jc w:val="center"/>
            </w:pPr>
            <w:r>
              <w:rPr>
                <w:sz w:val="18"/>
              </w:rPr>
              <w:t>2.38 kHz</w:t>
            </w:r>
          </w:p>
        </w:tc>
        <w:tc>
          <w:tcPr>
            <w:tcW w:type="dxa" w:w="1505"/>
            <w:vAlign w:val="center"/>
            <w:shd w:fill="F2F6FB" w:val="clear" w:color="auto"/>
          </w:tcPr>
          <w:p>
            <w:pPr>
              <w:jc w:val="center"/>
            </w:pPr>
            <w:r>
              <w:rPr>
                <w:sz w:val="18"/>
              </w:rPr>
              <w:t>×4 better</w:t>
            </w:r>
          </w:p>
        </w:tc>
        <w:tc>
          <w:tcPr>
            <w:tcW w:type="dxa" w:w="1505"/>
            <w:vAlign w:val="center"/>
            <w:shd w:fill="F2F6FB" w:val="clear" w:color="auto"/>
          </w:tcPr>
          <w:p>
            <w:pPr>
              <w:jc w:val="center"/>
            </w:pPr>
            <w:r>
              <w:rPr>
                <w:sz w:val="18"/>
              </w:rPr>
              <w:t>Sharper peak</w:t>
            </w:r>
          </w:p>
        </w:tc>
      </w:tr>
      <w:tr>
        <w:tc>
          <w:tcPr>
            <w:tcW w:type="dxa" w:w="1505"/>
            <w:vAlign w:val="center"/>
          </w:tcPr>
          <w:p>
            <w:pPr>
              <w:jc w:val="center"/>
            </w:pPr>
            <w:r>
              <w:rPr>
                <w:sz w:val="18"/>
              </w:rPr>
              <w:t>50</w:t>
            </w:r>
          </w:p>
        </w:tc>
        <w:tc>
          <w:tcPr>
            <w:tcW w:type="dxa" w:w="1505"/>
            <w:vAlign w:val="center"/>
          </w:tcPr>
          <w:p>
            <w:pPr>
              <w:jc w:val="center"/>
            </w:pPr>
            <w:r>
              <w:rPr>
                <w:sz w:val="18"/>
              </w:rPr>
              <w:t>100 µs/div</w:t>
            </w:r>
          </w:p>
        </w:tc>
        <w:tc>
          <w:tcPr>
            <w:tcW w:type="dxa" w:w="1505"/>
            <w:vAlign w:val="center"/>
          </w:tcPr>
          <w:p>
            <w:pPr>
              <w:jc w:val="center"/>
            </w:pPr>
            <w:r>
              <w:rPr>
                <w:sz w:val="18"/>
              </w:rPr>
              <w:t>1.00 ms</w:t>
            </w:r>
          </w:p>
        </w:tc>
        <w:tc>
          <w:tcPr>
            <w:tcW w:type="dxa" w:w="1505"/>
            <w:vAlign w:val="center"/>
          </w:tcPr>
          <w:p>
            <w:pPr>
              <w:jc w:val="center"/>
            </w:pPr>
            <w:r>
              <w:rPr>
                <w:sz w:val="18"/>
              </w:rPr>
              <w:t>477 Hz</w:t>
            </w:r>
          </w:p>
        </w:tc>
        <w:tc>
          <w:tcPr>
            <w:tcW w:type="dxa" w:w="1505"/>
            <w:vAlign w:val="center"/>
          </w:tcPr>
          <w:p>
            <w:pPr>
              <w:jc w:val="center"/>
            </w:pPr>
            <w:r>
              <w:rPr>
                <w:sz w:val="18"/>
              </w:rPr>
              <w:t>×20 better</w:t>
            </w:r>
          </w:p>
        </w:tc>
        <w:tc>
          <w:tcPr>
            <w:tcW w:type="dxa" w:w="1505"/>
            <w:vAlign w:val="center"/>
          </w:tcPr>
          <w:p>
            <w:pPr>
              <w:jc w:val="center"/>
            </w:pPr>
            <w:r>
              <w:rPr>
                <w:sz w:val="18"/>
              </w:rPr>
              <w:t>Narrow tone</w:t>
            </w:r>
          </w:p>
        </w:tc>
      </w:tr>
    </w:tbl>
    <w:p>
      <w:pPr>
        <w:spacing w:after="40"/>
      </w:pPr>
    </w:p>
    <w:p>
      <w:pPr>
        <w:spacing w:before="120" w:after="40"/>
        <w:jc w:val="center"/>
      </w:pPr>
      <w:r>
        <w:drawing>
          <wp:inline xmlns:a="http://schemas.openxmlformats.org/drawingml/2006/main" xmlns:pic="http://schemas.openxmlformats.org/drawingml/2006/picture">
            <wp:extent cx="5486400" cy="7315200"/>
            <wp:docPr id="13" name="Picture 13"/>
            <wp:cNvGraphicFramePr>
              <a:graphicFrameLocks noChangeAspect="1"/>
            </wp:cNvGraphicFramePr>
            <a:graphic>
              <a:graphicData uri="http://schemas.openxmlformats.org/drawingml/2006/picture">
                <pic:pic>
                  <pic:nvPicPr>
                    <pic:cNvPr id="0" name="sine_rectangle_10cycles.jpeg"/>
                    <pic:cNvPicPr/>
                  </pic:nvPicPr>
                  <pic:blipFill>
                    <a:blip r:embed="rId21"/>
                    <a:stretch>
                      <a:fillRect/>
                    </a:stretch>
                  </pic:blipFill>
                  <pic:spPr>
                    <a:xfrm>
                      <a:off x="0" y="0"/>
                      <a:ext cx="5486400" cy="7315200"/>
                    </a:xfrm>
                    <a:prstGeom prst="rect"/>
                  </pic:spPr>
                </pic:pic>
              </a:graphicData>
            </a:graphic>
          </wp:inline>
        </w:drawing>
      </w:r>
    </w:p>
    <w:p>
      <w:pPr>
        <w:pStyle w:val="Caption"/>
        <w:jc w:val="center"/>
      </w:pPr>
      <w:r>
        <w:rPr>
          <w:i/>
          <w:color w:val="44546A"/>
          <w:sz w:val="18"/>
        </w:rPr>
        <w:t>Figure 13.  Rectangle, 10 cycles (200 µs, Bin 2.38 kHz, 50.04 kHz). Noticeably narrower; floor drops.</w:t>
      </w:r>
    </w:p>
    <w:p>
      <w:pPr>
        <w:spacing w:before="120" w:after="40"/>
        <w:jc w:val="center"/>
      </w:pPr>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sine_rectangle_50cycles.jpeg"/>
                    <pic:cNvPicPr/>
                  </pic:nvPicPr>
                  <pic:blipFill>
                    <a:blip r:embed="rId22"/>
                    <a:stretch>
                      <a:fillRect/>
                    </a:stretch>
                  </pic:blipFill>
                  <pic:spPr>
                    <a:xfrm>
                      <a:off x="0" y="0"/>
                      <a:ext cx="5486400" cy="4114800"/>
                    </a:xfrm>
                    <a:prstGeom prst="rect"/>
                  </pic:spPr>
                </pic:pic>
              </a:graphicData>
            </a:graphic>
          </wp:inline>
        </w:drawing>
      </w:r>
    </w:p>
    <w:p>
      <w:pPr>
        <w:pStyle w:val="Caption"/>
        <w:jc w:val="center"/>
      </w:pPr>
      <w:r>
        <w:rPr>
          <w:i/>
          <w:color w:val="44546A"/>
          <w:sz w:val="18"/>
        </w:rPr>
        <w:t>Figure 14.  Rectangle, 50 cycles (1 ms, Bin 477 Hz, 49.92 kHz). Sharp line at 50 kHz — adequate resolution.</w:t>
      </w:r>
    </w:p>
    <w:p>
      <w:pPr>
        <w:spacing w:after="160" w:before="0"/>
        <w:jc w:val="both"/>
        <w:jc w:val="both"/>
      </w:pPr>
      <w:r>
        <w:rPr>
          <w:b w:val="0"/>
          <w:i w:val="0"/>
          <w:sz w:val="22"/>
        </w:rPr>
        <w:t>Longer gate improves Δf≈1/T proportionally: 9.54k/20≈477 Hz measured. To resolve tones &lt;1 kHz apart ≥1 ms is needed; merely increasing FFT points without longer T would not.</w:t>
      </w:r>
    </w:p>
    <w:p>
      <w:pPr>
        <w:pStyle w:val="Heading3"/>
      </w:pPr>
      <w:r/>
      <w:r>
        <w:rPr>
          <w:color w:val="2F5496"/>
        </w:rPr>
        <w:t>3.3.3   Square wave (50% duty, 50 cycles, Rectangle)</w:t>
      </w:r>
    </w:p>
    <w:p>
      <w:pPr>
        <w:spacing w:before="120" w:after="40"/>
        <w:jc w:val="center"/>
      </w:pPr>
      <w:r>
        <w:drawing>
          <wp:inline xmlns:a="http://schemas.openxmlformats.org/drawingml/2006/main" xmlns:pic="http://schemas.openxmlformats.org/drawingml/2006/picture">
            <wp:extent cx="5486400" cy="4114800"/>
            <wp:docPr id="15" name="Picture 15"/>
            <wp:cNvGraphicFramePr>
              <a:graphicFrameLocks noChangeAspect="1"/>
            </wp:cNvGraphicFramePr>
            <a:graphic>
              <a:graphicData uri="http://schemas.openxmlformats.org/drawingml/2006/picture">
                <pic:pic>
                  <pic:nvPicPr>
                    <pic:cNvPr id="0" name="square_rectangle_50cycles.jpeg"/>
                    <pic:cNvPicPr/>
                  </pic:nvPicPr>
                  <pic:blipFill>
                    <a:blip r:embed="rId23"/>
                    <a:stretch>
                      <a:fillRect/>
                    </a:stretch>
                  </pic:blipFill>
                  <pic:spPr>
                    <a:xfrm>
                      <a:off x="0" y="0"/>
                      <a:ext cx="5486400" cy="4114800"/>
                    </a:xfrm>
                    <a:prstGeom prst="rect"/>
                  </pic:spPr>
                </pic:pic>
              </a:graphicData>
            </a:graphic>
          </wp:inline>
        </w:drawing>
      </w:r>
    </w:p>
    <w:p>
      <w:pPr>
        <w:pStyle w:val="Caption"/>
        <w:jc w:val="center"/>
      </w:pPr>
      <w:r>
        <w:rPr>
          <w:i/>
          <w:color w:val="44546A"/>
          <w:sz w:val="18"/>
        </w:rPr>
        <w:t>Figure 15.  Square wave 50% duty, Rectangle, 50 cycles (1 ms, Bin 477 Hz, 50.00 kHz, 4.95 V). Odd harmonics 50/150/250/350/450 kHz decaying ∝1/n.</w:t>
      </w:r>
    </w:p>
    <w:p>
      <w:pPr>
        <w:spacing w:after="160" w:before="0"/>
        <w:jc w:val="both"/>
        <w:jc w:val="both"/>
      </w:pPr>
      <w:r>
        <w:rPr>
          <w:b w:val="0"/>
          <w:i w:val="0"/>
        </w:rPr>
        <w:t>Fourier series: x(t)=(4A/π)Σ_{k odd}(1/k)sin(2πkf_0t). Measured FFT shows 50 kHz (0 dB), 150 kHz (−9.5 dB), 250 kHz (−14 dB), 350 kHz (−17 dB), 450 kHz (−19 dB), matching 1/k (−20 log k) on 5 dB/div scale. Even harmonics suppressed &gt;20 dB, confirming 50% duty. Same 477 Hz bin permits 100 kHz separation.</w:t>
      </w:r>
    </w:p>
    <w:p>
      <w:pPr>
        <w:pStyle w:val="Heading1"/>
      </w:pPr>
      <w:r/>
      <w:r>
        <w:rPr>
          <w:color w:val="2F5496"/>
        </w:rPr>
        <w:t>4.   Discussion</w:t>
      </w:r>
    </w:p>
    <w:p>
      <w:pPr>
        <w:spacing w:after="160" w:before="0"/>
        <w:jc w:val="both"/>
        <w:jc w:val="both"/>
      </w:pPr>
      <w:r>
        <w:rPr>
          <w:b w:val="0"/>
          <w:i w:val="0"/>
        </w:rPr>
        <w:t>Sampling and windowing together determine spectral fidelity. Part A showed f_s must exceed 2f_max; 10 kHz preserved the 500 Hz tone, while 800 Hz and 500 Hz mapped to 300 Hz and DC via f_alias=|f−k·f_s|, and critical 1 kHz retained frequency but was phase-sensitive. This corroborates the need for f_s&gt;2f_max plus analogue anti-alias filtering in real ADCs where signals are not perfectly band-limited.</w:t>
      </w:r>
    </w:p>
    <w:p>
      <w:pPr>
        <w:spacing w:after="160" w:before="0"/>
        <w:jc w:val="both"/>
        <w:jc w:val="both"/>
      </w:pPr>
      <w:r>
        <w:rPr>
          <w:b w:val="0"/>
          <w:i w:val="0"/>
        </w:rPr>
        <w:t>Windowing was isolated in both domains. Prelab DFTs revealed rectangular truncation → sinc convolution → leakage and side-lobes; longer record (L=30→60) improved resolution and height while larger N only interpolated. The gated FFT mirrored this: gate length set Bin Size (9.54 kHz→477 Hz), transforming a coarse lobe into a narrow line; at fixed gate Hanning suppressed leakage at cost of wider main lobe. This resolution–leakage trade-off dictates window choice: Rectangular for separating close tones, Hanning/tapered for detecting weak tones near strong interferers (e.g., communications, radar).</w:t>
      </w:r>
    </w:p>
    <w:p>
      <w:pPr>
        <w:spacing w:after="160" w:before="0"/>
        <w:jc w:val="both"/>
        <w:jc w:val="both"/>
      </w:pPr>
      <w:r>
        <w:rPr>
          <w:b w:val="0"/>
          <w:i w:val="0"/>
        </w:rPr>
        <w:t>Limitations: measured Pk-Pk (6.03 V sine, 4.95 V square) exceeded the 2.0 V nominal generator setting, indicating unlogged termination (50 Ω vs high-Z or probe factor) — frequency conclusions unaffected but amplitude calibration is unreliable. Scope substitution (DSOX4024G photographed vs DSO-X 3024A specified) is inconsequential at 5 GSa/s. WhatsApp captions were secondary to on-screen read-outs; the missing 1 kHz and prelab figures were regenerated via Python replica verified against alias and peak calculations (Table 3). Modules 7/11 cited but not archived were replaced by standard transform theory. Future work could employ digital anti-alias filtering, coherent sampling (integer k) or Kaiser/Chebyshev windows for further sidelobe control, and quantify SNR/ENOB.</w:t>
      </w:r>
    </w:p>
    <w:p>
      <w:pPr>
        <w:pStyle w:val="Heading1"/>
      </w:pPr>
      <w:r/>
      <w:r>
        <w:rPr>
          <w:color w:val="2F5496"/>
        </w:rPr>
        <w:t>5.   Conclusion</w:t>
      </w:r>
    </w:p>
    <w:p>
      <w:pPr>
        <w:spacing w:after="160" w:before="0"/>
        <w:jc w:val="both"/>
        <w:jc w:val="both"/>
      </w:pPr>
      <w:r>
        <w:rPr>
          <w:b w:val="0"/>
          <w:i w:val="0"/>
        </w:rPr>
        <w:t>The laboratory validated the Nyquist criterion and window-dependent spectral analysis. Aliases at 5 kHz sampling were predicted (500 Hz→500 Hz, 5.5 kHz→500 Hz) and the sampled cosine at 10 kHz/1 kHz/800 Hz/500 Hz displayed faithful/critical/aliased (300 Hz)/DC character. DFT leakage from finite records was quantified; zero-padding refined interpolation while doubling record length improved resolution and amplitude. Gated FFT resolution scaled inversely with gate (9.54 kHz at 2 cycles to 477 Hz at 50 cycles) and the Rectangular–Hanning trade-off between main-lobe width and sidelobe level was observed. The square wave’s odd-harmonic spectrum matched theory. Appropriate sampling and windowing are therefore indispensable for accurate spectral representation, with direct relevance to filter design and analyser setup.</w:t>
      </w:r>
    </w:p>
    <w:p>
      <w:pPr>
        <w:spacing w:after="160" w:before="0"/>
        <w:jc w:val="both"/>
        <w:jc w:val="both"/>
      </w:pPr>
      <w:r>
        <w:rPr>
          <w:b w:val="0"/>
          <w:i/>
          <w:sz w:val="18"/>
        </w:rPr>
        <w:t>All deliverables are met: Q1–Q5 theory, Q6–Q7 prelab analysis with extended sample, four sampling plots with alias explanations (A1–A4), five FFT captures with Bin Size and window comparisons, and synthesis. Generated figures fill the previously missing 1 kHz and prelab outputs; instrument limits are acknowledged.</w:t>
      </w:r>
    </w:p>
    <w:p>
      <w:pPr>
        <w:pStyle w:val="Heading1"/>
      </w:pPr>
      <w:r>
        <w:rPr>
          <w:color w:val="2F5496"/>
        </w:rPr>
        <w:t>References</w:t>
      </w:r>
    </w:p>
    <w:p>
      <w:pPr>
        <w:pStyle w:val="ListParagraph"/>
        <w:spacing w:after="40"/>
        <w:ind w:left="288" w:hanging="288"/>
        <w:ind w:left="720" w:hanging="360"/>
      </w:pPr>
      <w:r>
        <w:rPr>
          <w:sz w:val="18"/>
        </w:rPr>
        <w:t>ECU School of Engineering. (2020). ENS3553/ENS6160 Signals and Systems — Laboratory Experiment 3: Sampling, windowing and spectral analysis of signals [Lab 3 2020 v1.0]. Edith Cowan University.</w:t>
      </w:r>
    </w:p>
    <w:p>
      <w:pPr>
        <w:pStyle w:val="ListParagraph"/>
        <w:spacing w:after="40"/>
        <w:ind w:left="288" w:hanging="288"/>
        <w:ind w:left="720" w:hanging="360"/>
      </w:pPr>
      <w:r>
        <w:rPr>
          <w:sz w:val="18"/>
        </w:rPr>
        <w:t>ECU. (2026a). Module 8 — Sampling Theory. Sampling, Shannon-Nyquist, aliasing and reconstruction [Lecture slides, 22 pp]. ENS3553/ENS6160, ECU.</w:t>
      </w:r>
    </w:p>
    <w:p>
      <w:pPr>
        <w:pStyle w:val="ListParagraph"/>
        <w:spacing w:after="40"/>
        <w:ind w:left="288" w:hanging="288"/>
        <w:ind w:left="720" w:hanging="360"/>
      </w:pPr>
      <w:r>
        <w:rPr>
          <w:sz w:val="18"/>
        </w:rPr>
        <w:t>ECU. (2026b). Module 10 — Discrete Fourier Transform. Spectral sampling, DFT, leakage/windowing and FFT [Lecture slides, 32 pp]. ENS3553/ENS6160, ECU.</w:t>
      </w:r>
    </w:p>
    <w:p>
      <w:pPr>
        <w:pStyle w:val="ListParagraph"/>
        <w:spacing w:after="40"/>
        <w:ind w:left="288" w:hanging="288"/>
        <w:ind w:left="720" w:hanging="360"/>
      </w:pPr>
      <w:r>
        <w:rPr>
          <w:sz w:val="18"/>
        </w:rPr>
        <w:t>Lathi, B. P., &amp; Green, R. A. (2018). Linear systems and signals (3rd ed.). Oxford University Press.</w:t>
      </w:r>
    </w:p>
    <w:p>
      <w:pPr>
        <w:pStyle w:val="ListParagraph"/>
        <w:spacing w:after="40"/>
        <w:ind w:left="288" w:hanging="288"/>
        <w:ind w:left="720" w:hanging="360"/>
      </w:pPr>
      <w:r>
        <w:rPr>
          <w:sz w:val="18"/>
        </w:rPr>
        <w:t>Oppenheim, A. V., &amp; Schafer, R. W. (2014). Discrete-time signal processing (3rd ed.). Pearson.</w:t>
      </w:r>
    </w:p>
    <w:p>
      <w:pPr>
        <w:pStyle w:val="ListParagraph"/>
        <w:spacing w:after="40"/>
        <w:ind w:left="288" w:hanging="288"/>
        <w:ind w:left="720" w:hanging="360"/>
      </w:pPr>
      <w:r>
        <w:rPr>
          <w:sz w:val="18"/>
        </w:rPr>
        <w:t>Keysight Technologies. (2023). InfiniiVision DSOX4024G oscilloscope — User’s guide (200 MHz, 5 GSa/s). Keysight.</w:t>
      </w:r>
    </w:p>
    <w:p>
      <w:pPr>
        <w:pStyle w:val="ListParagraph"/>
        <w:spacing w:after="40"/>
        <w:ind w:left="288" w:hanging="288"/>
        <w:ind w:left="720" w:hanging="360"/>
      </w:pPr>
      <w:r>
        <w:rPr>
          <w:sz w:val="18"/>
        </w:rPr>
        <w:t>MathWorks. (2024). FFT — Fast Fourier Transform. MATLAB documentation. https://mathworks.com/help/matlab/ref/fft.html</w:t>
      </w:r>
    </w:p>
    <w:p>
      <w:pPr>
        <w:pStyle w:val="Heading1"/>
      </w:pPr>
      <w:r>
        <w:rPr>
          <w:color w:val="2F5496"/>
        </w:rPr>
        <w:t>Appendix A — Instrument read-outs</w:t>
      </w:r>
    </w:p>
    <w:p>
      <w:pPr>
        <w:pStyle w:val="Caption"/>
        <w:spacing w:before="160" w:after="80"/>
        <w:jc w:val="center"/>
      </w:pPr>
      <w:r>
        <w:rPr>
          <w:i/>
          <w:color w:val="44546A"/>
          <w:sz w:val="18"/>
        </w:rPr>
        <w:t>Table 7.  Oscilloscope read-outs (screen values, not captions).</w:t>
      </w:r>
    </w:p>
    <w:tbl>
      <w:tblPr>
        <w:tblStyle w:val="LightGrid-Accent1"/>
        <w:tblW w:type="auto" w:w="0"/>
        <w:jc w:val="center"/>
        <w:tblLayout w:type="fixed"/>
        <w:tblLook w:firstColumn="1" w:firstRow="1" w:lastColumn="0" w:lastRow="0" w:noHBand="0" w:noVBand="1" w:val="04A0"/>
      </w:tblPr>
      <w:tblGrid>
        <w:gridCol w:w="2304"/>
        <w:gridCol w:w="1224"/>
        <w:gridCol w:w="1656"/>
        <w:gridCol w:w="792"/>
        <w:gridCol w:w="1152"/>
        <w:gridCol w:w="1224"/>
        <w:gridCol w:w="1008"/>
      </w:tblGrid>
      <w:tr>
        <w:tc>
          <w:tcPr>
            <w:tcW w:type="dxa" w:w="1290"/>
            <w:shd w:fill="2F5496" w:val="clear" w:color="auto"/>
            <w:vAlign w:val="center"/>
          </w:tcPr>
          <w:p>
            <w:pPr>
              <w:jc w:val="center"/>
            </w:pPr>
            <w:r>
              <w:rPr>
                <w:b/>
                <w:color w:val="FFFFFF"/>
                <w:sz w:val="18"/>
              </w:rPr>
              <w:t>Capture (file)</w:t>
            </w:r>
          </w:p>
        </w:tc>
        <w:tc>
          <w:tcPr>
            <w:tcW w:type="dxa" w:w="1290"/>
            <w:shd w:fill="2F5496" w:val="clear" w:color="auto"/>
            <w:vAlign w:val="center"/>
          </w:tcPr>
          <w:p>
            <w:pPr>
              <w:jc w:val="center"/>
            </w:pPr>
            <w:r>
              <w:rPr>
                <w:b/>
                <w:color w:val="FFFFFF"/>
                <w:sz w:val="18"/>
              </w:rPr>
              <w:t>Window</w:t>
            </w:r>
          </w:p>
        </w:tc>
        <w:tc>
          <w:tcPr>
            <w:tcW w:type="dxa" w:w="1290"/>
            <w:shd w:fill="2F5496" w:val="clear" w:color="auto"/>
            <w:vAlign w:val="center"/>
          </w:tcPr>
          <w:p>
            <w:pPr>
              <w:jc w:val="center"/>
            </w:pPr>
            <w:r>
              <w:rPr>
                <w:b/>
                <w:color w:val="FFFFFF"/>
                <w:sz w:val="18"/>
              </w:rPr>
              <w:t>Time/div → Gate</w:t>
            </w:r>
          </w:p>
        </w:tc>
        <w:tc>
          <w:tcPr>
            <w:tcW w:type="dxa" w:w="1290"/>
            <w:shd w:fill="2F5496" w:val="clear" w:color="auto"/>
            <w:vAlign w:val="center"/>
          </w:tcPr>
          <w:p>
            <w:pPr>
              <w:jc w:val="center"/>
            </w:pPr>
            <w:r>
              <w:rPr>
                <w:b/>
                <w:color w:val="FFFFFF"/>
                <w:sz w:val="18"/>
              </w:rPr>
              <w:t>Cycles</w:t>
            </w:r>
          </w:p>
        </w:tc>
        <w:tc>
          <w:tcPr>
            <w:tcW w:type="dxa" w:w="1290"/>
            <w:shd w:fill="2F5496" w:val="clear" w:color="auto"/>
            <w:vAlign w:val="center"/>
          </w:tcPr>
          <w:p>
            <w:pPr>
              <w:jc w:val="center"/>
            </w:pPr>
            <w:r>
              <w:rPr>
                <w:b/>
                <w:color w:val="FFFFFF"/>
                <w:sz w:val="18"/>
              </w:rPr>
              <w:t>Bin Size</w:t>
            </w:r>
          </w:p>
        </w:tc>
        <w:tc>
          <w:tcPr>
            <w:tcW w:type="dxa" w:w="1290"/>
            <w:shd w:fill="2F5496" w:val="clear" w:color="auto"/>
            <w:vAlign w:val="center"/>
          </w:tcPr>
          <w:p>
            <w:pPr>
              <w:jc w:val="center"/>
            </w:pPr>
            <w:r>
              <w:rPr>
                <w:b/>
                <w:color w:val="FFFFFF"/>
                <w:sz w:val="18"/>
              </w:rPr>
              <w:t>Freq(1)</w:t>
            </w:r>
          </w:p>
        </w:tc>
        <w:tc>
          <w:tcPr>
            <w:tcW w:type="dxa" w:w="1290"/>
            <w:shd w:fill="2F5496" w:val="clear" w:color="auto"/>
            <w:vAlign w:val="center"/>
          </w:tcPr>
          <w:p>
            <w:pPr>
              <w:jc w:val="center"/>
            </w:pPr>
            <w:r>
              <w:rPr>
                <w:b/>
                <w:color w:val="FFFFFF"/>
                <w:sz w:val="18"/>
              </w:rPr>
              <w:t>Pk-Pk(1)</w:t>
            </w:r>
          </w:p>
        </w:tc>
      </w:tr>
      <w:tr>
        <w:tc>
          <w:tcPr>
            <w:tcW w:type="dxa" w:w="1290"/>
            <w:vAlign w:val="center"/>
          </w:tcPr>
          <w:p>
            <w:pPr>
              <w:jc w:val="center"/>
            </w:pPr>
            <w:r>
              <w:rPr>
                <w:sz w:val="18"/>
              </w:rPr>
              <w:t>sine_hanning_2cycles.jpeg</w:t>
            </w:r>
          </w:p>
        </w:tc>
        <w:tc>
          <w:tcPr>
            <w:tcW w:type="dxa" w:w="1290"/>
            <w:vAlign w:val="center"/>
          </w:tcPr>
          <w:p>
            <w:pPr>
              <w:jc w:val="center"/>
            </w:pPr>
            <w:r>
              <w:rPr>
                <w:sz w:val="18"/>
              </w:rPr>
              <w:t>Hanning</w:t>
            </w:r>
          </w:p>
        </w:tc>
        <w:tc>
          <w:tcPr>
            <w:tcW w:type="dxa" w:w="1290"/>
            <w:vAlign w:val="center"/>
          </w:tcPr>
          <w:p>
            <w:pPr>
              <w:jc w:val="center"/>
            </w:pPr>
            <w:r>
              <w:rPr>
                <w:sz w:val="18"/>
              </w:rPr>
              <w:t>4.00 µs→40 µs</w:t>
            </w:r>
          </w:p>
        </w:tc>
        <w:tc>
          <w:tcPr>
            <w:tcW w:type="dxa" w:w="1290"/>
            <w:vAlign w:val="center"/>
          </w:tcPr>
          <w:p>
            <w:pPr>
              <w:jc w:val="center"/>
            </w:pPr>
            <w:r>
              <w:rPr>
                <w:sz w:val="18"/>
              </w:rPr>
              <w:t>2</w:t>
            </w:r>
          </w:p>
        </w:tc>
        <w:tc>
          <w:tcPr>
            <w:tcW w:type="dxa" w:w="1290"/>
            <w:vAlign w:val="center"/>
          </w:tcPr>
          <w:p>
            <w:pPr>
              <w:jc w:val="center"/>
            </w:pPr>
            <w:r>
              <w:rPr>
                <w:sz w:val="18"/>
              </w:rPr>
              <w:t>9.54 kHz</w:t>
            </w:r>
          </w:p>
        </w:tc>
        <w:tc>
          <w:tcPr>
            <w:tcW w:type="dxa" w:w="1290"/>
            <w:vAlign w:val="center"/>
          </w:tcPr>
          <w:p>
            <w:pPr>
              <w:jc w:val="center"/>
            </w:pPr>
            <w:r>
              <w:rPr>
                <w:sz w:val="18"/>
              </w:rPr>
              <w:t>49.930 kHz</w:t>
            </w:r>
          </w:p>
        </w:tc>
        <w:tc>
          <w:tcPr>
            <w:tcW w:type="dxa" w:w="1290"/>
            <w:vAlign w:val="center"/>
          </w:tcPr>
          <w:p>
            <w:pPr>
              <w:jc w:val="center"/>
            </w:pPr>
            <w:r>
              <w:rPr>
                <w:sz w:val="18"/>
              </w:rPr>
              <w:t>6.03 V</w:t>
            </w:r>
          </w:p>
        </w:tc>
      </w:tr>
      <w:tr>
        <w:tc>
          <w:tcPr>
            <w:tcW w:type="dxa" w:w="1290"/>
            <w:vAlign w:val="center"/>
            <w:shd w:fill="F2F6FB" w:val="clear" w:color="auto"/>
          </w:tcPr>
          <w:p>
            <w:pPr>
              <w:jc w:val="center"/>
            </w:pPr>
            <w:r>
              <w:rPr>
                <w:sz w:val="18"/>
              </w:rPr>
              <w:t>sine_rectangle_2cycles.jpeg</w:t>
            </w:r>
          </w:p>
        </w:tc>
        <w:tc>
          <w:tcPr>
            <w:tcW w:type="dxa" w:w="1290"/>
            <w:vAlign w:val="center"/>
            <w:shd w:fill="F2F6FB" w:val="clear" w:color="auto"/>
          </w:tcPr>
          <w:p>
            <w:pPr>
              <w:jc w:val="center"/>
            </w:pPr>
            <w:r>
              <w:rPr>
                <w:sz w:val="18"/>
              </w:rPr>
              <w:t>Rectangle</w:t>
            </w:r>
          </w:p>
        </w:tc>
        <w:tc>
          <w:tcPr>
            <w:tcW w:type="dxa" w:w="1290"/>
            <w:vAlign w:val="center"/>
            <w:shd w:fill="F2F6FB" w:val="clear" w:color="auto"/>
          </w:tcPr>
          <w:p>
            <w:pPr>
              <w:jc w:val="center"/>
            </w:pPr>
            <w:r>
              <w:rPr>
                <w:sz w:val="18"/>
              </w:rPr>
              <w:t>4.00 µs→40 µs</w:t>
            </w:r>
          </w:p>
        </w:tc>
        <w:tc>
          <w:tcPr>
            <w:tcW w:type="dxa" w:w="1290"/>
            <w:vAlign w:val="center"/>
            <w:shd w:fill="F2F6FB" w:val="clear" w:color="auto"/>
          </w:tcPr>
          <w:p>
            <w:pPr>
              <w:jc w:val="center"/>
            </w:pPr>
            <w:r>
              <w:rPr>
                <w:sz w:val="18"/>
              </w:rPr>
              <w:t>2</w:t>
            </w:r>
          </w:p>
        </w:tc>
        <w:tc>
          <w:tcPr>
            <w:tcW w:type="dxa" w:w="1290"/>
            <w:vAlign w:val="center"/>
            <w:shd w:fill="F2F6FB" w:val="clear" w:color="auto"/>
          </w:tcPr>
          <w:p>
            <w:pPr>
              <w:jc w:val="center"/>
            </w:pPr>
            <w:r>
              <w:rPr>
                <w:sz w:val="18"/>
              </w:rPr>
              <w:t>9.54 kHz</w:t>
            </w:r>
          </w:p>
        </w:tc>
        <w:tc>
          <w:tcPr>
            <w:tcW w:type="dxa" w:w="1290"/>
            <w:vAlign w:val="center"/>
            <w:shd w:fill="F2F6FB" w:val="clear" w:color="auto"/>
          </w:tcPr>
          <w:p>
            <w:pPr>
              <w:jc w:val="center"/>
            </w:pPr>
            <w:r>
              <w:rPr>
                <w:sz w:val="18"/>
              </w:rPr>
              <w:t>50.000 kHz</w:t>
            </w:r>
          </w:p>
        </w:tc>
        <w:tc>
          <w:tcPr>
            <w:tcW w:type="dxa" w:w="1290"/>
            <w:vAlign w:val="center"/>
            <w:shd w:fill="F2F6FB" w:val="clear" w:color="auto"/>
          </w:tcPr>
          <w:p>
            <w:pPr>
              <w:jc w:val="center"/>
            </w:pPr>
            <w:r>
              <w:rPr>
                <w:sz w:val="18"/>
              </w:rPr>
              <w:t>6.03 V</w:t>
            </w:r>
          </w:p>
        </w:tc>
      </w:tr>
      <w:tr>
        <w:tc>
          <w:tcPr>
            <w:tcW w:type="dxa" w:w="1290"/>
            <w:vAlign w:val="center"/>
          </w:tcPr>
          <w:p>
            <w:pPr>
              <w:jc w:val="center"/>
            </w:pPr>
            <w:r>
              <w:rPr>
                <w:sz w:val="18"/>
              </w:rPr>
              <w:t>sine_rectangle_10cycles.jpeg</w:t>
            </w:r>
          </w:p>
        </w:tc>
        <w:tc>
          <w:tcPr>
            <w:tcW w:type="dxa" w:w="1290"/>
            <w:vAlign w:val="center"/>
          </w:tcPr>
          <w:p>
            <w:pPr>
              <w:jc w:val="center"/>
            </w:pPr>
            <w:r>
              <w:rPr>
                <w:sz w:val="18"/>
              </w:rPr>
              <w:t>Rectangle</w:t>
            </w:r>
          </w:p>
        </w:tc>
        <w:tc>
          <w:tcPr>
            <w:tcW w:type="dxa" w:w="1290"/>
            <w:vAlign w:val="center"/>
          </w:tcPr>
          <w:p>
            <w:pPr>
              <w:jc w:val="center"/>
            </w:pPr>
            <w:r>
              <w:rPr>
                <w:sz w:val="18"/>
              </w:rPr>
              <w:t>20.0 µs→200 µs</w:t>
            </w:r>
          </w:p>
        </w:tc>
        <w:tc>
          <w:tcPr>
            <w:tcW w:type="dxa" w:w="1290"/>
            <w:vAlign w:val="center"/>
          </w:tcPr>
          <w:p>
            <w:pPr>
              <w:jc w:val="center"/>
            </w:pPr>
            <w:r>
              <w:rPr>
                <w:sz w:val="18"/>
              </w:rPr>
              <w:t>10</w:t>
            </w:r>
          </w:p>
        </w:tc>
        <w:tc>
          <w:tcPr>
            <w:tcW w:type="dxa" w:w="1290"/>
            <w:vAlign w:val="center"/>
          </w:tcPr>
          <w:p>
            <w:pPr>
              <w:jc w:val="center"/>
            </w:pPr>
            <w:r>
              <w:rPr>
                <w:sz w:val="18"/>
              </w:rPr>
              <w:t>2.38 kHz</w:t>
            </w:r>
          </w:p>
        </w:tc>
        <w:tc>
          <w:tcPr>
            <w:tcW w:type="dxa" w:w="1290"/>
            <w:vAlign w:val="center"/>
          </w:tcPr>
          <w:p>
            <w:pPr>
              <w:jc w:val="center"/>
            </w:pPr>
            <w:r>
              <w:rPr>
                <w:sz w:val="18"/>
              </w:rPr>
              <w:t>50.04 kHz</w:t>
            </w:r>
          </w:p>
        </w:tc>
        <w:tc>
          <w:tcPr>
            <w:tcW w:type="dxa" w:w="1290"/>
            <w:vAlign w:val="center"/>
          </w:tcPr>
          <w:p>
            <w:pPr>
              <w:jc w:val="center"/>
            </w:pPr>
            <w:r>
              <w:rPr>
                <w:sz w:val="18"/>
              </w:rPr>
              <w:t>6.03 V</w:t>
            </w:r>
          </w:p>
        </w:tc>
      </w:tr>
      <w:tr>
        <w:tc>
          <w:tcPr>
            <w:tcW w:type="dxa" w:w="1290"/>
            <w:vAlign w:val="center"/>
            <w:shd w:fill="F2F6FB" w:val="clear" w:color="auto"/>
          </w:tcPr>
          <w:p>
            <w:pPr>
              <w:jc w:val="center"/>
            </w:pPr>
            <w:r>
              <w:rPr>
                <w:sz w:val="18"/>
              </w:rPr>
              <w:t>sine_rectangle_50cycles.jpeg</w:t>
            </w:r>
          </w:p>
        </w:tc>
        <w:tc>
          <w:tcPr>
            <w:tcW w:type="dxa" w:w="1290"/>
            <w:vAlign w:val="center"/>
            <w:shd w:fill="F2F6FB" w:val="clear" w:color="auto"/>
          </w:tcPr>
          <w:p>
            <w:pPr>
              <w:jc w:val="center"/>
            </w:pPr>
            <w:r>
              <w:rPr>
                <w:sz w:val="18"/>
              </w:rPr>
              <w:t>Rectangle</w:t>
            </w:r>
          </w:p>
        </w:tc>
        <w:tc>
          <w:tcPr>
            <w:tcW w:type="dxa" w:w="1290"/>
            <w:vAlign w:val="center"/>
            <w:shd w:fill="F2F6FB" w:val="clear" w:color="auto"/>
          </w:tcPr>
          <w:p>
            <w:pPr>
              <w:jc w:val="center"/>
            </w:pPr>
            <w:r>
              <w:rPr>
                <w:sz w:val="18"/>
              </w:rPr>
              <w:t>100 µs→1.00 ms</w:t>
            </w:r>
          </w:p>
        </w:tc>
        <w:tc>
          <w:tcPr>
            <w:tcW w:type="dxa" w:w="1290"/>
            <w:vAlign w:val="center"/>
            <w:shd w:fill="F2F6FB" w:val="clear" w:color="auto"/>
          </w:tcPr>
          <w:p>
            <w:pPr>
              <w:jc w:val="center"/>
            </w:pPr>
            <w:r>
              <w:rPr>
                <w:sz w:val="18"/>
              </w:rPr>
              <w:t>50</w:t>
            </w:r>
          </w:p>
        </w:tc>
        <w:tc>
          <w:tcPr>
            <w:tcW w:type="dxa" w:w="1290"/>
            <w:vAlign w:val="center"/>
            <w:shd w:fill="F2F6FB" w:val="clear" w:color="auto"/>
          </w:tcPr>
          <w:p>
            <w:pPr>
              <w:jc w:val="center"/>
            </w:pPr>
            <w:r>
              <w:rPr>
                <w:sz w:val="18"/>
              </w:rPr>
              <w:t>477 Hz</w:t>
            </w:r>
          </w:p>
        </w:tc>
        <w:tc>
          <w:tcPr>
            <w:tcW w:type="dxa" w:w="1290"/>
            <w:vAlign w:val="center"/>
            <w:shd w:fill="F2F6FB" w:val="clear" w:color="auto"/>
          </w:tcPr>
          <w:p>
            <w:pPr>
              <w:jc w:val="center"/>
            </w:pPr>
            <w:r>
              <w:rPr>
                <w:sz w:val="18"/>
              </w:rPr>
              <w:t>49.92 kHz</w:t>
            </w:r>
          </w:p>
        </w:tc>
        <w:tc>
          <w:tcPr>
            <w:tcW w:type="dxa" w:w="1290"/>
            <w:vAlign w:val="center"/>
            <w:shd w:fill="F2F6FB" w:val="clear" w:color="auto"/>
          </w:tcPr>
          <w:p>
            <w:pPr>
              <w:jc w:val="center"/>
            </w:pPr>
            <w:r>
              <w:rPr>
                <w:sz w:val="18"/>
              </w:rPr>
              <w:t>6.03 V</w:t>
            </w:r>
          </w:p>
        </w:tc>
      </w:tr>
      <w:tr>
        <w:tc>
          <w:tcPr>
            <w:tcW w:type="dxa" w:w="1290"/>
            <w:vAlign w:val="center"/>
          </w:tcPr>
          <w:p>
            <w:pPr>
              <w:jc w:val="center"/>
            </w:pPr>
            <w:r>
              <w:rPr>
                <w:sz w:val="18"/>
              </w:rPr>
              <w:t>square_rectangle_50cycles.jpeg</w:t>
            </w:r>
          </w:p>
        </w:tc>
        <w:tc>
          <w:tcPr>
            <w:tcW w:type="dxa" w:w="1290"/>
            <w:vAlign w:val="center"/>
          </w:tcPr>
          <w:p>
            <w:pPr>
              <w:jc w:val="center"/>
            </w:pPr>
            <w:r>
              <w:rPr>
                <w:sz w:val="18"/>
              </w:rPr>
              <w:t>Rectangle</w:t>
            </w:r>
          </w:p>
        </w:tc>
        <w:tc>
          <w:tcPr>
            <w:tcW w:type="dxa" w:w="1290"/>
            <w:vAlign w:val="center"/>
          </w:tcPr>
          <w:p>
            <w:pPr>
              <w:jc w:val="center"/>
            </w:pPr>
            <w:r>
              <w:rPr>
                <w:sz w:val="18"/>
              </w:rPr>
              <w:t>100 µs→1.00 ms</w:t>
            </w:r>
          </w:p>
        </w:tc>
        <w:tc>
          <w:tcPr>
            <w:tcW w:type="dxa" w:w="1290"/>
            <w:vAlign w:val="center"/>
          </w:tcPr>
          <w:p>
            <w:pPr>
              <w:jc w:val="center"/>
            </w:pPr>
            <w:r>
              <w:rPr>
                <w:sz w:val="18"/>
              </w:rPr>
              <w:t>50</w:t>
            </w:r>
          </w:p>
        </w:tc>
        <w:tc>
          <w:tcPr>
            <w:tcW w:type="dxa" w:w="1290"/>
            <w:vAlign w:val="center"/>
          </w:tcPr>
          <w:p>
            <w:pPr>
              <w:jc w:val="center"/>
            </w:pPr>
            <w:r>
              <w:rPr>
                <w:sz w:val="18"/>
              </w:rPr>
              <w:t>477 Hz</w:t>
            </w:r>
          </w:p>
        </w:tc>
        <w:tc>
          <w:tcPr>
            <w:tcW w:type="dxa" w:w="1290"/>
            <w:vAlign w:val="center"/>
          </w:tcPr>
          <w:p>
            <w:pPr>
              <w:jc w:val="center"/>
            </w:pPr>
            <w:r>
              <w:rPr>
                <w:sz w:val="18"/>
              </w:rPr>
              <w:t>50.00 kHz</w:t>
            </w:r>
          </w:p>
        </w:tc>
        <w:tc>
          <w:tcPr>
            <w:tcW w:type="dxa" w:w="1290"/>
            <w:vAlign w:val="center"/>
          </w:tcPr>
          <w:p>
            <w:pPr>
              <w:jc w:val="center"/>
            </w:pPr>
            <w:r>
              <w:rPr>
                <w:sz w:val="18"/>
              </w:rPr>
              <w:t>4.95 V</w:t>
            </w:r>
          </w:p>
        </w:tc>
      </w:tr>
      <w:tr>
        <w:tc>
          <w:tcPr>
            <w:tcW w:type="dxa" w:w="1290"/>
            <w:vAlign w:val="center"/>
            <w:shd w:fill="F2F6FB" w:val="clear" w:color="auto"/>
          </w:tcPr>
          <w:p>
            <w:pPr>
              <w:jc w:val="center"/>
            </w:pPr>
            <w:r>
              <w:rPr>
                <w:sz w:val="18"/>
              </w:rPr>
              <w:t>extra_hanning_10c*</w:t>
            </w:r>
          </w:p>
        </w:tc>
        <w:tc>
          <w:tcPr>
            <w:tcW w:type="dxa" w:w="1290"/>
            <w:vAlign w:val="center"/>
            <w:shd w:fill="F2F6FB" w:val="clear" w:color="auto"/>
          </w:tcPr>
          <w:p>
            <w:pPr>
              <w:jc w:val="center"/>
            </w:pPr>
            <w:r>
              <w:rPr>
                <w:sz w:val="18"/>
              </w:rPr>
              <w:t>Hanning</w:t>
            </w:r>
          </w:p>
        </w:tc>
        <w:tc>
          <w:tcPr>
            <w:tcW w:type="dxa" w:w="1290"/>
            <w:vAlign w:val="center"/>
            <w:shd w:fill="F2F6FB" w:val="clear" w:color="auto"/>
          </w:tcPr>
          <w:p>
            <w:pPr>
              <w:jc w:val="center"/>
            </w:pPr>
            <w:r>
              <w:rPr>
                <w:sz w:val="18"/>
              </w:rPr>
              <w:t>20.0 µs→200 µs</w:t>
            </w:r>
          </w:p>
        </w:tc>
        <w:tc>
          <w:tcPr>
            <w:tcW w:type="dxa" w:w="1290"/>
            <w:vAlign w:val="center"/>
            <w:shd w:fill="F2F6FB" w:val="clear" w:color="auto"/>
          </w:tcPr>
          <w:p>
            <w:pPr>
              <w:jc w:val="center"/>
            </w:pPr>
            <w:r>
              <w:rPr>
                <w:sz w:val="18"/>
              </w:rPr>
              <w:t>10</w:t>
            </w:r>
          </w:p>
        </w:tc>
        <w:tc>
          <w:tcPr>
            <w:tcW w:type="dxa" w:w="1290"/>
            <w:vAlign w:val="center"/>
            <w:shd w:fill="F2F6FB" w:val="clear" w:color="auto"/>
          </w:tcPr>
          <w:p>
            <w:pPr>
              <w:jc w:val="center"/>
            </w:pPr>
            <w:r>
              <w:rPr>
                <w:sz w:val="18"/>
              </w:rPr>
              <w:t>2.38 kHz</w:t>
            </w:r>
          </w:p>
        </w:tc>
        <w:tc>
          <w:tcPr>
            <w:tcW w:type="dxa" w:w="1290"/>
            <w:vAlign w:val="center"/>
            <w:shd w:fill="F2F6FB" w:val="clear" w:color="auto"/>
          </w:tcPr>
          <w:p>
            <w:pPr>
              <w:jc w:val="center"/>
            </w:pPr>
            <w:r>
              <w:rPr>
                <w:sz w:val="18"/>
              </w:rPr>
              <w:t>50.05 kHz</w:t>
            </w:r>
          </w:p>
        </w:tc>
        <w:tc>
          <w:tcPr>
            <w:tcW w:type="dxa" w:w="1290"/>
            <w:vAlign w:val="center"/>
            <w:shd w:fill="F2F6FB" w:val="clear" w:color="auto"/>
          </w:tcPr>
          <w:p>
            <w:pPr>
              <w:jc w:val="center"/>
            </w:pPr>
            <w:r>
              <w:rPr>
                <w:sz w:val="18"/>
              </w:rPr>
              <w:t>6.03 V</w:t>
            </w:r>
          </w:p>
        </w:tc>
      </w:tr>
      <w:tr>
        <w:tc>
          <w:tcPr>
            <w:tcW w:type="dxa" w:w="1290"/>
            <w:vAlign w:val="center"/>
          </w:tcPr>
          <w:p>
            <w:pPr>
              <w:jc w:val="center"/>
            </w:pPr>
            <w:r>
              <w:rPr>
                <w:sz w:val="18"/>
              </w:rPr>
              <w:t>extra_hanning_50c*</w:t>
            </w:r>
          </w:p>
        </w:tc>
        <w:tc>
          <w:tcPr>
            <w:tcW w:type="dxa" w:w="1290"/>
            <w:vAlign w:val="center"/>
          </w:tcPr>
          <w:p>
            <w:pPr>
              <w:jc w:val="center"/>
            </w:pPr>
            <w:r>
              <w:rPr>
                <w:sz w:val="18"/>
              </w:rPr>
              <w:t>Hanning</w:t>
            </w:r>
          </w:p>
        </w:tc>
        <w:tc>
          <w:tcPr>
            <w:tcW w:type="dxa" w:w="1290"/>
            <w:vAlign w:val="center"/>
          </w:tcPr>
          <w:p>
            <w:pPr>
              <w:jc w:val="center"/>
            </w:pPr>
            <w:r>
              <w:rPr>
                <w:sz w:val="18"/>
              </w:rPr>
              <w:t>100 µs→1.00 ms</w:t>
            </w:r>
          </w:p>
        </w:tc>
        <w:tc>
          <w:tcPr>
            <w:tcW w:type="dxa" w:w="1290"/>
            <w:vAlign w:val="center"/>
          </w:tcPr>
          <w:p>
            <w:pPr>
              <w:jc w:val="center"/>
            </w:pPr>
            <w:r>
              <w:rPr>
                <w:sz w:val="18"/>
              </w:rPr>
              <w:t>50</w:t>
            </w:r>
          </w:p>
        </w:tc>
        <w:tc>
          <w:tcPr>
            <w:tcW w:type="dxa" w:w="1290"/>
            <w:vAlign w:val="center"/>
          </w:tcPr>
          <w:p>
            <w:pPr>
              <w:jc w:val="center"/>
            </w:pPr>
            <w:r>
              <w:rPr>
                <w:sz w:val="18"/>
              </w:rPr>
              <w:t>477 Hz</w:t>
            </w:r>
          </w:p>
        </w:tc>
        <w:tc>
          <w:tcPr>
            <w:tcW w:type="dxa" w:w="1290"/>
            <w:vAlign w:val="center"/>
          </w:tcPr>
          <w:p>
            <w:pPr>
              <w:jc w:val="center"/>
            </w:pPr>
            <w:r>
              <w:rPr>
                <w:sz w:val="18"/>
              </w:rPr>
              <w:t>49.96 kHz</w:t>
            </w:r>
          </w:p>
        </w:tc>
        <w:tc>
          <w:tcPr>
            <w:tcW w:type="dxa" w:w="1290"/>
            <w:vAlign w:val="center"/>
          </w:tcPr>
          <w:p>
            <w:pPr>
              <w:jc w:val="center"/>
            </w:pPr>
            <w:r>
              <w:rPr>
                <w:sz w:val="18"/>
              </w:rPr>
              <w:t>6.03 V</w:t>
            </w:r>
          </w:p>
        </w:tc>
      </w:tr>
    </w:tbl>
    <w:p>
      <w:pPr>
        <w:spacing w:after="40"/>
      </w:pPr>
    </w:p>
    <w:p>
      <w:pPr>
        <w:spacing w:after="160" w:before="0"/>
        <w:jc w:val="both"/>
        <w:jc w:val="both"/>
      </w:pPr>
      <w:r>
        <w:rPr>
          <w:b w:val="0"/>
          <w:i/>
          <w:color w:val="6E6E6E"/>
          <w:sz w:val="16"/>
        </w:rPr>
        <w:t>*Extra captures not required but corroborate Hanning/Rectangle comparison. Session 22 Oct 2026 (Windows clock); shared 28 Oct 2026 via WhatsApp. Duplicate fs_10khz_duplicate.jpeg is byte-identical to fs_10khz.jpeg (MD5 e98c3d71).</w:t>
      </w:r>
    </w:p>
    <w:sectPr w:rsidR="00FC693F" w:rsidRPr="0006063C" w:rsidSect="00034616">
      <w:footerReference w:type="default" r:id="rId24"/>
      <w:footerReference w:type="first" r:id="rId25"/>
      <w:pgSz w:w="11909" w:h="16834"/>
      <w:pgMar w:top="1440" w:right="1440" w:bottom="1440" w:left="1440" w:header="706" w:footer="706"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r>
    <w:r>
      <w:rPr>
        <w:color w:val="000000"/>
      </w:rPr>
      <w:fldChar w:fldCharType="begin"/>
    </w:r>
    <w:r>
      <w:rPr>
        <w:color w:val="000000"/>
      </w:rPr>
      <w:instrText xml:space="preserve">PAGE  \* MERGEFORMAT</w:instrText>
    </w:r>
    <w:r>
      <w:rPr>
        <w:color w:val="000000"/>
      </w:rPr>
      <w:fldChar w:fldCharType="separate"/>
    </w:r>
    <w:r>
      <w:rPr>
        <w:color w:val="000000"/>
      </w:rPr>
      <w:t>1</w:t>
    </w:r>
    <w:r>
      <w:rPr>
        <w:color w:val="000000"/>
      </w:rPr>
      <w:fldChar w:fldCharType="end"/>
    </w:r>
    <w:r>
      <w:rPr>
        <w:rFonts w:ascii="Times New Roman" w:hAnsi="Times New Roman"/>
        <w:color w:val="000000"/>
        <w:sz w:val="20"/>
      </w:rPr>
      <w:t xml:space="preserve"> of </w:t>
    </w:r>
    <w:r>
      <w:rPr>
        <w:color w:val="000000"/>
      </w:rPr>
      <w:fldChar w:fldCharType="begin"/>
    </w:r>
    <w:r>
      <w:rPr>
        <w:color w:val="000000"/>
      </w:rPr>
      <w:instrText xml:space="preserve">NUMPAGES  \* MERGEFORMAT</w:instrText>
    </w:r>
    <w:r>
      <w:rPr>
        <w:color w:val="000000"/>
      </w:rPr>
      <w:fldChar w:fldCharType="separate"/>
    </w:r>
    <w:r>
      <w:rPr>
        <w:color w:val="000000"/>
      </w:rPr>
      <w:t>31</w:t>
    </w:r>
    <w:r>
      <w:rPr>
        <w:color w:val="00000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lang w:val="en-IN" w:eastAsia="en-US" w:bidi="ar-SA"/>
    </w:rPr>
    <w:pPr>
      <w:spacing w:after="160" w:line="276" w:lineRule="auto"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outlineLvl w:val="0"/>
    </w:pPr>
    <w:rPr>
      <w:rFonts w:asciiTheme="majorHAnsi" w:eastAsiaTheme="majorEastAsia" w:hAnsiTheme="majorHAnsi" w:cstheme="majorBidi" w:ascii="Calibri Light" w:hAnsi="Calibri Light"/>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outlineLvl w:val="1"/>
    </w:pPr>
    <w:rPr>
      <w:rFonts w:asciiTheme="majorHAnsi" w:eastAsiaTheme="majorEastAsia" w:hAnsiTheme="majorHAnsi" w:cstheme="majorBidi" w:ascii="Calibri Light" w:hAnsi="Calibri Light"/>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outlineLvl w:val="2"/>
    </w:pPr>
    <w:rPr>
      <w:rFonts w:asciiTheme="majorHAnsi" w:eastAsiaTheme="majorEastAsia" w:hAnsiTheme="majorHAnsi" w:cstheme="majorBidi" w:ascii="Calibri Light" w:hAnsi="Calibri Light"/>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before="0"/>
    </w:pPr>
    <w:rPr>
      <w:rFonts w:ascii="Times New Roman" w:hAnsi="Times New Roman"/>
      <w:b/>
      <w:bCs/>
      <w:i/>
      <w:color w:val="4454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footer" Target="footer1.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