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b/>
          <w:bCs/>
          <w:sz w:val="28"/>
          <w:szCs w:val="28"/>
        </w:rPr>
        <w:t xml:space="preserve">ДИПЛОМДЫҚ ЖҰМЫС</w:t>
      </w:r>
    </w:p>
    <w:p>
      <w:pPr>
        <w:spacing w:after="120"/>
        <w:jc w:val="center"/>
      </w:pPr>
      <w:r>
        <w:rPr>
          <w:rFonts w:ascii="Times New Roman" w:cs="Times New Roman" w:eastAsia="Times New Roman" w:hAnsi="Times New Roman"/>
          <w:b/>
          <w:bCs/>
          <w:sz w:val="28"/>
          <w:szCs w:val="28"/>
        </w:rPr>
        <w:t xml:space="preserve">Тақырыбы: "Жасанды интеллектті оқу бағдарламаларына енгізу"</w:t>
      </w:r>
    </w:p>
    <w:p>
      <w:pPr>
        <w:spacing w:after="360"/>
        <w:jc w:val="center"/>
      </w:pPr>
      <w:r>
        <w:rPr>
          <w:rFonts w:ascii="Times New Roman" w:cs="Times New Roman" w:eastAsia="Times New Roman" w:hAnsi="Times New Roman"/>
          <w:b w:val="false"/>
          <w:bCs w:val="false"/>
          <w:i/>
          <w:iCs/>
          <w:sz w:val="28"/>
          <w:szCs w:val="28"/>
        </w:rPr>
        <w:t xml:space="preserve">(Внедрение ИИ в учебные программы)</w:t>
      </w:r>
    </w:p>
    <w:p>
      <w:pPr>
        <w:pStyle w:val="Heading1"/>
      </w:pPr>
      <w:r>
        <w:rPr>
          <w:rFonts w:ascii="Times New Roman" w:cs="Times New Roman" w:eastAsia="Times New Roman" w:hAnsi="Times New Roman"/>
          <w:b/>
          <w:bCs/>
          <w:sz w:val="28"/>
          <w:szCs w:val="28"/>
        </w:rPr>
        <w:t xml:space="preserve">КІРІСПЕ</w:t>
      </w:r>
    </w:p>
    <w:p>
      <w:pPr>
        <w:pStyle w:val="Heading2"/>
      </w:pPr>
      <w:r>
        <w:rPr>
          <w:rFonts w:ascii="Times New Roman" w:cs="Times New Roman" w:eastAsia="Times New Roman" w:hAnsi="Times New Roman"/>
          <w:b/>
          <w:bCs/>
          <w:sz w:val="28"/>
          <w:szCs w:val="28"/>
        </w:rPr>
        <w:t xml:space="preserve">1. Зерттеу тақырыбының өзектілігі</w:t>
      </w:r>
    </w:p>
    <w:p>
      <w:pPr>
        <w:spacing w:after="120"/>
        <w:ind w:firstLine="720"/>
        <w:jc w:val="both"/>
      </w:pPr>
      <w:r>
        <w:rPr>
          <w:rFonts w:ascii="Times New Roman" w:cs="Times New Roman" w:eastAsia="Times New Roman" w:hAnsi="Times New Roman"/>
          <w:sz w:val="28"/>
          <w:szCs w:val="28"/>
        </w:rPr>
        <w:t xml:space="preserve">Қазіргі таңда жасанды интеллект (ЖИ) технологиялары білім беру саласында түбегейлі өзгерістер әкелуде. Дүниежүзінің жетекші университеттері мен мектептері ЖИ-ды оқу үдерісіне белсенді енгізіп жатыр: автоматтандырылған тестілеу жүйелері, бейімделгіш (адаптивті) оқыту платформалары, интеллектуалды тьюторлық жүйелер және т.б. Дегенмен, Қазақстан білім беру жүйесінде бұл технологиялардың интеграциясы әлі де жеткіліксіз деңгейде қалып отыр.</w:t>
      </w:r>
    </w:p>
    <w:p>
      <w:pPr>
        <w:spacing w:after="120"/>
        <w:ind w:firstLine="720"/>
        <w:jc w:val="both"/>
      </w:pPr>
      <w:r>
        <w:rPr>
          <w:rFonts w:ascii="Times New Roman" w:cs="Times New Roman" w:eastAsia="Times New Roman" w:hAnsi="Times New Roman"/>
          <w:sz w:val="28"/>
          <w:szCs w:val="28"/>
        </w:rPr>
        <w:t xml:space="preserve">UNESCO-ның 2023 жылғы есебіне сәйкес, ЖИ-ды оқу бағдарламаларына кіріктіру оқушылардың үлгерімін орта есеппен 20-30%-ға жақсартуы мүмкін. Сонымен қатар, World Economic Forum болжамдары бойынша 2030 жылға қарай еңбек нарығының 65%-ы жасанды интеллект дағдыларын талап ететін болады. Осыған орай, мектептер мен жоғары оқу орындарының оқу бағдарламаларын ЖИ технологияларымен байыту — заман талабы.</w:t>
      </w:r>
    </w:p>
    <w:p>
      <w:pPr>
        <w:spacing w:after="120"/>
        <w:ind w:firstLine="720"/>
        <w:jc w:val="both"/>
      </w:pPr>
      <w:r>
        <w:rPr>
          <w:rFonts w:ascii="Times New Roman" w:cs="Times New Roman" w:eastAsia="Times New Roman" w:hAnsi="Times New Roman"/>
          <w:sz w:val="28"/>
          <w:szCs w:val="28"/>
        </w:rPr>
        <w:t xml:space="preserve">Аталған мәселенің өзектілігі мынада: бір жағынан, ЖИ оқу сапасын арттыратын тиімді құрал болып табылады, екінші жағынан — оны оқу бағдарламаларына методологиялық тұрғыдан дұрыс кіріктіру мәселесі жеткілікті зерттелмеген. Осылайша, ақпараттық жүйені жобалау арқылы бұл мәселені шешу өзекті болып табылады.</w:t>
      </w:r>
    </w:p>
    <w:p>
      <w:pPr>
        <w:pStyle w:val="Heading2"/>
      </w:pPr>
      <w:r>
        <w:rPr>
          <w:rFonts w:ascii="Times New Roman" w:cs="Times New Roman" w:eastAsia="Times New Roman" w:hAnsi="Times New Roman"/>
          <w:b/>
          <w:bCs/>
          <w:sz w:val="28"/>
          <w:szCs w:val="28"/>
        </w:rPr>
        <w:t xml:space="preserve">2. Тақырыптың зерттелу деңгейі</w:t>
      </w:r>
    </w:p>
    <w:p>
      <w:pPr>
        <w:spacing w:after="120"/>
        <w:ind w:firstLine="720"/>
        <w:jc w:val="both"/>
      </w:pPr>
      <w:r>
        <w:rPr>
          <w:rFonts w:ascii="Times New Roman" w:cs="Times New Roman" w:eastAsia="Times New Roman" w:hAnsi="Times New Roman"/>
          <w:sz w:val="28"/>
          <w:szCs w:val="28"/>
        </w:rPr>
        <w:t xml:space="preserve">ЖИ-ды білім беруге интеграциялау мәселесі халықаралық деңгейде белсенді зерттеліп келеді. Шет елдік зерттеушілер Д. Бейкер (США), Р. Розенберг (Великобритания) және Т. Миура (Жапония) бейімделгіш оқыту жүйелерінің тиімділігін дәлелдеді. Carnegie Learning және Khan Academy платформалары ЖИ-ды білім берудегі практикалық қолдану мысалдары болып табылады.</w:t>
      </w:r>
    </w:p>
    <w:p>
      <w:pPr>
        <w:spacing w:after="120"/>
        <w:ind w:firstLine="720"/>
        <w:jc w:val="both"/>
      </w:pPr>
      <w:r>
        <w:rPr>
          <w:rFonts w:ascii="Times New Roman" w:cs="Times New Roman" w:eastAsia="Times New Roman" w:hAnsi="Times New Roman"/>
          <w:sz w:val="28"/>
          <w:szCs w:val="28"/>
        </w:rPr>
        <w:t xml:space="preserve">Отандық зерттеулерде Қ. Бегалиев, А. Сейткали және т.б. ғалымдар ЖИ технологияларын қазақстандық білім беру контекстінде қолдану мүмкіндіктерін қарастырды. Алайда бұл зерттеулердің басым бөлігі теориялық сипатта болып, нақты ақпараттық жүйені жобалауға бағытталмаған. Осы олқылықты жою — осы дипломдық жұмыстың негізгі бағыты.</w:t>
      </w:r>
    </w:p>
    <w:p>
      <w:pPr>
        <w:pStyle w:val="Heading2"/>
      </w:pPr>
      <w:r>
        <w:rPr>
          <w:rFonts w:ascii="Times New Roman" w:cs="Times New Roman" w:eastAsia="Times New Roman" w:hAnsi="Times New Roman"/>
          <w:b/>
          <w:bCs/>
          <w:sz w:val="28"/>
          <w:szCs w:val="28"/>
        </w:rPr>
        <w:t xml:space="preserve">3. Дипломдық жұмыстың мақсаты</w:t>
      </w:r>
    </w:p>
    <w:p>
      <w:pPr>
        <w:spacing w:after="120"/>
        <w:ind w:firstLine="720"/>
        <w:jc w:val="both"/>
      </w:pPr>
      <w:r>
        <w:rPr>
          <w:rFonts w:ascii="Times New Roman" w:cs="Times New Roman" w:eastAsia="Times New Roman" w:hAnsi="Times New Roman"/>
          <w:sz w:val="28"/>
          <w:szCs w:val="28"/>
        </w:rPr>
        <w:t xml:space="preserve">Дипломдық жұмыстың мақсаты — жасанды интеллект технологияларын оқу бағдарламаларына кіріктіруге арналған ақпараттық жүйені жобалау және прототипін әзірлеу, сонымен қатар оның оқыту сапасына тигізетін әсерін бағалау.</w:t>
      </w:r>
    </w:p>
    <w:p>
      <w:pPr>
        <w:pStyle w:val="Heading2"/>
      </w:pPr>
      <w:r>
        <w:rPr>
          <w:rFonts w:ascii="Times New Roman" w:cs="Times New Roman" w:eastAsia="Times New Roman" w:hAnsi="Times New Roman"/>
          <w:b/>
          <w:bCs/>
          <w:sz w:val="28"/>
          <w:szCs w:val="28"/>
        </w:rPr>
        <w:t xml:space="preserve">4. Зерттеу міндеттері</w:t>
      </w:r>
    </w:p>
    <w:p>
      <w:pPr>
        <w:spacing w:after="60"/>
        <w:ind w:firstLine="720"/>
        <w:jc w:val="both"/>
      </w:pPr>
      <w:r>
        <w:rPr>
          <w:rFonts w:ascii="Times New Roman" w:cs="Times New Roman" w:eastAsia="Times New Roman" w:hAnsi="Times New Roman"/>
          <w:sz w:val="28"/>
          <w:szCs w:val="28"/>
        </w:rPr>
        <w:t xml:space="preserve">Аталған мақсатқа жету үшін мынадай міндеттер қойылады:</w:t>
      </w:r>
    </w:p>
    <w:p>
      <w:pPr>
        <w:pStyle w:val="ListParagraph"/>
        <w:numPr>
          <w:ilvl w:val="0"/>
          <w:numId w:val="2"/>
        </w:numPr>
        <w:spacing w:after="60"/>
      </w:pPr>
      <w:r>
        <w:rPr>
          <w:rFonts w:ascii="Times New Roman" w:cs="Times New Roman" w:eastAsia="Times New Roman" w:hAnsi="Times New Roman"/>
          <w:sz w:val="28"/>
          <w:szCs w:val="28"/>
        </w:rPr>
        <w:t xml:space="preserve">ЖИ технологияларын білім беруде қолданудың теориялық негіздерін талдау;</w:t>
      </w:r>
    </w:p>
    <w:p>
      <w:pPr>
        <w:pStyle w:val="ListParagraph"/>
        <w:numPr>
          <w:ilvl w:val="0"/>
          <w:numId w:val="2"/>
        </w:numPr>
        <w:spacing w:after="60"/>
      </w:pPr>
      <w:r>
        <w:rPr>
          <w:rFonts w:ascii="Times New Roman" w:cs="Times New Roman" w:eastAsia="Times New Roman" w:hAnsi="Times New Roman"/>
          <w:sz w:val="28"/>
          <w:szCs w:val="28"/>
        </w:rPr>
        <w:t xml:space="preserve">Қолданыстағы бейімделгіш оқыту платформаларын (Adaptive Learning Systems) салыстырмалы талдау жүргізу;</w:t>
      </w:r>
    </w:p>
    <w:p>
      <w:pPr>
        <w:pStyle w:val="ListParagraph"/>
        <w:numPr>
          <w:ilvl w:val="0"/>
          <w:numId w:val="2"/>
        </w:numPr>
        <w:spacing w:after="60"/>
      </w:pPr>
      <w:r>
        <w:rPr>
          <w:rFonts w:ascii="Times New Roman" w:cs="Times New Roman" w:eastAsia="Times New Roman" w:hAnsi="Times New Roman"/>
          <w:sz w:val="28"/>
          <w:szCs w:val="28"/>
        </w:rPr>
        <w:t xml:space="preserve">ЖИ-ды оқу бағдарламаларына кіріктіруге арналған ақпараттық жүйенің архитектурасын жобалау;</w:t>
      </w:r>
    </w:p>
    <w:p>
      <w:pPr>
        <w:pStyle w:val="ListParagraph"/>
        <w:numPr>
          <w:ilvl w:val="0"/>
          <w:numId w:val="2"/>
        </w:numPr>
        <w:spacing w:after="60"/>
      </w:pPr>
      <w:r>
        <w:rPr>
          <w:rFonts w:ascii="Times New Roman" w:cs="Times New Roman" w:eastAsia="Times New Roman" w:hAnsi="Times New Roman"/>
          <w:sz w:val="28"/>
          <w:szCs w:val="28"/>
        </w:rPr>
        <w:t xml:space="preserve">Жүйенің функционалдық және функционалдық емес талаптарын әзірлеу;</w:t>
      </w:r>
    </w:p>
    <w:p>
      <w:pPr>
        <w:pStyle w:val="ListParagraph"/>
        <w:numPr>
          <w:ilvl w:val="0"/>
          <w:numId w:val="2"/>
        </w:numPr>
        <w:spacing w:after="60"/>
      </w:pPr>
      <w:r>
        <w:rPr>
          <w:rFonts w:ascii="Times New Roman" w:cs="Times New Roman" w:eastAsia="Times New Roman" w:hAnsi="Times New Roman"/>
          <w:sz w:val="28"/>
          <w:szCs w:val="28"/>
        </w:rPr>
        <w:t xml:space="preserve">Жүйенің прототипін бағдарламалау және сынақтан өткізу;</w:t>
      </w:r>
    </w:p>
    <w:p>
      <w:pPr>
        <w:pStyle w:val="ListParagraph"/>
        <w:numPr>
          <w:ilvl w:val="0"/>
          <w:numId w:val="2"/>
        </w:numPr>
        <w:spacing w:after="60"/>
      </w:pPr>
      <w:r>
        <w:rPr>
          <w:rFonts w:ascii="Times New Roman" w:cs="Times New Roman" w:eastAsia="Times New Roman" w:hAnsi="Times New Roman"/>
          <w:sz w:val="28"/>
          <w:szCs w:val="28"/>
        </w:rPr>
        <w:t xml:space="preserve">Жүйенің оқу нәтижелеріне тигізетін әсерін эксперименттік бағалау.</w:t>
      </w:r>
    </w:p>
    <w:p>
      <w:pPr>
        <w:pStyle w:val="Heading2"/>
        <w:spacing w:before="120"/>
      </w:pPr>
      <w:r>
        <w:rPr>
          <w:rFonts w:ascii="Times New Roman" w:cs="Times New Roman" w:eastAsia="Times New Roman" w:hAnsi="Times New Roman"/>
          <w:b/>
          <w:bCs/>
          <w:sz w:val="28"/>
          <w:szCs w:val="28"/>
        </w:rPr>
        <w:t xml:space="preserve">5. Зерттеу объектісі мен пәні</w:t>
      </w:r>
    </w:p>
    <w:p>
      <w:pPr>
        <w:spacing w:after="120"/>
        <w:ind w:firstLine="720"/>
        <w:jc w:val="both"/>
      </w:pPr>
      <w:r>
        <w:rPr>
          <w:rFonts w:ascii="Times New Roman" w:cs="Times New Roman" w:eastAsia="Times New Roman" w:hAnsi="Times New Roman"/>
          <w:sz w:val="28"/>
          <w:szCs w:val="28"/>
        </w:rPr>
        <w:t xml:space="preserve">Зерттеу объектісі — Қазақстанның жалпы орта және жоғары білім беру жүйесіндегі оқу үдерісі.</w:t>
      </w:r>
    </w:p>
    <w:p>
      <w:pPr>
        <w:spacing w:after="120"/>
        <w:ind w:firstLine="720"/>
        <w:jc w:val="both"/>
      </w:pPr>
      <w:r>
        <w:rPr>
          <w:rFonts w:ascii="Times New Roman" w:cs="Times New Roman" w:eastAsia="Times New Roman" w:hAnsi="Times New Roman"/>
          <w:sz w:val="28"/>
          <w:szCs w:val="28"/>
        </w:rPr>
        <w:t xml:space="preserve">Зерттеу пәні — жасанды интеллект технологияларын оқу бағдарламаларына кіріктіру механизмдері мен ақпараттық жүйелері.</w:t>
      </w:r>
    </w:p>
    <w:p>
      <w:pPr>
        <w:pStyle w:val="Heading2"/>
      </w:pPr>
      <w:r>
        <w:rPr>
          <w:rFonts w:ascii="Times New Roman" w:cs="Times New Roman" w:eastAsia="Times New Roman" w:hAnsi="Times New Roman"/>
          <w:b/>
          <w:bCs/>
          <w:sz w:val="28"/>
          <w:szCs w:val="28"/>
        </w:rPr>
        <w:t xml:space="preserve">6. Зерттеу және әзірлеу әдістері</w:t>
      </w:r>
    </w:p>
    <w:p>
      <w:pPr>
        <w:spacing w:after="60"/>
        <w:ind w:firstLine="720"/>
        <w:jc w:val="both"/>
      </w:pPr>
      <w:r>
        <w:rPr>
          <w:rFonts w:ascii="Times New Roman" w:cs="Times New Roman" w:eastAsia="Times New Roman" w:hAnsi="Times New Roman"/>
          <w:sz w:val="28"/>
          <w:szCs w:val="28"/>
        </w:rPr>
        <w:t xml:space="preserve">Зерттеу барысында мынадай әдістер қолданылады:</w:t>
      </w:r>
    </w:p>
    <w:p>
      <w:pPr>
        <w:pStyle w:val="ListParagraph"/>
        <w:numPr>
          <w:ilvl w:val="0"/>
          <w:numId w:val="3"/>
        </w:numPr>
        <w:spacing w:after="60"/>
      </w:pPr>
      <w:r>
        <w:rPr>
          <w:rFonts w:ascii="Times New Roman" w:cs="Times New Roman" w:eastAsia="Times New Roman" w:hAnsi="Times New Roman"/>
          <w:sz w:val="28"/>
          <w:szCs w:val="28"/>
        </w:rPr>
        <w:t xml:space="preserve">ғылыми-теориялық талдау (ЖИ және білім беру саласындағы әдебиеттерді шолу);</w:t>
      </w:r>
    </w:p>
    <w:p>
      <w:pPr>
        <w:pStyle w:val="ListParagraph"/>
        <w:numPr>
          <w:ilvl w:val="0"/>
          <w:numId w:val="3"/>
        </w:numPr>
        <w:spacing w:after="60"/>
      </w:pPr>
      <w:r>
        <w:rPr>
          <w:rFonts w:ascii="Times New Roman" w:cs="Times New Roman" w:eastAsia="Times New Roman" w:hAnsi="Times New Roman"/>
          <w:sz w:val="28"/>
          <w:szCs w:val="28"/>
        </w:rPr>
        <w:t xml:space="preserve">салыстырмалы талдау (аналогтық жүйелерді зерттеу);</w:t>
      </w:r>
    </w:p>
    <w:p>
      <w:pPr>
        <w:pStyle w:val="ListParagraph"/>
        <w:numPr>
          <w:ilvl w:val="0"/>
          <w:numId w:val="3"/>
        </w:numPr>
        <w:spacing w:after="60"/>
      </w:pPr>
      <w:r>
        <w:rPr>
          <w:rFonts w:ascii="Times New Roman" w:cs="Times New Roman" w:eastAsia="Times New Roman" w:hAnsi="Times New Roman"/>
          <w:sz w:val="28"/>
          <w:szCs w:val="28"/>
        </w:rPr>
        <w:t xml:space="preserve">жүйелік талдау мен жобалау (UML диаграммалары, архитектуралық үлгілер);</w:t>
      </w:r>
    </w:p>
    <w:p>
      <w:pPr>
        <w:pStyle w:val="ListParagraph"/>
        <w:numPr>
          <w:ilvl w:val="0"/>
          <w:numId w:val="3"/>
        </w:numPr>
        <w:spacing w:after="60"/>
      </w:pPr>
      <w:r>
        <w:rPr>
          <w:rFonts w:ascii="Times New Roman" w:cs="Times New Roman" w:eastAsia="Times New Roman" w:hAnsi="Times New Roman"/>
          <w:sz w:val="28"/>
          <w:szCs w:val="28"/>
        </w:rPr>
        <w:t xml:space="preserve">бағдарламалау және интеграциялық тестілеу;</w:t>
      </w:r>
    </w:p>
    <w:p>
      <w:pPr>
        <w:pStyle w:val="ListParagraph"/>
        <w:numPr>
          <w:ilvl w:val="0"/>
          <w:numId w:val="3"/>
        </w:numPr>
        <w:spacing w:after="60"/>
      </w:pPr>
      <w:r>
        <w:rPr>
          <w:rFonts w:ascii="Times New Roman" w:cs="Times New Roman" w:eastAsia="Times New Roman" w:hAnsi="Times New Roman"/>
          <w:sz w:val="28"/>
          <w:szCs w:val="28"/>
        </w:rPr>
        <w:t xml:space="preserve">эксперимент және статистикалық деректерді өңдеу.</w:t>
      </w:r>
    </w:p>
    <w:p>
      <w:pPr>
        <w:pStyle w:val="Heading2"/>
        <w:spacing w:before="120"/>
      </w:pPr>
      <w:r>
        <w:rPr>
          <w:rFonts w:ascii="Times New Roman" w:cs="Times New Roman" w:eastAsia="Times New Roman" w:hAnsi="Times New Roman"/>
          <w:b/>
          <w:bCs/>
          <w:sz w:val="28"/>
          <w:szCs w:val="28"/>
        </w:rPr>
        <w:t xml:space="preserve">7. Жұмыстың практикалық маңыздылығы</w:t>
      </w:r>
    </w:p>
    <w:p>
      <w:pPr>
        <w:spacing w:after="120"/>
        <w:ind w:firstLine="720"/>
        <w:jc w:val="both"/>
      </w:pPr>
      <w:r>
        <w:rPr>
          <w:rFonts w:ascii="Times New Roman" w:cs="Times New Roman" w:eastAsia="Times New Roman" w:hAnsi="Times New Roman"/>
          <w:sz w:val="28"/>
          <w:szCs w:val="28"/>
        </w:rPr>
        <w:t xml:space="preserve">Дипломдық жұмыстың практикалық маңыздылығы мынада: әзірленген ақпараттық жүйені қазақстандық мектептер мен университеттердің оқу бағдарламаларына интеграциялауға болады. Жүйе мұғалімдерге оқушылардың прогресін автоматты бақылауға, білім алушылардың жеке қажеттіліктеріне бейімделген тапсырмалар ұсынуға мүмкіндік береді. Сондай-ақ, зерттеу нәтижелері Қазақстан Республикасының «Цифрлы Қазақстан» бағдарламасы аясында білім беру секторын цифрландыруға үлес қоса алады.</w:t>
      </w:r>
    </w:p>
    <w:p>
      <w:pPr>
        <w:pStyle w:val="Heading2"/>
      </w:pPr>
      <w:r>
        <w:rPr>
          <w:rFonts w:ascii="Times New Roman" w:cs="Times New Roman" w:eastAsia="Times New Roman" w:hAnsi="Times New Roman"/>
          <w:b/>
          <w:bCs/>
          <w:sz w:val="28"/>
          <w:szCs w:val="28"/>
        </w:rPr>
        <w:t xml:space="preserve">8. Дипломдық жұмыстың құрылымы</w:t>
      </w:r>
    </w:p>
    <w:p>
      <w:pPr>
        <w:spacing w:after="120"/>
        <w:ind w:firstLine="720"/>
        <w:jc w:val="both"/>
      </w:pPr>
      <w:r>
        <w:rPr>
          <w:rFonts w:ascii="Times New Roman" w:cs="Times New Roman" w:eastAsia="Times New Roman" w:hAnsi="Times New Roman"/>
          <w:sz w:val="28"/>
          <w:szCs w:val="28"/>
        </w:rPr>
        <w:t xml:space="preserve">Дипломдық жұмыс кіріспеден, үш негізгі тараудан, қорытындыдан және пайдаланылған әдебиеттер тізімінен тұрады.</w:t>
      </w:r>
    </w:p>
    <w:p>
      <w:pPr>
        <w:spacing w:after="80"/>
        <w:ind w:firstLine="720"/>
        <w:jc w:val="both"/>
      </w:pPr>
      <w:r>
        <w:rPr>
          <w:rFonts w:ascii="Times New Roman" w:cs="Times New Roman" w:eastAsia="Times New Roman" w:hAnsi="Times New Roman"/>
          <w:sz w:val="28"/>
          <w:szCs w:val="28"/>
        </w:rPr>
        <w:t xml:space="preserve">Бірінші тарауда («Теориялық-аналитикалық бөлім») жасанды интеллект технологияларының мәні, білім берудегі рөлі және қолданыстағы шешімдерге шолу жасалады.</w:t>
      </w:r>
    </w:p>
    <w:p>
      <w:pPr>
        <w:spacing w:after="80"/>
        <w:ind w:firstLine="720"/>
        <w:jc w:val="both"/>
      </w:pPr>
      <w:r>
        <w:rPr>
          <w:rFonts w:ascii="Times New Roman" w:cs="Times New Roman" w:eastAsia="Times New Roman" w:hAnsi="Times New Roman"/>
          <w:sz w:val="28"/>
          <w:szCs w:val="28"/>
        </w:rPr>
        <w:t xml:space="preserve">Екінші тарауда («Жобалау және әзірлеу бөлімі») ақпараттық жүйенің архитектурасы, функционалдық модульдері және қолданылған технологиялар сипатталады.</w:t>
      </w:r>
    </w:p>
    <w:p>
      <w:pPr>
        <w:spacing w:after="120"/>
        <w:ind w:firstLine="720"/>
        <w:jc w:val="both"/>
      </w:pPr>
      <w:r>
        <w:rPr>
          <w:rFonts w:ascii="Times New Roman" w:cs="Times New Roman" w:eastAsia="Times New Roman" w:hAnsi="Times New Roman"/>
          <w:sz w:val="28"/>
          <w:szCs w:val="28"/>
        </w:rPr>
        <w:t xml:space="preserve">Үшінші тарауда («Тестілеу және бағалау») жүйені сынақтан өткізу нәтижелері, оның оқу үдерісіне тигізетін әсері талданады.</w:t>
      </w:r>
    </w:p>
    <w:p>
      <w:pPr>
        <w:pStyle w:val="Heading1"/>
      </w:pPr>
      <w:r>
        <w:rPr>
          <w:rFonts w:ascii="Times New Roman" w:cs="Times New Roman" w:eastAsia="Times New Roman" w:hAnsi="Times New Roman"/>
          <w:b/>
          <w:bCs/>
          <w:sz w:val="28"/>
          <w:szCs w:val="28"/>
        </w:rPr>
        <w:t xml:space="preserve">ПАЙДАЛАНЫЛҒАН ӘДЕБИЕТТЕР ТІЗІМІ</w:t>
      </w:r>
    </w:p>
    <w:p>
      <w:pPr>
        <w:spacing w:after="80"/>
        <w:jc w:val="both"/>
      </w:pPr>
      <w:r>
        <w:rPr>
          <w:rFonts w:ascii="Times New Roman" w:cs="Times New Roman" w:eastAsia="Times New Roman" w:hAnsi="Times New Roman"/>
          <w:sz w:val="28"/>
          <w:szCs w:val="28"/>
        </w:rPr>
        <w:t xml:space="preserve">1. Baker, R.S. &amp; Inventado, P.S. (2014). Educational data mining and learning analytics. Learning analytics: From research to practice, 61–75.</w:t>
      </w:r>
    </w:p>
    <w:p>
      <w:pPr>
        <w:spacing w:after="80"/>
        <w:jc w:val="both"/>
      </w:pPr>
      <w:r>
        <w:rPr>
          <w:rFonts w:ascii="Times New Roman" w:cs="Times New Roman" w:eastAsia="Times New Roman" w:hAnsi="Times New Roman"/>
          <w:sz w:val="28"/>
          <w:szCs w:val="28"/>
        </w:rPr>
        <w:t xml:space="preserve">2. Luckin, R., Holmes, W., Griffiths, M., &amp; Forcier, L.B. (2016). Intelligence Unleashed: An argument for AI in Education. Pearson Education.</w:t>
      </w:r>
    </w:p>
    <w:p>
      <w:pPr>
        <w:spacing w:after="80"/>
        <w:jc w:val="both"/>
      </w:pPr>
      <w:r>
        <w:rPr>
          <w:rFonts w:ascii="Times New Roman" w:cs="Times New Roman" w:eastAsia="Times New Roman" w:hAnsi="Times New Roman"/>
          <w:sz w:val="28"/>
          <w:szCs w:val="28"/>
        </w:rPr>
        <w:t xml:space="preserve">3. UNESCO (2023). K-12 AI Curricula: A mapping of government-endorsed AI curricula. UNESCO Publishing, Paris.</w:t>
      </w:r>
    </w:p>
    <w:p>
      <w:pPr>
        <w:spacing w:after="80"/>
        <w:jc w:val="both"/>
      </w:pPr>
      <w:r>
        <w:rPr>
          <w:rFonts w:ascii="Times New Roman" w:cs="Times New Roman" w:eastAsia="Times New Roman" w:hAnsi="Times New Roman"/>
          <w:sz w:val="28"/>
          <w:szCs w:val="28"/>
        </w:rPr>
        <w:t xml:space="preserve">4. Miura, T. &amp; Yamamoto, K. (2021). Adaptive learning systems in higher education: A systematic review. Educational Technology Research, 44(2), 112–130.</w:t>
      </w:r>
    </w:p>
    <w:p>
      <w:pPr>
        <w:spacing w:after="80"/>
        <w:jc w:val="both"/>
      </w:pPr>
      <w:r>
        <w:rPr>
          <w:rFonts w:ascii="Times New Roman" w:cs="Times New Roman" w:eastAsia="Times New Roman" w:hAnsi="Times New Roman"/>
          <w:sz w:val="28"/>
          <w:szCs w:val="28"/>
        </w:rPr>
        <w:t xml:space="preserve">5. Бегалиев, Қ.Б. (2022). Жасанды интеллект технологиялары: білім берудегі перспективалары. Алматы: КазНИТУ баспасы.</w:t>
      </w:r>
    </w:p>
    <w:p>
      <w:pPr>
        <w:spacing w:after="80"/>
        <w:jc w:val="both"/>
      </w:pPr>
      <w:r>
        <w:rPr>
          <w:rFonts w:ascii="Times New Roman" w:cs="Times New Roman" w:eastAsia="Times New Roman" w:hAnsi="Times New Roman"/>
          <w:sz w:val="28"/>
          <w:szCs w:val="28"/>
        </w:rPr>
        <w:t xml:space="preserve">6. Сейткали, А.М. (2023). Қазақстанда цифрлы білім беруді дамытудың мәселелері мен болашағы. ҚазМТУ Хабаршысы, №1, 45–52.</w:t>
      </w:r>
    </w:p>
    <w:p>
      <w:pPr>
        <w:spacing w:after="80"/>
        <w:jc w:val="both"/>
      </w:pPr>
      <w:r>
        <w:rPr>
          <w:rFonts w:ascii="Times New Roman" w:cs="Times New Roman" w:eastAsia="Times New Roman" w:hAnsi="Times New Roman"/>
          <w:sz w:val="28"/>
          <w:szCs w:val="28"/>
        </w:rPr>
        <w:t xml:space="preserve">7. Қазақстан Республикасының «Цифрлы Қазақстан» мемлекеттік бағдарламасы, 2018–2022 жж. // Қазақстан Республикасы Үкіметінің қаулысы.</w:t>
      </w:r>
    </w:p>
    <w:sectPr>
      <w:pgSz w:w="11906" w:h="16838" w:orient="portrait"/>
      <w:pgMar w:top="1701" w:right="992"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2026-04-01T05:19:33.792Z</dcterms:created>
  <dcterms:modified xsi:type="dcterms:W3CDTF">2026-04-01T05:19:33.794Z</dcterms:modified>
</cp:coreProperties>
</file>

<file path=docProps/custom.xml><?xml version="1.0" encoding="utf-8"?>
<Properties xmlns="http://schemas.openxmlformats.org/officeDocument/2006/custom-properties" xmlns:vt="http://schemas.openxmlformats.org/officeDocument/2006/docPropsVTypes"/>
</file>