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Times New Roman" w:cs="Times New Roman" w:eastAsia="Times New Roman" w:hAnsi="Times New Roman"/>
          <w:b/>
          <w:bCs/>
          <w:sz w:val="28"/>
          <w:szCs w:val="28"/>
        </w:rPr>
        <w:t xml:space="preserve">ПРАКТИКАЛЫҚ ЖҰМЫС №1-2</w:t>
      </w:r>
    </w:p>
    <w:p>
      <w:pPr>
        <w:spacing w:after="80"/>
        <w:jc w:val="center"/>
      </w:pPr>
      <w:r>
        <w:rPr>
          <w:rFonts w:ascii="Times New Roman" w:cs="Times New Roman" w:eastAsia="Times New Roman" w:hAnsi="Times New Roman"/>
          <w:b/>
          <w:bCs/>
          <w:sz w:val="28"/>
          <w:szCs w:val="28"/>
        </w:rPr>
        <w:t xml:space="preserve">Дипломдық жұмыстың 1-тарауының құрылымын әзірлеу</w:t>
      </w:r>
    </w:p>
    <w:p>
      <w:pPr>
        <w:spacing w:after="80"/>
        <w:jc w:val="center"/>
      </w:pPr>
      <w:r>
        <w:rPr>
          <w:rFonts w:ascii="Times New Roman" w:cs="Times New Roman" w:eastAsia="Times New Roman" w:hAnsi="Times New Roman"/>
          <w:b/>
          <w:bCs/>
          <w:sz w:val="28"/>
          <w:szCs w:val="28"/>
        </w:rPr>
        <w:t xml:space="preserve">және әдебиеттерге шолу жасау</w:t>
      </w:r>
    </w:p>
    <w:p>
      <w:pPr>
        <w:spacing w:after="300"/>
        <w:jc w:val="center"/>
      </w:pPr>
      <w:r>
        <w:rPr>
          <w:rFonts w:ascii="Times New Roman" w:cs="Times New Roman" w:eastAsia="Times New Roman" w:hAnsi="Times New Roman"/>
          <w:i/>
          <w:iCs/>
          <w:sz w:val="28"/>
          <w:szCs w:val="28"/>
        </w:rPr>
        <w:t xml:space="preserve">Тақырып: "Жасанды интеллектті оқу бағдарламаларына енгізу"</w:t>
      </w:r>
    </w:p>
    <w:p>
      <w:pPr>
        <w:pStyle w:val="Heading2"/>
        <w:spacing w:after="100" w:before="200"/>
      </w:pPr>
      <w:r>
        <w:rPr>
          <w:rFonts w:ascii="Times New Roman" w:cs="Times New Roman" w:eastAsia="Times New Roman" w:hAnsi="Times New Roman"/>
          <w:b/>
          <w:bCs/>
          <w:sz w:val="28"/>
          <w:szCs w:val="28"/>
        </w:rPr>
        <w:t xml:space="preserve">1. 1-тараудың құрылымы</w:t>
      </w:r>
    </w:p>
    <w:p>
      <w:pPr>
        <w:spacing w:after="120"/>
        <w:ind w:firstLine="720"/>
        <w:jc w:val="both"/>
      </w:pPr>
      <w:r>
        <w:rPr>
          <w:rFonts w:ascii="Times New Roman" w:cs="Times New Roman" w:eastAsia="Times New Roman" w:hAnsi="Times New Roman"/>
          <w:sz w:val="28"/>
          <w:szCs w:val="28"/>
        </w:rPr>
        <w:t xml:space="preserve">«Жасанды интеллектті оқу бағдарламаларына енгізу» тақырыбы бойынша дипломдық жұмыстың 1-тарауы (Теориялық-аналитикалық бөлім) мынадай бөлімшелерден тұрады:</w:t>
      </w:r>
    </w:p>
    <w:p>
      <w:pPr>
        <w:pStyle w:val="ListParagraph"/>
        <w:numPr>
          <w:ilvl w:val="0"/>
          <w:numId w:val="2"/>
        </w:numPr>
        <w:spacing w:after="60"/>
      </w:pPr>
      <w:r>
        <w:rPr>
          <w:rFonts w:ascii="Times New Roman" w:cs="Times New Roman" w:eastAsia="Times New Roman" w:hAnsi="Times New Roman"/>
          <w:sz w:val="28"/>
          <w:szCs w:val="28"/>
        </w:rPr>
        <w:t xml:space="preserve">1.1 Жасанды интеллект технологияларының білім берудегі рөлі: мәні, түрлері және даму тенденциялары</w:t>
      </w:r>
    </w:p>
    <w:p>
      <w:pPr>
        <w:pStyle w:val="ListParagraph"/>
        <w:numPr>
          <w:ilvl w:val="0"/>
          <w:numId w:val="2"/>
        </w:numPr>
        <w:spacing w:after="60"/>
      </w:pPr>
      <w:r>
        <w:rPr>
          <w:rFonts w:ascii="Times New Roman" w:cs="Times New Roman" w:eastAsia="Times New Roman" w:hAnsi="Times New Roman"/>
          <w:sz w:val="28"/>
          <w:szCs w:val="28"/>
        </w:rPr>
        <w:t xml:space="preserve">1.2 Бейімделгіш оқыту жүйелерінің (Adaptive Learning Systems) архитектуралары мен алгоритмдерін салыстырмалы талдау</w:t>
      </w:r>
    </w:p>
    <w:p>
      <w:pPr>
        <w:pStyle w:val="ListParagraph"/>
        <w:numPr>
          <w:ilvl w:val="0"/>
          <w:numId w:val="2"/>
        </w:numPr>
        <w:spacing w:after="60"/>
      </w:pPr>
      <w:r>
        <w:rPr>
          <w:rFonts w:ascii="Times New Roman" w:cs="Times New Roman" w:eastAsia="Times New Roman" w:hAnsi="Times New Roman"/>
          <w:sz w:val="28"/>
          <w:szCs w:val="28"/>
        </w:rPr>
        <w:t xml:space="preserve">1.3 Қазіргі заманғы шешімдердегі проблемалар мен зерттеу бағыттарын тұжырымдау</w:t>
      </w:r>
    </w:p>
    <w:p>
      <w:pPr>
        <w:pStyle w:val="Heading2"/>
        <w:spacing w:after="100" w:before="200"/>
      </w:pPr>
      <w:r>
        <w:rPr>
          <w:rFonts w:ascii="Times New Roman" w:cs="Times New Roman" w:eastAsia="Times New Roman" w:hAnsi="Times New Roman"/>
          <w:b/>
          <w:bCs/>
          <w:sz w:val="28"/>
          <w:szCs w:val="28"/>
        </w:rPr>
        <w:t xml:space="preserve">2. Әдебиеттерге шолу</w:t>
      </w:r>
    </w:p>
    <w:p>
      <w:pPr>
        <w:spacing w:after="120"/>
        <w:ind w:firstLine="720"/>
        <w:jc w:val="both"/>
      </w:pPr>
      <w:r>
        <w:rPr>
          <w:rFonts w:ascii="Times New Roman" w:cs="Times New Roman" w:eastAsia="Times New Roman" w:hAnsi="Times New Roman"/>
          <w:sz w:val="28"/>
          <w:szCs w:val="28"/>
        </w:rPr>
        <w:t xml:space="preserve">1-тарауды жазу барысында кемінде 10 ғылыми-техникалық дереккөз таңдалып, тақырыпқа сәйкестігі бойынша топтастырылды.</w:t>
      </w:r>
    </w:p>
    <w:p>
      <w:pPr>
        <w:spacing w:after="80" w:before="100"/>
        <w:jc w:val="center"/>
      </w:pPr>
      <w:r>
        <w:rPr>
          <w:rFonts w:ascii="Times New Roman" w:cs="Times New Roman" w:eastAsia="Times New Roman" w:hAnsi="Times New Roman"/>
          <w:i/>
          <w:iCs/>
          <w:sz w:val="24"/>
          <w:szCs w:val="24"/>
        </w:rPr>
        <w:t xml:space="preserve">Кесте 1 — Ғылыми-техникалық дереккөздерге шолу</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3800"/>
        <w:gridCol w:w="1400"/>
        <w:gridCol w:w="1400"/>
        <w:gridCol w:w="2000"/>
      </w:tblGrid>
      <w:tr>
        <w:tc>
          <w:tcPr>
            <w:tcW w:type="dxa" w:w="400"/>
            <w:tcBorders>
              <w:top w:val="single" w:color="000000" w:sz="1"/>
              <w:left w:val="single" w:color="000000" w:sz="1"/>
              <w:bottom w:val="single" w:color="000000" w:sz="1"/>
              <w:right w:val="single" w:color="000000" w:sz="1"/>
            </w:tcBorders>
            <w:shd w:fill="BDD7EE"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8"/>
                <w:szCs w:val="28"/>
              </w:rPr>
              <w:t xml:space="preserve">№</w:t>
            </w:r>
          </w:p>
        </w:tc>
        <w:tc>
          <w:tcPr>
            <w:tcW w:type="dxa" w:w="3800"/>
            <w:tcBorders>
              <w:top w:val="single" w:color="000000" w:sz="1"/>
              <w:left w:val="single" w:color="000000" w:sz="1"/>
              <w:bottom w:val="single" w:color="000000" w:sz="1"/>
              <w:right w:val="single" w:color="000000" w:sz="1"/>
            </w:tcBorders>
            <w:shd w:fill="BDD7EE"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8"/>
                <w:szCs w:val="28"/>
              </w:rPr>
              <w:t xml:space="preserve">Дереккөз</w:t>
            </w:r>
          </w:p>
        </w:tc>
        <w:tc>
          <w:tcPr>
            <w:tcW w:type="dxa" w:w="1400"/>
            <w:tcBorders>
              <w:top w:val="single" w:color="000000" w:sz="1"/>
              <w:left w:val="single" w:color="000000" w:sz="1"/>
              <w:bottom w:val="single" w:color="000000" w:sz="1"/>
              <w:right w:val="single" w:color="000000" w:sz="1"/>
            </w:tcBorders>
            <w:shd w:fill="BDD7EE"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8"/>
                <w:szCs w:val="28"/>
              </w:rPr>
              <w:t xml:space="preserve">Жылы</w:t>
            </w:r>
          </w:p>
        </w:tc>
        <w:tc>
          <w:tcPr>
            <w:tcW w:type="dxa" w:w="1400"/>
            <w:tcBorders>
              <w:top w:val="single" w:color="000000" w:sz="1"/>
              <w:left w:val="single" w:color="000000" w:sz="1"/>
              <w:bottom w:val="single" w:color="000000" w:sz="1"/>
              <w:right w:val="single" w:color="000000" w:sz="1"/>
            </w:tcBorders>
            <w:shd w:fill="BDD7EE"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8"/>
                <w:szCs w:val="28"/>
              </w:rPr>
              <w:t xml:space="preserve">Түрі</w:t>
            </w:r>
          </w:p>
        </w:tc>
        <w:tc>
          <w:tcPr>
            <w:tcW w:type="dxa" w:w="2000"/>
            <w:tcBorders>
              <w:top w:val="single" w:color="000000" w:sz="1"/>
              <w:left w:val="single" w:color="000000" w:sz="1"/>
              <w:bottom w:val="single" w:color="000000" w:sz="1"/>
              <w:right w:val="single" w:color="000000" w:sz="1"/>
            </w:tcBorders>
            <w:shd w:fill="BDD7EE"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8"/>
                <w:szCs w:val="28"/>
              </w:rPr>
              <w:t xml:space="preserve">Қолданылатын бөлім</w:t>
            </w:r>
          </w:p>
        </w:tc>
      </w:tr>
      <w:tr>
        <w:tc>
          <w:tcPr>
            <w:tcW w:type="dxa" w:w="4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8"/>
                <w:szCs w:val="28"/>
              </w:rPr>
              <w:t xml:space="preserve">1</w:t>
            </w:r>
          </w:p>
        </w:tc>
        <w:tc>
          <w:tcPr>
            <w:tcW w:type="dxa" w:w="3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Baker R.S., Inventado P.S. Educational Data Mining and Learning Analytics. Learning Analytics, 61-75</w:t>
            </w:r>
          </w:p>
        </w:tc>
        <w:tc>
          <w:tcPr>
            <w:tcW w:type="dxa" w:w="14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2014</w:t>
            </w:r>
          </w:p>
        </w:tc>
        <w:tc>
          <w:tcPr>
            <w:tcW w:type="dxa" w:w="14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Ғылыми мақала</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1.1, 1.2</w:t>
            </w:r>
          </w:p>
        </w:tc>
      </w:tr>
      <w:tr>
        <w:tc>
          <w:tcPr>
            <w:tcW w:type="dxa" w:w="4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8"/>
                <w:szCs w:val="28"/>
              </w:rPr>
              <w:t xml:space="preserve">2</w:t>
            </w:r>
          </w:p>
        </w:tc>
        <w:tc>
          <w:tcPr>
            <w:tcW w:type="dxa" w:w="3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Luckin R., Holmes W. Intelligence Unleashed: An argument for AI in Education. Pearson</w:t>
            </w:r>
          </w:p>
        </w:tc>
        <w:tc>
          <w:tcPr>
            <w:tcW w:type="dxa" w:w="14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2016</w:t>
            </w:r>
          </w:p>
        </w:tc>
        <w:tc>
          <w:tcPr>
            <w:tcW w:type="dxa" w:w="14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Монография</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1.1</w:t>
            </w:r>
          </w:p>
        </w:tc>
      </w:tr>
      <w:tr>
        <w:tc>
          <w:tcPr>
            <w:tcW w:type="dxa" w:w="4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8"/>
                <w:szCs w:val="28"/>
              </w:rPr>
              <w:t xml:space="preserve">3</w:t>
            </w:r>
          </w:p>
        </w:tc>
        <w:tc>
          <w:tcPr>
            <w:tcW w:type="dxa" w:w="3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UNESCO. K-12 AI Curricula: A mapping of government-endorsed AI curricula. Paris</w:t>
            </w:r>
          </w:p>
        </w:tc>
        <w:tc>
          <w:tcPr>
            <w:tcW w:type="dxa" w:w="14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2023</w:t>
            </w:r>
          </w:p>
        </w:tc>
        <w:tc>
          <w:tcPr>
            <w:tcW w:type="dxa" w:w="14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Халықаралық есеп</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1.1, 1.3</w:t>
            </w:r>
          </w:p>
        </w:tc>
      </w:tr>
      <w:tr>
        <w:tc>
          <w:tcPr>
            <w:tcW w:type="dxa" w:w="4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8"/>
                <w:szCs w:val="28"/>
              </w:rPr>
              <w:t xml:space="preserve">4</w:t>
            </w:r>
          </w:p>
        </w:tc>
        <w:tc>
          <w:tcPr>
            <w:tcW w:type="dxa" w:w="3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VanLehn K. The relative effectiveness of human tutoring, intelligent tutoring systems, and other tutoring systems. Educational Psychologist</w:t>
            </w:r>
          </w:p>
        </w:tc>
        <w:tc>
          <w:tcPr>
            <w:tcW w:type="dxa" w:w="14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2011</w:t>
            </w:r>
          </w:p>
        </w:tc>
        <w:tc>
          <w:tcPr>
            <w:tcW w:type="dxa" w:w="14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Ғылыми мақала</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1.2</w:t>
            </w:r>
          </w:p>
        </w:tc>
      </w:tr>
      <w:tr>
        <w:tc>
          <w:tcPr>
            <w:tcW w:type="dxa" w:w="4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8"/>
                <w:szCs w:val="28"/>
              </w:rPr>
              <w:t xml:space="preserve">5</w:t>
            </w:r>
          </w:p>
        </w:tc>
        <w:tc>
          <w:tcPr>
            <w:tcW w:type="dxa" w:w="3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Miura T., Yamamoto K. Adaptive learning systems in higher education: A systematic review. Educational Technology Research</w:t>
            </w:r>
          </w:p>
        </w:tc>
        <w:tc>
          <w:tcPr>
            <w:tcW w:type="dxa" w:w="14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2021</w:t>
            </w:r>
          </w:p>
        </w:tc>
        <w:tc>
          <w:tcPr>
            <w:tcW w:type="dxa" w:w="14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Шолу мақаласы</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1.2</w:t>
            </w:r>
          </w:p>
        </w:tc>
      </w:tr>
      <w:tr>
        <w:tc>
          <w:tcPr>
            <w:tcW w:type="dxa" w:w="4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8"/>
                <w:szCs w:val="28"/>
              </w:rPr>
              <w:t xml:space="preserve">6</w:t>
            </w:r>
          </w:p>
        </w:tc>
        <w:tc>
          <w:tcPr>
            <w:tcW w:type="dxa" w:w="3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Бегалиев Қ.Б. Жасанды интеллект технологиялары: білім берудегі перспективалары. КазНИТУ</w:t>
            </w:r>
          </w:p>
        </w:tc>
        <w:tc>
          <w:tcPr>
            <w:tcW w:type="dxa" w:w="14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2022</w:t>
            </w:r>
          </w:p>
        </w:tc>
        <w:tc>
          <w:tcPr>
            <w:tcW w:type="dxa" w:w="14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Оқулық</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1.1, 1.3</w:t>
            </w:r>
          </w:p>
        </w:tc>
      </w:tr>
      <w:tr>
        <w:tc>
          <w:tcPr>
            <w:tcW w:type="dxa" w:w="4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8"/>
                <w:szCs w:val="28"/>
              </w:rPr>
              <w:t xml:space="preserve">7</w:t>
            </w:r>
          </w:p>
        </w:tc>
        <w:tc>
          <w:tcPr>
            <w:tcW w:type="dxa" w:w="3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Сейткали А.М. Қазақстанда цифрлы білім беруді дамытудың мәселелері. ҚазМТУ Хабаршысы</w:t>
            </w:r>
          </w:p>
        </w:tc>
        <w:tc>
          <w:tcPr>
            <w:tcW w:type="dxa" w:w="14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2023</w:t>
            </w:r>
          </w:p>
        </w:tc>
        <w:tc>
          <w:tcPr>
            <w:tcW w:type="dxa" w:w="14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Ғылыми мақала</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1.3</w:t>
            </w:r>
          </w:p>
        </w:tc>
      </w:tr>
      <w:tr>
        <w:tc>
          <w:tcPr>
            <w:tcW w:type="dxa" w:w="4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8"/>
                <w:szCs w:val="28"/>
              </w:rPr>
              <w:t xml:space="preserve">8</w:t>
            </w:r>
          </w:p>
        </w:tc>
        <w:tc>
          <w:tcPr>
            <w:tcW w:type="dxa" w:w="3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ҚР «Цифрлы Қазақстан» мемлекеттік бағдарламасы 2018-2022. ҚР Үкіметі қаулысы</w:t>
            </w:r>
          </w:p>
        </w:tc>
        <w:tc>
          <w:tcPr>
            <w:tcW w:type="dxa" w:w="14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2018</w:t>
            </w:r>
          </w:p>
        </w:tc>
        <w:tc>
          <w:tcPr>
            <w:tcW w:type="dxa" w:w="14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Нормативтік құжат</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1.3</w:t>
            </w:r>
          </w:p>
        </w:tc>
      </w:tr>
      <w:tr>
        <w:tc>
          <w:tcPr>
            <w:tcW w:type="dxa" w:w="4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8"/>
                <w:szCs w:val="28"/>
              </w:rPr>
              <w:t xml:space="preserve">9</w:t>
            </w:r>
          </w:p>
        </w:tc>
        <w:tc>
          <w:tcPr>
            <w:tcW w:type="dxa" w:w="3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Pedró F. et al. Artificial Intelligence in Education: Challenges and Opportunities for Sustainable Development. UNESCO</w:t>
            </w:r>
          </w:p>
        </w:tc>
        <w:tc>
          <w:tcPr>
            <w:tcW w:type="dxa" w:w="14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2019</w:t>
            </w:r>
          </w:p>
        </w:tc>
        <w:tc>
          <w:tcPr>
            <w:tcW w:type="dxa" w:w="14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Халықаралық есеп</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1.1, 1.3</w:t>
            </w:r>
          </w:p>
        </w:tc>
      </w:tr>
      <w:tr>
        <w:tc>
          <w:tcPr>
            <w:tcW w:type="dxa" w:w="4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8"/>
                <w:szCs w:val="28"/>
              </w:rPr>
              <w:t xml:space="preserve">10</w:t>
            </w:r>
          </w:p>
        </w:tc>
        <w:tc>
          <w:tcPr>
            <w:tcW w:type="dxa" w:w="3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Koedinger K.R., Anderson J.R. Intelligent Tutoring Goes To School in the Big City. Int. J. of Artificial Intelligence in Education</w:t>
            </w:r>
          </w:p>
        </w:tc>
        <w:tc>
          <w:tcPr>
            <w:tcW w:type="dxa" w:w="14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1997</w:t>
            </w:r>
          </w:p>
        </w:tc>
        <w:tc>
          <w:tcPr>
            <w:tcW w:type="dxa" w:w="14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Классикалық мақала</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1.2</w:t>
            </w:r>
          </w:p>
        </w:tc>
      </w:tr>
      <w:tr>
        <w:tc>
          <w:tcPr>
            <w:tcW w:type="dxa" w:w="4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8"/>
                <w:szCs w:val="28"/>
              </w:rPr>
              <w:t xml:space="preserve">11</w:t>
            </w:r>
          </w:p>
        </w:tc>
        <w:tc>
          <w:tcPr>
            <w:tcW w:type="dxa" w:w="3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Zawacki-Richter O. et al. Systematic review of research on AI in higher education. Int. J. of Educational Technology</w:t>
            </w:r>
          </w:p>
        </w:tc>
        <w:tc>
          <w:tcPr>
            <w:tcW w:type="dxa" w:w="14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2019</w:t>
            </w:r>
          </w:p>
        </w:tc>
        <w:tc>
          <w:tcPr>
            <w:tcW w:type="dxa" w:w="14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Жүйелі шолу</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1.2, 1.3</w:t>
            </w:r>
          </w:p>
        </w:tc>
      </w:tr>
      <w:tr>
        <w:tc>
          <w:tcPr>
            <w:tcW w:type="dxa" w:w="4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8"/>
                <w:szCs w:val="28"/>
              </w:rPr>
              <w:t xml:space="preserve">12</w:t>
            </w:r>
          </w:p>
        </w:tc>
        <w:tc>
          <w:tcPr>
            <w:tcW w:type="dxa" w:w="3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Bloom B.S. The 2 sigma problem: The search for methods of group instruction as effective as one-to-one tutoring. Educational Researcher</w:t>
            </w:r>
          </w:p>
        </w:tc>
        <w:tc>
          <w:tcPr>
            <w:tcW w:type="dxa" w:w="14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1984</w:t>
            </w:r>
          </w:p>
        </w:tc>
        <w:tc>
          <w:tcPr>
            <w:tcW w:type="dxa" w:w="14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Классикалық мақала</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1.2</w:t>
            </w:r>
          </w:p>
        </w:tc>
      </w:tr>
    </w:tbl>
    <w:p>
      <w:pPr>
        <w:pStyle w:val="Heading2"/>
        <w:spacing w:after="100" w:before="200"/>
      </w:pPr>
      <w:r>
        <w:rPr>
          <w:rFonts w:ascii="Times New Roman" w:cs="Times New Roman" w:eastAsia="Times New Roman" w:hAnsi="Times New Roman"/>
          <w:b/>
          <w:bCs/>
          <w:sz w:val="28"/>
          <w:szCs w:val="28"/>
        </w:rPr>
        <w:t xml:space="preserve">3. Терминдер мен ұғымдар тізімі</w:t>
      </w:r>
    </w:p>
    <w:p>
      <w:pPr>
        <w:spacing w:after="120"/>
        <w:ind w:firstLine="720"/>
        <w:jc w:val="both"/>
      </w:pPr>
      <w:r>
        <w:rPr>
          <w:rFonts w:ascii="Times New Roman" w:cs="Times New Roman" w:eastAsia="Times New Roman" w:hAnsi="Times New Roman"/>
          <w:sz w:val="28"/>
          <w:szCs w:val="28"/>
        </w:rPr>
        <w:t xml:space="preserve">1-тарауда қолданылатын негізгі техникалық терминдер мен ұғымдар:</w:t>
      </w:r>
    </w:p>
    <w:p>
      <w:pPr>
        <w:spacing w:after="80" w:before="100"/>
        <w:jc w:val="center"/>
      </w:pPr>
      <w:r>
        <w:rPr>
          <w:rFonts w:ascii="Times New Roman" w:cs="Times New Roman" w:eastAsia="Times New Roman" w:hAnsi="Times New Roman"/>
          <w:i/>
          <w:iCs/>
          <w:sz w:val="24"/>
          <w:szCs w:val="24"/>
        </w:rPr>
        <w:t xml:space="preserve">Кесте 2 — Терминдер глоссарийі</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2900"/>
        <w:gridCol w:w="5700"/>
      </w:tblGrid>
      <w:tr>
        <w:tc>
          <w:tcPr>
            <w:tcW w:type="dxa" w:w="400"/>
            <w:tcBorders>
              <w:top w:val="single" w:color="000000" w:sz="1"/>
              <w:left w:val="single" w:color="000000" w:sz="1"/>
              <w:bottom w:val="single" w:color="000000" w:sz="1"/>
              <w:right w:val="single" w:color="000000" w:sz="1"/>
            </w:tcBorders>
            <w:shd w:fill="BDD7EE"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8"/>
                <w:szCs w:val="28"/>
              </w:rPr>
              <w:t xml:space="preserve">№</w:t>
            </w:r>
          </w:p>
        </w:tc>
        <w:tc>
          <w:tcPr>
            <w:tcW w:type="dxa" w:w="2900"/>
            <w:tcBorders>
              <w:top w:val="single" w:color="000000" w:sz="1"/>
              <w:left w:val="single" w:color="000000" w:sz="1"/>
              <w:bottom w:val="single" w:color="000000" w:sz="1"/>
              <w:right w:val="single" w:color="000000" w:sz="1"/>
            </w:tcBorders>
            <w:shd w:fill="BDD7EE"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8"/>
                <w:szCs w:val="28"/>
              </w:rPr>
              <w:t xml:space="preserve">Термин</w:t>
            </w:r>
          </w:p>
        </w:tc>
        <w:tc>
          <w:tcPr>
            <w:tcW w:type="dxa" w:w="5700"/>
            <w:tcBorders>
              <w:top w:val="single" w:color="000000" w:sz="1"/>
              <w:left w:val="single" w:color="000000" w:sz="1"/>
              <w:bottom w:val="single" w:color="000000" w:sz="1"/>
              <w:right w:val="single" w:color="000000" w:sz="1"/>
            </w:tcBorders>
            <w:shd w:fill="BDD7EE"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8"/>
                <w:szCs w:val="28"/>
              </w:rPr>
              <w:t xml:space="preserve">Анықтама</w:t>
            </w:r>
          </w:p>
        </w:tc>
      </w:tr>
      <w:tr>
        <w:tc>
          <w:tcPr>
            <w:tcW w:type="dxa" w:w="4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8"/>
                <w:szCs w:val="28"/>
              </w:rPr>
              <w:t xml:space="preserve">1</w:t>
            </w:r>
          </w:p>
        </w:tc>
        <w:tc>
          <w:tcPr>
            <w:tcW w:type="dxa" w:w="2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Жасанды интеллект (ЖИ)</w:t>
            </w:r>
          </w:p>
        </w:tc>
        <w:tc>
          <w:tcPr>
            <w:tcW w:type="dxa" w:w="5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Адамның интеллектуалдық функцияларын орындауға қабілетті компьютерлік жүйелер мен алгоритмдер</w:t>
            </w:r>
          </w:p>
        </w:tc>
      </w:tr>
      <w:tr>
        <w:tc>
          <w:tcPr>
            <w:tcW w:type="dxa" w:w="4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8"/>
                <w:szCs w:val="28"/>
              </w:rPr>
              <w:t xml:space="preserve">2</w:t>
            </w:r>
          </w:p>
        </w:tc>
        <w:tc>
          <w:tcPr>
            <w:tcW w:type="dxa" w:w="2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Бейімделгіш оқыту (Adaptive Learning)</w:t>
            </w:r>
          </w:p>
        </w:tc>
        <w:tc>
          <w:tcPr>
            <w:tcW w:type="dxa" w:w="5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Оқушының нақты білім деңгейі мен мінез-құлқына қарай оқу мазмұнын автоматты бейімдейтін жүйе</w:t>
            </w:r>
          </w:p>
        </w:tc>
      </w:tr>
      <w:tr>
        <w:tc>
          <w:tcPr>
            <w:tcW w:type="dxa" w:w="4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8"/>
                <w:szCs w:val="28"/>
              </w:rPr>
              <w:t xml:space="preserve">3</w:t>
            </w:r>
          </w:p>
        </w:tc>
        <w:tc>
          <w:tcPr>
            <w:tcW w:type="dxa" w:w="2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Machine Learning (Машиналық оқыту)</w:t>
            </w:r>
          </w:p>
        </w:tc>
        <w:tc>
          <w:tcPr>
            <w:tcW w:type="dxa" w:w="5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Тәжірибеден үйрену арқылы болжамдар жасайтын алгоритмдер жиынтығы</w:t>
            </w:r>
          </w:p>
        </w:tc>
      </w:tr>
      <w:tr>
        <w:tc>
          <w:tcPr>
            <w:tcW w:type="dxa" w:w="4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8"/>
                <w:szCs w:val="28"/>
              </w:rPr>
              <w:t xml:space="preserve">4</w:t>
            </w:r>
          </w:p>
        </w:tc>
        <w:tc>
          <w:tcPr>
            <w:tcW w:type="dxa" w:w="2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Intelligent Tutoring System (ITS)</w:t>
            </w:r>
          </w:p>
        </w:tc>
        <w:tc>
          <w:tcPr>
            <w:tcW w:type="dxa" w:w="5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Компьютерлік бағдарламалық тьюторлық жүйе — жеке оқыту жоспарын автоматты жасайды</w:t>
            </w:r>
          </w:p>
        </w:tc>
      </w:tr>
      <w:tr>
        <w:tc>
          <w:tcPr>
            <w:tcW w:type="dxa" w:w="4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8"/>
                <w:szCs w:val="28"/>
              </w:rPr>
              <w:t xml:space="preserve">5</w:t>
            </w:r>
          </w:p>
        </w:tc>
        <w:tc>
          <w:tcPr>
            <w:tcW w:type="dxa" w:w="2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Learning Analytics</w:t>
            </w:r>
          </w:p>
        </w:tc>
        <w:tc>
          <w:tcPr>
            <w:tcW w:type="dxa" w:w="5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Оқушылардың цифрлы белсенділік деректерін талдай отырып, оқу нәтижелерін болжайтын сала</w:t>
            </w:r>
          </w:p>
        </w:tc>
      </w:tr>
      <w:tr>
        <w:tc>
          <w:tcPr>
            <w:tcW w:type="dxa" w:w="4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8"/>
                <w:szCs w:val="28"/>
              </w:rPr>
              <w:t xml:space="preserve">6</w:t>
            </w:r>
          </w:p>
        </w:tc>
        <w:tc>
          <w:tcPr>
            <w:tcW w:type="dxa" w:w="2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KNN алгоритмі</w:t>
            </w:r>
          </w:p>
        </w:tc>
        <w:tc>
          <w:tcPr>
            <w:tcW w:type="dxa" w:w="5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K nearest neighbors — жақынырақ нүктелер бойынша классификациялайтын машиналық оқыту алгоритмі</w:t>
            </w:r>
          </w:p>
        </w:tc>
      </w:tr>
      <w:tr>
        <w:tc>
          <w:tcPr>
            <w:tcW w:type="dxa" w:w="4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8"/>
                <w:szCs w:val="28"/>
              </w:rPr>
              <w:t xml:space="preserve">7</w:t>
            </w:r>
          </w:p>
        </w:tc>
        <w:tc>
          <w:tcPr>
            <w:tcW w:type="dxa" w:w="2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API (Application Programming Interface)</w:t>
            </w:r>
          </w:p>
        </w:tc>
        <w:tc>
          <w:tcPr>
            <w:tcW w:type="dxa" w:w="5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Бағдарламалардың бір-бірімен ақпарат алмасуын реттейтін интерфейс стандарты</w:t>
            </w:r>
          </w:p>
        </w:tc>
      </w:tr>
      <w:tr>
        <w:tc>
          <w:tcPr>
            <w:tcW w:type="dxa" w:w="4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8"/>
                <w:szCs w:val="28"/>
              </w:rPr>
              <w:t xml:space="preserve">8</w:t>
            </w:r>
          </w:p>
        </w:tc>
        <w:tc>
          <w:tcPr>
            <w:tcW w:type="dxa" w:w="2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REST</w:t>
            </w:r>
          </w:p>
        </w:tc>
        <w:tc>
          <w:tcPr>
            <w:tcW w:type="dxa" w:w="5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Representational State Transfer — веб-сервистер архитектуралық стилі</w:t>
            </w:r>
          </w:p>
        </w:tc>
      </w:tr>
      <w:tr>
        <w:tc>
          <w:tcPr>
            <w:tcW w:type="dxa" w:w="4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8"/>
                <w:szCs w:val="28"/>
              </w:rPr>
              <w:t xml:space="preserve">9</w:t>
            </w:r>
          </w:p>
        </w:tc>
        <w:tc>
          <w:tcPr>
            <w:tcW w:type="dxa" w:w="2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SPA (Single Page Application)</w:t>
            </w:r>
          </w:p>
        </w:tc>
        <w:tc>
          <w:tcPr>
            <w:tcW w:type="dxa" w:w="5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Бір бетті веб-қосымша — беттер арасында толық жүктелусіз жұмыс істейді</w:t>
            </w:r>
          </w:p>
        </w:tc>
      </w:tr>
      <w:tr>
        <w:tc>
          <w:tcPr>
            <w:tcW w:type="dxa" w:w="4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8"/>
                <w:szCs w:val="28"/>
              </w:rPr>
              <w:t xml:space="preserve">10</w:t>
            </w:r>
          </w:p>
        </w:tc>
        <w:tc>
          <w:tcPr>
            <w:tcW w:type="dxa" w:w="2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LMS (Learning Management System)</w:t>
            </w:r>
          </w:p>
        </w:tc>
        <w:tc>
          <w:tcPr>
            <w:tcW w:type="dxa" w:w="5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Оқу үдерісін онлайн форматта ұйымдастыруға арналған басқару жүйесі</w:t>
            </w:r>
          </w:p>
        </w:tc>
      </w:tr>
      <w:tr>
        <w:tc>
          <w:tcPr>
            <w:tcW w:type="dxa" w:w="4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8"/>
                <w:szCs w:val="28"/>
              </w:rPr>
              <w:t xml:space="preserve">11</w:t>
            </w:r>
          </w:p>
        </w:tc>
        <w:tc>
          <w:tcPr>
            <w:tcW w:type="dxa" w:w="2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Gamification</w:t>
            </w:r>
          </w:p>
        </w:tc>
        <w:tc>
          <w:tcPr>
            <w:tcW w:type="dxa" w:w="5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Оқу мотивациясын арттыру үшін ойын элементтерін оқу үдерісіне кіріктіру</w:t>
            </w:r>
          </w:p>
        </w:tc>
      </w:tr>
      <w:tr>
        <w:tc>
          <w:tcPr>
            <w:tcW w:type="dxa" w:w="4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8"/>
                <w:szCs w:val="28"/>
              </w:rPr>
              <w:t xml:space="preserve">12</w:t>
            </w:r>
          </w:p>
        </w:tc>
        <w:tc>
          <w:tcPr>
            <w:tcW w:type="dxa" w:w="2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Recommender System</w:t>
            </w:r>
          </w:p>
        </w:tc>
        <w:tc>
          <w:tcPr>
            <w:tcW w:type="dxa" w:w="5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Пайдаланушының тарихы негізінде релевантты мазмұн ұсынатын интеллектуалды жүйе</w:t>
            </w:r>
          </w:p>
        </w:tc>
      </w:tr>
      <w:tr>
        <w:tc>
          <w:tcPr>
            <w:tcW w:type="dxa" w:w="4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8"/>
                <w:szCs w:val="28"/>
              </w:rPr>
              <w:t xml:space="preserve">13</w:t>
            </w:r>
          </w:p>
        </w:tc>
        <w:tc>
          <w:tcPr>
            <w:tcW w:type="dxa" w:w="2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Digital Twin</w:t>
            </w:r>
          </w:p>
        </w:tc>
        <w:tc>
          <w:tcPr>
            <w:tcW w:type="dxa" w:w="5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Нақты жүйенің цифрлы үлгісі — болжамдар мен имитациялар жасауға арналған</w:t>
            </w:r>
          </w:p>
        </w:tc>
      </w:tr>
      <w:tr>
        <w:tc>
          <w:tcPr>
            <w:tcW w:type="dxa" w:w="4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8"/>
                <w:szCs w:val="28"/>
              </w:rPr>
              <w:t xml:space="preserve">14</w:t>
            </w:r>
          </w:p>
        </w:tc>
        <w:tc>
          <w:tcPr>
            <w:tcW w:type="dxa" w:w="2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Microservices</w:t>
            </w:r>
          </w:p>
        </w:tc>
        <w:tc>
          <w:tcPr>
            <w:tcW w:type="dxa" w:w="5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Жүйені бөлек, тәуелсіз қызметтер ретінде жобалайтын архитектуралық тәсіл</w:t>
            </w:r>
          </w:p>
        </w:tc>
      </w:tr>
      <w:tr>
        <w:tc>
          <w:tcPr>
            <w:tcW w:type="dxa" w:w="4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8"/>
                <w:szCs w:val="28"/>
              </w:rPr>
              <w:t xml:space="preserve">15</w:t>
            </w:r>
          </w:p>
        </w:tc>
        <w:tc>
          <w:tcPr>
            <w:tcW w:type="dxa" w:w="2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JWT (JSON Web Token)</w:t>
            </w:r>
          </w:p>
        </w:tc>
        <w:tc>
          <w:tcPr>
            <w:tcW w:type="dxa" w:w="5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Пайдаланушы аутентификациясы үшін кеңінен қолданылатын цифрлы таңба стандарты</w:t>
            </w:r>
          </w:p>
        </w:tc>
      </w:tr>
    </w:tbl>
    <w:p>
      <w:pPr>
        <w:pStyle w:val="Heading2"/>
        <w:spacing w:after="100" w:before="200"/>
      </w:pPr>
      <w:r>
        <w:rPr>
          <w:rFonts w:ascii="Times New Roman" w:cs="Times New Roman" w:eastAsia="Times New Roman" w:hAnsi="Times New Roman"/>
          <w:b/>
          <w:bCs/>
          <w:sz w:val="28"/>
          <w:szCs w:val="28"/>
        </w:rPr>
        <w:t xml:space="preserve">4. 1-тараудың 1.1-бөлімшесінің толық мәтіні</w:t>
      </w:r>
    </w:p>
    <w:p>
      <w:pPr>
        <w:pStyle w:val="Heading3"/>
        <w:spacing w:after="80" w:before="160"/>
      </w:pPr>
      <w:r>
        <w:rPr>
          <w:rFonts w:ascii="Times New Roman" w:cs="Times New Roman" w:eastAsia="Times New Roman" w:hAnsi="Times New Roman"/>
          <w:b/>
          <w:bCs/>
          <w:i/>
          <w:iCs/>
          <w:sz w:val="28"/>
          <w:szCs w:val="28"/>
        </w:rPr>
        <w:t xml:space="preserve">1.1 Жасанды интеллект технологияларының білім берудегі рөлі: мәні, түрлері және даму тенденциялары</w:t>
      </w:r>
    </w:p>
    <w:p>
      <w:pPr>
        <w:spacing w:after="120"/>
        <w:ind w:firstLine="720"/>
        <w:jc w:val="both"/>
      </w:pPr>
      <w:r>
        <w:rPr>
          <w:rFonts w:ascii="Times New Roman" w:cs="Times New Roman" w:eastAsia="Times New Roman" w:hAnsi="Times New Roman"/>
          <w:sz w:val="28"/>
          <w:szCs w:val="28"/>
        </w:rPr>
        <w:t xml:space="preserve">Жасанды интеллект (ЖИ) — адам миының интеллектуалдық функцияларын орындауға, тану, болжамдау, шешім қабылдау және өз бетімен оқуға қабілетті компьютерлік алгоритмдер мен жүйелердің жиынтығы. Білім беру саласына қатысты ЖИ технологиялары бүгінде «білімді жекелендіру» (personalized learning) идеясын жүзеге асырудың ең тиімді құралы ретінде танылуда.</w:t>
      </w:r>
    </w:p>
    <w:p>
      <w:pPr>
        <w:spacing w:after="120"/>
        <w:ind w:firstLine="720"/>
        <w:jc w:val="both"/>
      </w:pPr>
      <w:r>
        <w:rPr>
          <w:rFonts w:ascii="Times New Roman" w:cs="Times New Roman" w:eastAsia="Times New Roman" w:hAnsi="Times New Roman"/>
          <w:sz w:val="28"/>
          <w:szCs w:val="28"/>
        </w:rPr>
        <w:t xml:space="preserve">ЖИ-ның білім берудегі бірінші практикалық қолданысы 1980-жылдарда Intelligent Tutoring Systems (ITS) — интеллектуалдық тьюторлық жүйелер пайда болуымен байланысты. Bloom (1984) өзінің белгілі «2 сигма мәселесі» зерттеуінде жеке тьюторлықтың топтық оқытудан 2 стандартты ауытқу деңгейінде тиімді екенін дәлелдеді. Осы тапшылықты толтыру үшін ITS жүйелері жасалды.</w:t>
      </w:r>
    </w:p>
    <w:p>
      <w:pPr>
        <w:spacing w:after="120"/>
        <w:ind w:firstLine="720"/>
        <w:jc w:val="both"/>
      </w:pPr>
      <w:r>
        <w:rPr>
          <w:rFonts w:ascii="Times New Roman" w:cs="Times New Roman" w:eastAsia="Times New Roman" w:hAnsi="Times New Roman"/>
          <w:sz w:val="28"/>
          <w:szCs w:val="28"/>
        </w:rPr>
        <w:t xml:space="preserve">Қазіргі ЖИ технологияларын білім беруде қолданудың негізгі бағыттарын бірнеше санатқа бөлуге болады. Бірінші санат — бейімделгіш оқыту (Adaptive Learning): жүйе оқушының тест нәтижелерін, жауап уақытын және қателер санын талдай отырып, келесі тапсырманы автоматты таңдайды. Carnegie Learning, Khan Academy, Duolingo осы санаттың жетекші өкілдері болып табылады. Екінші санат — Learning Analytics: оқушылардың цифрлы белсенділік деректерін (логиндер, уақыт, тапсырма орындау тарихы) талдап, тәуекел топтарын (dropout risk) анықтайды. Үшінші санат — автоматтандырылған бағалау: Natural Language Processing (NLP) алгоритмдері ашық жауаптарды, эссе мен рефераттарды автоматты тексереді. Төртінші санат — чат-боттар мен виртуалды оқытушылар: GPT сияқты үлкен тілдік үлгілер (LLM) негізіндегі жүйелер студенттердің сұрақтарына 24/7 режимінде жауап береді.</w:t>
      </w:r>
    </w:p>
    <w:p>
      <w:pPr>
        <w:spacing w:after="120"/>
        <w:ind w:firstLine="720"/>
        <w:jc w:val="both"/>
      </w:pPr>
      <w:r>
        <w:rPr>
          <w:rFonts w:ascii="Times New Roman" w:cs="Times New Roman" w:eastAsia="Times New Roman" w:hAnsi="Times New Roman"/>
          <w:sz w:val="28"/>
          <w:szCs w:val="28"/>
        </w:rPr>
        <w:t xml:space="preserve">UNESCO-ның 2023 жылғы K-12 AI Curricula есебіне сәйкес, мемлекет деңгейінде ЖИ-ды мектеп бағдарламасына кіріктірген елдер саны 2020-2023 жылдар аралығында 11-ден 34-ке дейін өсті. Бұл деректер ЖИ-ды білім берудің міндетті бөлігіне айналдыру тенденциясы жеделдеп жатқанын дәлелдейді.</w:t>
      </w:r>
    </w:p>
    <w:p>
      <w:pPr>
        <w:spacing w:after="120"/>
        <w:ind w:firstLine="720"/>
        <w:jc w:val="both"/>
      </w:pPr>
      <w:r>
        <w:rPr>
          <w:rFonts w:ascii="Times New Roman" w:cs="Times New Roman" w:eastAsia="Times New Roman" w:hAnsi="Times New Roman"/>
          <w:sz w:val="28"/>
          <w:szCs w:val="28"/>
        </w:rPr>
        <w:t xml:space="preserve">Дегенмен, ЖИ технологияларын білім беруге интеграциялауда ряд маңызды проблемалар бар. Педагогикалық тұрғыдан: ЖИ жүйелері мазмұнды жеткізе алады, бірақ оқушының мотивациясы мен эмоционалдық жай-күйін толыққанды ескере алмайды. Техникалық тұрғыдан: жүйелердің өнімділігі, деректер қауіпсіздігі және қолжетімділігі мәселелері шешімін күтуде. Этикалық тұрғыдан: алгоритмдердегі бейімділік (bias) проблемасы — жүйелер белгілі бір әлеуметтік топтарды кемсітуі мүмкін.</w:t>
      </w:r>
    </w:p>
    <w:p>
      <w:pPr>
        <w:spacing w:after="120"/>
        <w:ind w:firstLine="720"/>
        <w:jc w:val="both"/>
      </w:pPr>
      <w:r>
        <w:rPr>
          <w:rFonts w:ascii="Times New Roman" w:cs="Times New Roman" w:eastAsia="Times New Roman" w:hAnsi="Times New Roman"/>
          <w:sz w:val="28"/>
          <w:szCs w:val="28"/>
        </w:rPr>
        <w:t xml:space="preserve">Қазақстан контекстінде «Цифрлы Қазақстан» мемлекеттік бағдарламасы (2018-2022) мектептерді жоғары жылдамдықты интернетпен жабдықтауға және электрондық білім беру ресурстарын дамытуға бағытталды. Алайда нақты ЖИ-негізіндегі бейімделгіш оқыту жүйелерін қазақстандық мектептерде кеңінен енгізу — әлі де шешілуін күтетін стратегиялық міндет болып қалуда. Осы мақсатта EduAI жүйесін жобалау осы бағыттағы нақты қадам болып табылады.</w:t>
      </w:r>
    </w:p>
    <w:sectPr>
      <w:pgSz w:w="11906" w:h="16838" w:orient="portrait"/>
      <w:pgMar w:top="1701" w:right="992" w:bottom="1417"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jc w:val="center"/>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80" w:before="160"/>
      <w:outlineLvl w:val="2"/>
    </w:pPr>
    <w:rPr>
      <w:rFonts w:ascii="Times New Roman" w:cs="Times New Roman" w:eastAsia="Times New Roman" w:hAnsi="Times New Roman"/>
      <w:b/>
      <w:bCs/>
      <w:i/>
      <w:i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2026-04-22T05:28:23.348Z</dcterms:created>
  <dcterms:modified xsi:type="dcterms:W3CDTF">2026-04-22T05:28:23.348Z</dcterms:modified>
</cp:coreProperties>
</file>

<file path=docProps/custom.xml><?xml version="1.0" encoding="utf-8"?>
<Properties xmlns="http://schemas.openxmlformats.org/officeDocument/2006/custom-properties" xmlns:vt="http://schemas.openxmlformats.org/officeDocument/2006/docPropsVTypes"/>
</file>