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A998" w14:textId="77777777" w:rsidR="004F6C85" w:rsidRDefault="001C1F73">
      <w:pPr>
        <w:jc w:val="center"/>
      </w:pPr>
      <w:r>
        <w:rPr>
          <w:b/>
          <w:color w:val="17365D"/>
          <w:sz w:val="44"/>
        </w:rPr>
        <w:t>DEFINICIÓN FUNCIONAL</w:t>
      </w:r>
    </w:p>
    <w:p w14:paraId="7E5607B4" w14:textId="77777777" w:rsidR="004F6C85" w:rsidRDefault="001C1F73">
      <w:pPr>
        <w:jc w:val="center"/>
      </w:pPr>
      <w:r>
        <w:rPr>
          <w:color w:val="2F5597"/>
          <w:sz w:val="28"/>
        </w:rPr>
        <w:t>Identificación de contenedores padre y escenarios de integración</w:t>
      </w:r>
    </w:p>
    <w:p w14:paraId="45727C47" w14:textId="77777777" w:rsidR="004F6C85" w:rsidRDefault="001C1F73">
      <w:pPr>
        <w:jc w:val="center"/>
      </w:pPr>
      <w:r>
        <w:rPr>
          <w:i/>
        </w:rPr>
        <w:t>Requerimiento para el JSON enriquecido</w:t>
      </w:r>
    </w:p>
    <w:p w14:paraId="54167B3F" w14:textId="77777777" w:rsidR="004F6C85" w:rsidRDefault="004F6C85"/>
    <w:p w14:paraId="7D82F65A" w14:textId="77777777" w:rsidR="004F6C85" w:rsidRDefault="001C1F73">
      <w:pPr>
        <w:shd w:val="clear" w:color="auto" w:fill="EAF2F8"/>
      </w:pPr>
      <w:r>
        <w:rPr>
          <w:b/>
        </w:rPr>
        <w:t xml:space="preserve">Propósito. </w:t>
      </w:r>
      <w:r>
        <w:t>Definir la información estructural que debe producir la aplicación para que un agente de IA pueda evaluar posteriormente las reglas de negocio como Cumple, No cumple, No verificada o No aplica.</w:t>
      </w:r>
    </w:p>
    <w:p w14:paraId="2431CC10" w14:textId="77777777" w:rsidR="004F6C85" w:rsidRDefault="001C1F73">
      <w:r>
        <w:br w:type="page"/>
      </w:r>
    </w:p>
    <w:p w14:paraId="256E54E9" w14:textId="77777777" w:rsidR="004F6C85" w:rsidRDefault="001C1F73">
      <w:pPr>
        <w:pStyle w:val="Ttulo1"/>
      </w:pPr>
      <w:r>
        <w:lastRenderedPageBreak/>
        <w:t>1. Objetivo y alcance</w:t>
      </w:r>
    </w:p>
    <w:p w14:paraId="14BC32FB" w14:textId="77777777" w:rsidR="004F6C85" w:rsidRDefault="001C1F73">
      <w:r>
        <w:t>El JSON enriquecido debe identificar los contenedores arquitectónicos, el escenario de integración, los componentes principales e invocados, los contenedores hijo, los eventos BPMN y las conexiones relevantes de cada página operacional del blueprint.</w:t>
      </w:r>
    </w:p>
    <w:p w14:paraId="12FC93D7" w14:textId="77777777" w:rsidR="004F6C85" w:rsidRDefault="001C1F73">
      <w:r>
        <w:t>La aplicación debe registrar hechos determinados y hechos no determinados. No debe evaluar las reglas de negocio ni asignar los estados Cumple, No cumple, No verificada o No aplica, porque esa evaluación corresponde al agente de IA.</w:t>
      </w:r>
    </w:p>
    <w:p w14:paraId="7EC04B9C" w14:textId="77777777" w:rsidR="004F6C85" w:rsidRDefault="001C1F73">
      <w:r>
        <w:t>La identificación debe apoyarse en el nombre visible, la estructura de contención, los eventos BPMN, los tipos de componentes y las conexiones. No debe basarse únicamente en la posición visual, el orden de aparición ni el descarte entre candidatos.</w:t>
      </w:r>
    </w:p>
    <w:p w14:paraId="32219BD4" w14:textId="77777777" w:rsidR="004F6C85" w:rsidRDefault="001C1F73">
      <w:pPr>
        <w:pStyle w:val="Ttulo1"/>
      </w:pPr>
      <w:r>
        <w:t>2. Contenedores padre o dominios arquitectónicos raíz</w:t>
      </w:r>
    </w:p>
    <w:p w14:paraId="4E63ED1B" w14:textId="77777777" w:rsidR="004F6C85" w:rsidRDefault="001C1F73">
      <w:r>
        <w:t>Los únicos tipos arquitectónicos válidos para un contenedor padre son:</w:t>
      </w:r>
    </w:p>
    <w:p w14:paraId="6A8BFD85" w14:textId="77777777" w:rsidR="004F6C85" w:rsidRDefault="001C1F73">
      <w:pPr>
        <w:pStyle w:val="Listaconvietas"/>
      </w:pPr>
      <w:r>
        <w:t>INTEGRACION</w:t>
      </w:r>
    </w:p>
    <w:p w14:paraId="1789D9EB" w14:textId="77777777" w:rsidR="004F6C85" w:rsidRDefault="001C1F73">
      <w:pPr>
        <w:pStyle w:val="Listaconvietas"/>
      </w:pPr>
      <w:r>
        <w:t>DOMINIO_PRODUCTOR</w:t>
      </w:r>
    </w:p>
    <w:p w14:paraId="1E79D6DA" w14:textId="77777777" w:rsidR="004F6C85" w:rsidRDefault="001C1F73">
      <w:pPr>
        <w:pStyle w:val="Listaconvietas"/>
      </w:pPr>
      <w:r>
        <w:t>SISTEMAS_EXTERNOS</w:t>
      </w:r>
    </w:p>
    <w:p w14:paraId="433431CD" w14:textId="77777777" w:rsidR="004F6C85" w:rsidRDefault="001C1F73">
      <w:r>
        <w:t>Cuando la evidencia no permita seleccionar uno de estos tipos, el contenedor debe registrarse como NO_DETERMINADO e indicar como tipos posibles DOMINIO_PRODUCTOR y SISTEMAS_EXTERNOS.</w:t>
      </w:r>
    </w:p>
    <w:p w14:paraId="44675FB0" w14:textId="77777777" w:rsidR="004F6C85" w:rsidRDefault="001C1F73">
      <w:pPr>
        <w:pStyle w:val="Ttulo1"/>
      </w:pPr>
      <w:r>
        <w:t>3. Identificación de Integración</w:t>
      </w:r>
    </w:p>
    <w:p w14:paraId="4CCEB116" w14:textId="77777777" w:rsidR="004F6C85" w:rsidRDefault="001C1F73" w:rsidP="0059402D">
      <w:pPr>
        <w:pStyle w:val="Listaconnmeros"/>
        <w:numPr>
          <w:ilvl w:val="0"/>
          <w:numId w:val="15"/>
        </w:numPr>
      </w:pPr>
      <w:r>
        <w:t xml:space="preserve">Un contenedor padre se clasifica como INTEGRACION cuando su nombre visible normalizado corresponde literalmente </w:t>
      </w:r>
      <w:proofErr w:type="gramStart"/>
      <w:r>
        <w:t>a</w:t>
      </w:r>
      <w:proofErr w:type="gramEnd"/>
      <w:r>
        <w:t xml:space="preserve"> INTEGRACION.</w:t>
      </w:r>
    </w:p>
    <w:p w14:paraId="306C8424" w14:textId="77777777" w:rsidR="004F6C85" w:rsidRDefault="001C1F73" w:rsidP="0059402D">
      <w:pPr>
        <w:pStyle w:val="Listaconnmeros"/>
        <w:numPr>
          <w:ilvl w:val="0"/>
          <w:numId w:val="15"/>
        </w:numPr>
      </w:pPr>
      <w:r>
        <w:t>La normalización debe ignorar mayúsculas, minúsculas y tildes; eliminar espacios iniciales y finales; y reemplazar espacios consecutivos por un solo espacio.</w:t>
      </w:r>
    </w:p>
    <w:p w14:paraId="4E16292D" w14:textId="77777777" w:rsidR="004F6C85" w:rsidRDefault="001C1F73" w:rsidP="0059402D">
      <w:pPr>
        <w:pStyle w:val="Listaconnmeros"/>
        <w:numPr>
          <w:ilvl w:val="0"/>
          <w:numId w:val="15"/>
        </w:numPr>
      </w:pPr>
      <w:r>
        <w:t>INTEGRACIÓN, INTEGRACION, Integración e integracion se consideran equivalentes.</w:t>
      </w:r>
    </w:p>
    <w:p w14:paraId="433683DB" w14:textId="77777777" w:rsidR="004F6C85" w:rsidRDefault="001C1F73" w:rsidP="0059402D">
      <w:pPr>
        <w:pStyle w:val="Listaconnmeros"/>
        <w:numPr>
          <w:ilvl w:val="0"/>
          <w:numId w:val="15"/>
        </w:numPr>
      </w:pPr>
      <w:r>
        <w:t>Integración no puede identificarse mediante un nombre personalizado.</w:t>
      </w:r>
    </w:p>
    <w:p w14:paraId="1D6D409A" w14:textId="77777777" w:rsidR="004F6C85" w:rsidRDefault="001C1F73" w:rsidP="0059402D">
      <w:pPr>
        <w:pStyle w:val="Listaconnmeros"/>
        <w:numPr>
          <w:ilvl w:val="0"/>
          <w:numId w:val="15"/>
        </w:numPr>
      </w:pPr>
      <w:r>
        <w:t>Puede existir más de un contenedor padre denominado Integración en una misma página. Cada uno debe conservar su identificador, figuras, contenedores hijo, conexiones y clasificación.</w:t>
      </w:r>
    </w:p>
    <w:p w14:paraId="035417D6" w14:textId="77777777" w:rsidR="004F6C85" w:rsidRDefault="001C1F73">
      <w:pPr>
        <w:pStyle w:val="Ttulo1"/>
      </w:pPr>
      <w:r>
        <w:t>4. Identificación de Dominio Productor</w:t>
      </w:r>
    </w:p>
    <w:p w14:paraId="4C230F95" w14:textId="77777777" w:rsidR="004F6C85" w:rsidRDefault="001C1F73">
      <w:r>
        <w:t>Dominio Productor puede tener el nombre literal DOMINIO PRODUCTOR o un nombre personalizado, por ejemplo Pagos, Depósitos, Clientes o Créditos.</w:t>
      </w:r>
    </w:p>
    <w:p w14:paraId="7819B2BA" w14:textId="77777777" w:rsidR="004F6C85" w:rsidRDefault="001C1F73">
      <w:pPr>
        <w:pStyle w:val="Ttulo2"/>
      </w:pPr>
      <w:r>
        <w:t>4.1. Por nombre explícito</w:t>
      </w:r>
    </w:p>
    <w:p w14:paraId="0CEA741F" w14:textId="77777777" w:rsidR="004F6C85" w:rsidRDefault="001C1F73">
      <w:r>
        <w:t>Un contenedor se clasifica como DOMINIO_PRODUCTOR cuando su nombre visible normalizado corresponde literalmente a DOMINIO PRODUCTOR.</w:t>
      </w:r>
    </w:p>
    <w:p w14:paraId="19758821" w14:textId="77777777" w:rsidR="004F6C85" w:rsidRDefault="001C1F73">
      <w:pPr>
        <w:pStyle w:val="Ttulo2"/>
      </w:pPr>
      <w:r>
        <w:t>4.2. Por estructura</w:t>
      </w:r>
    </w:p>
    <w:p w14:paraId="4CF41CAD" w14:textId="77777777" w:rsidR="004F6C85" w:rsidRDefault="001C1F73">
      <w:r>
        <w:t>Un contenedor con nombre personalizado se clasifica como DOMINIO_PRODUCTOR cuando contiene un contenedor hijo que, a su vez, contiene al menos un evento BPMN.</w:t>
      </w:r>
    </w:p>
    <w:p w14:paraId="4BFCE5A6" w14:textId="77777777" w:rsidR="004F6C85" w:rsidRDefault="001C1F73">
      <w:r>
        <w:t>La relación debe poder establecerse mediante contención, grupos o evidencia espacial confiable. El evento BPMN debe pertenecer específicamente al contenedor hijo y no únicamente al contenedor padre.</w:t>
      </w:r>
    </w:p>
    <w:p w14:paraId="4002F21D" w14:textId="77777777" w:rsidR="004F6C85" w:rsidRDefault="001C1F73">
      <w:pPr>
        <w:pStyle w:val="Ttulo2"/>
      </w:pPr>
      <w:r>
        <w:lastRenderedPageBreak/>
        <w:t>4.3. Nombre personalizado sin estructura determinante</w:t>
      </w:r>
    </w:p>
    <w:p w14:paraId="4C0F1016" w14:textId="77777777" w:rsidR="004F6C85" w:rsidRDefault="001C1F73">
      <w:r>
        <w:t>Si todavía no se ha determinado el escenario, o si el escenario es E2, y el contenedor no se llama explícitamente DOMINIO PRODUCTOR o SISTEMAS EXTERNOS, no contiene un hijo con al menos un evento BPMN y no existe otra evidencia estructural, no se puede determinar su tipo. Debe registrarse como NO_DETERMINADO, indicando como tipos posibles DOMINIO_PRODUCTOR y SISTEMAS_EXTERNOS. En E1 y E3 se aplican las reglas específicas de clasificación por escenario.</w:t>
      </w:r>
    </w:p>
    <w:p w14:paraId="78E8F5C1" w14:textId="77777777" w:rsidR="004F6C85" w:rsidRDefault="001C1F73">
      <w:pPr>
        <w:pStyle w:val="Ttulo1"/>
      </w:pPr>
      <w:r>
        <w:t>5. Identificación de Sistemas Externos</w:t>
      </w:r>
    </w:p>
    <w:p w14:paraId="1C28DE2F" w14:textId="77777777" w:rsidR="004F6C85" w:rsidRDefault="001C1F73">
      <w:pPr>
        <w:pStyle w:val="Ttulo2"/>
      </w:pPr>
      <w:r>
        <w:t>5.1. Por nombre explícito</w:t>
      </w:r>
    </w:p>
    <w:p w14:paraId="66E0684B" w14:textId="77777777" w:rsidR="004F6C85" w:rsidRDefault="001C1F73">
      <w:r>
        <w:t>Un contenedor se clasifica como SISTEMAS_EXTERNOS cuando su nombre visible normalizado corresponde literalmente a SISTEMAS EXTERNOS.</w:t>
      </w:r>
    </w:p>
    <w:p w14:paraId="4A0E006E" w14:textId="77777777" w:rsidR="004F6C85" w:rsidRDefault="001C1F73">
      <w:r>
        <w:t>Además, se debe verificar que no contenga un contenedor hijo con eventos BPMN. Esta verificación no cambia la identificación obtenida por el nombre, pero permite detectar una inconsistencia estructural.</w:t>
      </w:r>
    </w:p>
    <w:p w14:paraId="1633471E" w14:textId="77777777" w:rsidR="004F6C85" w:rsidRDefault="001C1F73">
      <w:pPr>
        <w:pStyle w:val="Ttulo2"/>
      </w:pPr>
      <w:r>
        <w:t>5.2. Nombre explícito con estructura contradictoria</w:t>
      </w:r>
    </w:p>
    <w:p w14:paraId="483C047E" w14:textId="77777777" w:rsidR="004F6C85" w:rsidRDefault="001C1F73">
      <w:pPr>
        <w:pStyle w:val="Listaconvietas"/>
      </w:pPr>
      <w:r>
        <w:t>Conservar la identificación SISTEMAS_EXTERNOS obtenida mediante el nombre.</w:t>
      </w:r>
    </w:p>
    <w:p w14:paraId="41853143" w14:textId="77777777" w:rsidR="004F6C85" w:rsidRDefault="001C1F73">
      <w:pPr>
        <w:pStyle w:val="Listaconvietas"/>
      </w:pPr>
      <w:r>
        <w:t>Registrar que el contenedor contiene un hijo con al menos un evento BPMN.</w:t>
      </w:r>
    </w:p>
    <w:p w14:paraId="2DBFA8DD" w14:textId="77777777" w:rsidR="004F6C85" w:rsidRDefault="001C1F73">
      <w:pPr>
        <w:pStyle w:val="Listaconvietas"/>
      </w:pPr>
      <w:r>
        <w:t>No reclasificarlo automáticamente como Dominio Productor.</w:t>
      </w:r>
    </w:p>
    <w:p w14:paraId="2CBDF1BD" w14:textId="77777777" w:rsidR="004F6C85" w:rsidRDefault="001C1F73">
      <w:pPr>
        <w:pStyle w:val="Listaconvietas"/>
      </w:pPr>
      <w:r>
        <w:t>Dejar la inconsistencia disponible para las reglas del agente.</w:t>
      </w:r>
    </w:p>
    <w:p w14:paraId="0DEFB621" w14:textId="77777777" w:rsidR="004F6C85" w:rsidRDefault="001C1F73">
      <w:pPr>
        <w:pStyle w:val="Ttulo2"/>
      </w:pPr>
      <w:r>
        <w:t>5.3. Nombre personalizado sin hijo con evento BPMN</w:t>
      </w:r>
    </w:p>
    <w:p w14:paraId="402ADAFE" w14:textId="77777777" w:rsidR="004F6C85" w:rsidRDefault="001C1F73">
      <w:r>
        <w:t>Cuando todavía no se ha determinado el escenario, o cuando el escenario identificado es E2, un contenedor con nombre personalizado y sin un hijo con eventos BPMN puede corresponder a Dominio Productor o a Sistemas Externos. Si no existe evidencia adicional, debe quedar como NO_DETERMINADO. Esta ambigüedad no aplica en E1 ni en E3 una vez que el Dominio Productor ya fue identificado mediante el contenedor hijo con evento BPMN.</w:t>
      </w:r>
    </w:p>
    <w:p w14:paraId="4720154B" w14:textId="77777777" w:rsidR="004F6C85" w:rsidRDefault="001C1F73">
      <w:pPr>
        <w:pStyle w:val="Ttulo1"/>
      </w:pPr>
      <w:r>
        <w:t>6. Regla para contenedores no determinados</w:t>
      </w:r>
    </w:p>
    <w:p w14:paraId="34DDC1FA" w14:textId="77777777" w:rsidR="004F6C85" w:rsidRDefault="001C1F73">
      <w:r>
        <w:t>La regla de NO_DETERMINADO aplica mientras el escenario no se haya establecido o cuando se haya identificado E2, y existan uno o varios contenedores diferentes de Integración que cumplan simultáneamente las siguientes condiciones:</w:t>
      </w:r>
    </w:p>
    <w:p w14:paraId="3A676498" w14:textId="77777777" w:rsidR="004F6C85" w:rsidRDefault="001C1F73">
      <w:pPr>
        <w:pStyle w:val="Listaconvietas"/>
      </w:pPr>
      <w:r>
        <w:t>No se llaman explícitamente DOMINIO PRODUCTOR.</w:t>
      </w:r>
    </w:p>
    <w:p w14:paraId="2B8AEDB7" w14:textId="77777777" w:rsidR="004F6C85" w:rsidRDefault="001C1F73">
      <w:pPr>
        <w:pStyle w:val="Listaconvietas"/>
      </w:pPr>
      <w:r>
        <w:t>No se llaman explícitamente SISTEMAS EXTERNOS.</w:t>
      </w:r>
    </w:p>
    <w:p w14:paraId="0BCE5ECC" w14:textId="77777777" w:rsidR="004F6C85" w:rsidRDefault="001C1F73">
      <w:pPr>
        <w:pStyle w:val="Listaconvietas"/>
      </w:pPr>
      <w:r>
        <w:t>No contienen un contenedor hijo con al menos un evento BPMN.</w:t>
      </w:r>
    </w:p>
    <w:p w14:paraId="07177F5F" w14:textId="77777777" w:rsidR="004F6C85" w:rsidRDefault="001C1F73">
      <w:pPr>
        <w:pStyle w:val="Listaconvietas"/>
      </w:pPr>
      <w:r>
        <w:t>No existe otra evidencia estructural que permita determinar el tipo.</w:t>
      </w:r>
    </w:p>
    <w:p w14:paraId="2B7E0906" w14:textId="77777777" w:rsidR="004F6C85" w:rsidRDefault="001C1F73">
      <w:r>
        <w:t>Cada contenedor debe registrarse individualmente como NO_DETERMINADO, con DOMINIO_PRODUCTOR y SISTEMAS_EXTERNOS como tipos posibles. Esta regla se aplica al escenario E2 y a los casos en los que todavía no se ha podido determinar el escenario. En E1 y E3, una vez identificado el Dominio Productor, los contenedores adicionales que no se llamen explícitamente INTEGRACION se clasifican como SISTEMAS_EXTERNOS.</w:t>
      </w:r>
    </w:p>
    <w:p w14:paraId="1D2CF6C9" w14:textId="77777777" w:rsidR="004F6C85" w:rsidRDefault="001C1F73">
      <w:pPr>
        <w:pStyle w:val="Ttulo1"/>
      </w:pPr>
      <w:r>
        <w:t>7. Regla central de clasificación de contenedores</w:t>
      </w:r>
    </w:p>
    <w:p w14:paraId="61043B0F" w14:textId="77777777" w:rsidR="004F6C85" w:rsidRDefault="001C1F73">
      <w:pPr>
        <w:shd w:val="clear" w:color="auto" w:fill="FFF2CC"/>
      </w:pPr>
      <w:r>
        <w:rPr>
          <w:b/>
        </w:rPr>
        <w:t xml:space="preserve">Regla central: </w:t>
      </w:r>
      <w:r>
        <w:t xml:space="preserve">si un contenedor padre tiene un nombre personalizado, no contiene un contenedor hijo con al menos un evento BPMN y no existe otra evidencia estructural que permita diferenciarlo, puede </w:t>
      </w:r>
      <w:r>
        <w:lastRenderedPageBreak/>
        <w:t>corresponder a Dominio Productor o Sistemas Externos. Debe clasificarse como NO_DETERMINADO e indicar ambos tipos como posibles.</w:t>
      </w:r>
    </w:p>
    <w:p w14:paraId="7A5A9792" w14:textId="77777777" w:rsidR="004F6C85" w:rsidRDefault="001C1F73">
      <w:r>
        <w:t>Antes de determinar el escenario, y específicamente en E2, no se debe clasificar un contenedor personalizado como Sistemas Externos únicamente porque no contiene un hijo con eventos BPMN. En E1 y E3, la estructura del escenario ya permite identificar el Dominio Productor; por tanto, cualquier contenedor padre adicional que no se llame explícitamente INTEGRACION debe clasificarse como SISTEMAS_EXTERNOS.</w:t>
      </w:r>
    </w:p>
    <w:p w14:paraId="0075B62D" w14:textId="77777777" w:rsidR="004F6C85" w:rsidRDefault="001C1F73">
      <w:pPr>
        <w:pStyle w:val="Ttulo1"/>
      </w:pPr>
      <w:r>
        <w:t>8. Escenarios de integración</w:t>
      </w:r>
    </w:p>
    <w:p w14:paraId="3EDA92D2" w14:textId="77777777" w:rsidR="004F6C85" w:rsidRDefault="001C1F73">
      <w:r>
        <w:t>El escenario debe inferirse mediante el tipo y la ubicación del componente principal, el contenedor padre del servicio hijo, el evento BPMN, la conexión y la dirección de la conexión. No debe depender de textos visibles como Escenario 1, Escenario 2, Escenario 3, API principal o Servicio principal.</w:t>
      </w:r>
    </w:p>
    <w:p w14:paraId="623F5E27" w14:textId="77777777" w:rsidR="004F6C85" w:rsidRDefault="001C1F73">
      <w:pPr>
        <w:pStyle w:val="Ttulo1"/>
      </w:pPr>
      <w:r>
        <w:t>9. Reglas comunes para E1, E2 y E3</w:t>
      </w:r>
    </w:p>
    <w:p w14:paraId="340BD7A2" w14:textId="77777777" w:rsidR="004F6C85" w:rsidRDefault="001C1F73">
      <w:pPr>
        <w:pStyle w:val="Listaconnmeros"/>
      </w:pPr>
      <w:r>
        <w:t>Identificar un componente candidato a principal.</w:t>
      </w:r>
    </w:p>
    <w:p w14:paraId="455C370C" w14:textId="77777777" w:rsidR="004F6C85" w:rsidRDefault="001C1F73">
      <w:pPr>
        <w:pStyle w:val="Listaconnmeros"/>
      </w:pPr>
      <w:r>
        <w:t>Determinar si el componente principal es API o servicio.</w:t>
      </w:r>
    </w:p>
    <w:p w14:paraId="7DB88EFD" w14:textId="77777777" w:rsidR="004F6C85" w:rsidRDefault="001C1F73" w:rsidP="49EC1295">
      <w:pPr>
        <w:pStyle w:val="Listaconnmeros"/>
        <w:ind w:left="720"/>
      </w:pPr>
      <w:r>
        <w:t xml:space="preserve">Identificar un contenedor hijo que represente el servicio </w:t>
      </w:r>
      <w:r w:rsidR="5D7C678F">
        <w:t>gestionado o no gestionado</w:t>
      </w:r>
      <w:r>
        <w:t>.</w:t>
      </w:r>
    </w:p>
    <w:p w14:paraId="2C5272A0" w14:textId="77777777" w:rsidR="004F6C85" w:rsidRDefault="001C1F73">
      <w:pPr>
        <w:pStyle w:val="Listaconnmeros"/>
      </w:pPr>
      <w:r>
        <w:t>Identificar al menos un evento BPMN dentro del servicio hijo.</w:t>
      </w:r>
    </w:p>
    <w:p w14:paraId="7204418F" w14:textId="77777777" w:rsidR="004F6C85" w:rsidRDefault="001C1F73">
      <w:pPr>
        <w:pStyle w:val="Listaconnmeros"/>
      </w:pPr>
      <w:r>
        <w:t>Identificar una conexión entre el componente principal y el evento BPMN.</w:t>
      </w:r>
    </w:p>
    <w:p w14:paraId="2853F832" w14:textId="77777777" w:rsidR="004F6C85" w:rsidRDefault="001C1F73">
      <w:pPr>
        <w:pStyle w:val="Listaconnmeros"/>
      </w:pPr>
      <w:r>
        <w:t>Asociar la terminación NONE al componente principal y la terminación ARROW al evento BPMN.</w:t>
      </w:r>
    </w:p>
    <w:p w14:paraId="386569B6" w14:textId="77777777" w:rsidR="004F6C85" w:rsidRDefault="001C1F73">
      <w:pPr>
        <w:pStyle w:val="Listaconnmeros"/>
      </w:pPr>
      <w:r>
        <w:t>Determinar el contenedor padre del componente principal.</w:t>
      </w:r>
    </w:p>
    <w:p w14:paraId="259532E7" w14:textId="77777777" w:rsidR="004F6C85" w:rsidRDefault="001C1F73">
      <w:pPr>
        <w:pStyle w:val="Listaconnmeros"/>
      </w:pPr>
      <w:r>
        <w:t>Determinar el contenedor padre del servicio hijo.</w:t>
      </w:r>
    </w:p>
    <w:p w14:paraId="67CE7BD7" w14:textId="77777777" w:rsidR="004F6C85" w:rsidRDefault="001C1F73">
      <w:pPr>
        <w:pStyle w:val="Listaconnmeros"/>
      </w:pPr>
      <w:r>
        <w:t>Verificar que exista un único componente que cumpla todas las condiciones para ser principal.</w:t>
      </w:r>
    </w:p>
    <w:p w14:paraId="7771E296" w14:textId="77777777" w:rsidR="004F6C85" w:rsidRDefault="001C1F73">
      <w:r>
        <w:t>Solo una API o un servicio puede tener el rol PRINCIPAL. Las demás APIs y servicios consumidos en el flujo deben registrarse con el rol INVOCADO.</w:t>
      </w:r>
    </w:p>
    <w:p w14:paraId="670E7B84" w14:textId="77777777" w:rsidR="004F6C85" w:rsidRDefault="001C1F73">
      <w:pPr>
        <w:pStyle w:val="Ttulo1"/>
      </w:pPr>
      <w:r>
        <w:t xml:space="preserve">10. Escenario E1: API principal </w:t>
      </w:r>
      <w:proofErr w:type="gramStart"/>
      <w:r>
        <w:t>consume</w:t>
      </w:r>
      <w:proofErr w:type="gramEnd"/>
      <w:r>
        <w:t xml:space="preserve"> servicio no gestionado</w:t>
      </w:r>
    </w:p>
    <w:p w14:paraId="31A56DDE" w14:textId="77777777" w:rsidR="004F6C85" w:rsidRDefault="001C1F73">
      <w:r>
        <w:t>E1 corresponde a una API principal ubicada en Integración que invoca un servicio no gestionado ubicado en Dominio Productor.</w:t>
      </w:r>
    </w:p>
    <w:p w14:paraId="32749B3E" w14:textId="77777777" w:rsidR="004F6C85" w:rsidRDefault="001C1F73" w:rsidP="0059402D">
      <w:pPr>
        <w:pStyle w:val="Listaconnmeros"/>
        <w:numPr>
          <w:ilvl w:val="0"/>
          <w:numId w:val="17"/>
        </w:numPr>
      </w:pPr>
      <w:r>
        <w:t>Existe un contenedor padre identificado como INTEGRACION.</w:t>
      </w:r>
    </w:p>
    <w:p w14:paraId="3E7458D7" w14:textId="77777777" w:rsidR="004F6C85" w:rsidRDefault="001C1F73" w:rsidP="0059402D">
      <w:pPr>
        <w:pStyle w:val="Listaconnmeros"/>
        <w:numPr>
          <w:ilvl w:val="0"/>
          <w:numId w:val="17"/>
        </w:numPr>
      </w:pPr>
      <w:r>
        <w:t>Dentro de Integración existe una API candidata a principal.</w:t>
      </w:r>
    </w:p>
    <w:p w14:paraId="1080F63E" w14:textId="77777777" w:rsidR="004F6C85" w:rsidRDefault="001C1F73" w:rsidP="0059402D">
      <w:pPr>
        <w:pStyle w:val="Listaconnmeros"/>
        <w:numPr>
          <w:ilvl w:val="0"/>
          <w:numId w:val="17"/>
        </w:numPr>
      </w:pPr>
      <w:r>
        <w:t>Existe un contenedor padre identificado como DOMINIO_PRODUCTOR.</w:t>
      </w:r>
    </w:p>
    <w:p w14:paraId="3E735C99" w14:textId="77777777" w:rsidR="004F6C85" w:rsidRDefault="001C1F73" w:rsidP="0059402D">
      <w:pPr>
        <w:pStyle w:val="Listaconnmeros"/>
        <w:numPr>
          <w:ilvl w:val="0"/>
          <w:numId w:val="17"/>
        </w:numPr>
      </w:pPr>
      <w:r>
        <w:t>Dentro de Dominio Productor existe un contenedor hijo que representa un servicio no gestionado.</w:t>
      </w:r>
    </w:p>
    <w:p w14:paraId="6AB43CA3" w14:textId="77777777" w:rsidR="004F6C85" w:rsidRDefault="001C1F73" w:rsidP="0059402D">
      <w:pPr>
        <w:pStyle w:val="Listaconnmeros"/>
        <w:numPr>
          <w:ilvl w:val="0"/>
          <w:numId w:val="17"/>
        </w:numPr>
      </w:pPr>
      <w:r>
        <w:t xml:space="preserve">El contenedor hijo contiene </w:t>
      </w:r>
      <w:proofErr w:type="gramStart"/>
      <w:r>
        <w:t>al</w:t>
      </w:r>
      <w:proofErr w:type="gramEnd"/>
      <w:r>
        <w:t xml:space="preserve"> menos un evento BPMN.</w:t>
      </w:r>
    </w:p>
    <w:p w14:paraId="1F871800" w14:textId="77777777" w:rsidR="004F6C85" w:rsidRDefault="001C1F73" w:rsidP="0059402D">
      <w:pPr>
        <w:pStyle w:val="Listaconnmeros"/>
        <w:numPr>
          <w:ilvl w:val="0"/>
          <w:numId w:val="17"/>
        </w:numPr>
      </w:pPr>
      <w:r>
        <w:t>La API se conecta directamente con el evento BPMN del contenedor hijo.</w:t>
      </w:r>
    </w:p>
    <w:p w14:paraId="1CB0893A" w14:textId="77777777" w:rsidR="004F6C85" w:rsidRDefault="001C1F73" w:rsidP="0059402D">
      <w:pPr>
        <w:pStyle w:val="Listaconnmeros"/>
        <w:numPr>
          <w:ilvl w:val="0"/>
          <w:numId w:val="17"/>
        </w:numPr>
      </w:pPr>
      <w:r>
        <w:t>La conexión tiene NONE en la API y ARROW en el evento BPMN.</w:t>
      </w:r>
    </w:p>
    <w:p w14:paraId="3B8D25A6" w14:textId="77777777" w:rsidR="004F6C85" w:rsidRDefault="001C1F73" w:rsidP="0059402D">
      <w:pPr>
        <w:pStyle w:val="Listaconnmeros"/>
        <w:numPr>
          <w:ilvl w:val="0"/>
          <w:numId w:val="17"/>
        </w:numPr>
      </w:pPr>
      <w:r>
        <w:t>La API es el único componente que cumple el patrón estructural para ser principal.</w:t>
      </w:r>
    </w:p>
    <w:p w14:paraId="30EA3842" w14:textId="77777777" w:rsidR="004F6C85" w:rsidRDefault="001C1F73" w:rsidP="0059402D">
      <w:pPr>
        <w:pStyle w:val="Listaconnmeros"/>
        <w:numPr>
          <w:ilvl w:val="0"/>
          <w:numId w:val="17"/>
        </w:numPr>
      </w:pPr>
      <w:r>
        <w:t>La API se registra como tipo API y rol PRINCIPAL.</w:t>
      </w:r>
    </w:p>
    <w:p w14:paraId="247D057C" w14:textId="77777777" w:rsidR="004F6C85" w:rsidRDefault="001C1F73" w:rsidP="0059402D">
      <w:pPr>
        <w:pStyle w:val="Listaconnmeros"/>
        <w:numPr>
          <w:ilvl w:val="0"/>
          <w:numId w:val="17"/>
        </w:numPr>
      </w:pPr>
      <w:r>
        <w:t>El servicio hijo se registra como tipo SERVICIO, rol INVOCADO, no gestionado y contenedor hijo.</w:t>
      </w:r>
    </w:p>
    <w:p w14:paraId="6B4820CA" w14:textId="77777777" w:rsidR="004F6C85" w:rsidRDefault="001C1F73">
      <w:r>
        <w:t>Una vez confirmada la estructura de E1, Integración y Dominio Productor ya están identificados. Por tanto, cualquier contenedor padre adicional que no se llame explícitamente INTEGRACION debe clasificarse como SISTEMAS_EXTERNOS.</w:t>
      </w:r>
    </w:p>
    <w:p w14:paraId="491ECECF" w14:textId="77777777" w:rsidR="004F6C85" w:rsidRDefault="001C1F73">
      <w:pPr>
        <w:pStyle w:val="Ttulo1"/>
      </w:pPr>
      <w:r>
        <w:lastRenderedPageBreak/>
        <w:t xml:space="preserve">11. Escenario E2: API principal </w:t>
      </w:r>
      <w:proofErr w:type="gramStart"/>
      <w:r>
        <w:t>consume</w:t>
      </w:r>
      <w:proofErr w:type="gramEnd"/>
      <w:r>
        <w:t xml:space="preserve"> servicio gestionado</w:t>
      </w:r>
    </w:p>
    <w:p w14:paraId="3DF0A48E" w14:textId="77777777" w:rsidR="004F6C85" w:rsidRDefault="001C1F73">
      <w:r>
        <w:t>E2 corresponde a una API principal ubicada en Integración que invoca un servicio gestionado ubicado como contenedor hijo dentro de la misma Integración.</w:t>
      </w:r>
    </w:p>
    <w:p w14:paraId="53E5AEC1" w14:textId="77777777" w:rsidR="004F6C85" w:rsidRDefault="001C1F73" w:rsidP="0059402D">
      <w:pPr>
        <w:pStyle w:val="Listaconnmeros"/>
        <w:numPr>
          <w:ilvl w:val="0"/>
          <w:numId w:val="19"/>
        </w:numPr>
      </w:pPr>
      <w:r>
        <w:t>Existe un contenedor padre identificado como INTEGRACION.</w:t>
      </w:r>
    </w:p>
    <w:p w14:paraId="2D6E13C8" w14:textId="77777777" w:rsidR="004F6C85" w:rsidRDefault="001C1F73" w:rsidP="0059402D">
      <w:pPr>
        <w:pStyle w:val="Listaconnmeros"/>
        <w:numPr>
          <w:ilvl w:val="0"/>
          <w:numId w:val="19"/>
        </w:numPr>
      </w:pPr>
      <w:r>
        <w:t>Dentro de Integración existe una API candidata a principal.</w:t>
      </w:r>
    </w:p>
    <w:p w14:paraId="72F9A82F" w14:textId="77777777" w:rsidR="004F6C85" w:rsidRDefault="001C1F73" w:rsidP="0059402D">
      <w:pPr>
        <w:pStyle w:val="Listaconnmeros"/>
        <w:numPr>
          <w:ilvl w:val="0"/>
          <w:numId w:val="19"/>
        </w:numPr>
      </w:pPr>
      <w:r>
        <w:t>Dentro del mismo contenedor de Integración existe un contenedor hijo que representa un servicio gestionado.</w:t>
      </w:r>
    </w:p>
    <w:p w14:paraId="6EB60CAE" w14:textId="77777777" w:rsidR="004F6C85" w:rsidRDefault="001C1F73" w:rsidP="0059402D">
      <w:pPr>
        <w:pStyle w:val="Listaconnmeros"/>
        <w:numPr>
          <w:ilvl w:val="0"/>
          <w:numId w:val="19"/>
        </w:numPr>
      </w:pPr>
      <w:r>
        <w:t xml:space="preserve">El contenedor hijo contiene </w:t>
      </w:r>
      <w:proofErr w:type="gramStart"/>
      <w:r>
        <w:t>al</w:t>
      </w:r>
      <w:proofErr w:type="gramEnd"/>
      <w:r>
        <w:t xml:space="preserve"> menos un evento BPMN.</w:t>
      </w:r>
    </w:p>
    <w:p w14:paraId="591167EB" w14:textId="77777777" w:rsidR="004F6C85" w:rsidRDefault="001C1F73" w:rsidP="0059402D">
      <w:pPr>
        <w:pStyle w:val="Listaconnmeros"/>
        <w:numPr>
          <w:ilvl w:val="0"/>
          <w:numId w:val="19"/>
        </w:numPr>
      </w:pPr>
      <w:r>
        <w:t>La API se conecta directamente con el evento BPMN del contenedor hijo.</w:t>
      </w:r>
    </w:p>
    <w:p w14:paraId="0BCC9431" w14:textId="77777777" w:rsidR="004F6C85" w:rsidRDefault="001C1F73" w:rsidP="0059402D">
      <w:pPr>
        <w:pStyle w:val="Listaconnmeros"/>
        <w:numPr>
          <w:ilvl w:val="0"/>
          <w:numId w:val="19"/>
        </w:numPr>
      </w:pPr>
      <w:r>
        <w:t>La conexión tiene NONE en la API y ARROW en el evento BPMN.</w:t>
      </w:r>
    </w:p>
    <w:p w14:paraId="425DCBE8" w14:textId="77777777" w:rsidR="004F6C85" w:rsidRDefault="001C1F73" w:rsidP="0059402D">
      <w:pPr>
        <w:pStyle w:val="Listaconnmeros"/>
        <w:numPr>
          <w:ilvl w:val="0"/>
          <w:numId w:val="19"/>
        </w:numPr>
      </w:pPr>
      <w:r>
        <w:t>La API es el único componente que cumple el patrón estructural para ser principal.</w:t>
      </w:r>
    </w:p>
    <w:p w14:paraId="23644E49" w14:textId="77777777" w:rsidR="004F6C85" w:rsidRDefault="001C1F73" w:rsidP="0059402D">
      <w:pPr>
        <w:pStyle w:val="Listaconnmeros"/>
        <w:numPr>
          <w:ilvl w:val="0"/>
          <w:numId w:val="19"/>
        </w:numPr>
      </w:pPr>
      <w:r>
        <w:t>La API se registra como tipo API y rol PRINCIPAL.</w:t>
      </w:r>
    </w:p>
    <w:p w14:paraId="5A1C198A" w14:textId="77777777" w:rsidR="004F6C85" w:rsidRDefault="001C1F73" w:rsidP="0059402D">
      <w:pPr>
        <w:pStyle w:val="Listaconnmeros"/>
        <w:numPr>
          <w:ilvl w:val="0"/>
          <w:numId w:val="19"/>
        </w:numPr>
      </w:pPr>
      <w:r>
        <w:t>El servicio hijo se registra como tipo SERVICIO, rol INVOCADO, gestionado y contenedor hijo.</w:t>
      </w:r>
    </w:p>
    <w:p w14:paraId="030CA6DE" w14:textId="77777777" w:rsidR="004F6C85" w:rsidRDefault="001C1F73">
      <w:r>
        <w:t>En E2 no es obligatorio que existan Dominio Productor o Sistemas Externos. Como el contenedor hijo está ubicado en Integración, un contenedor adicional con nombre personalizado y sin hijo con evento BPMN puede corresponder tanto a Dominio Productor como a Sistemas Externos. Si el nombre o la estructura no permiten diferenciarlo, debe registrarse como NO_DETERMINADO.</w:t>
      </w:r>
    </w:p>
    <w:p w14:paraId="176A3D10" w14:textId="77777777" w:rsidR="004F6C85" w:rsidRDefault="001C1F73">
      <w:pPr>
        <w:pStyle w:val="Ttulo1"/>
      </w:pPr>
      <w:r>
        <w:t xml:space="preserve">12. Escenario E3: servicio principal </w:t>
      </w:r>
      <w:proofErr w:type="gramStart"/>
      <w:r>
        <w:t>consume</w:t>
      </w:r>
      <w:proofErr w:type="gramEnd"/>
      <w:r>
        <w:t xml:space="preserve"> servicio no gestionado</w:t>
      </w:r>
    </w:p>
    <w:p w14:paraId="61B53AF2" w14:textId="77777777" w:rsidR="004F6C85" w:rsidRDefault="001C1F73">
      <w:r>
        <w:t>E3 corresponde a un servicio principal ubicado en Dominio Productor que invoca otro servicio no gestionado ubicado como contenedor hijo dentro del mismo Dominio Productor.</w:t>
      </w:r>
    </w:p>
    <w:p w14:paraId="00A3463C" w14:textId="77777777" w:rsidR="004F6C85" w:rsidRDefault="001C1F73" w:rsidP="0059402D">
      <w:pPr>
        <w:pStyle w:val="Listaconnmeros"/>
        <w:numPr>
          <w:ilvl w:val="0"/>
          <w:numId w:val="21"/>
        </w:numPr>
      </w:pPr>
      <w:r>
        <w:t>Existe un contenedor padre identificado como DOMINIO_PRODUCTOR.</w:t>
      </w:r>
    </w:p>
    <w:p w14:paraId="12CA29FE" w14:textId="77777777" w:rsidR="004F6C85" w:rsidRDefault="001C1F73" w:rsidP="0059402D">
      <w:pPr>
        <w:pStyle w:val="Listaconnmeros"/>
        <w:numPr>
          <w:ilvl w:val="0"/>
          <w:numId w:val="21"/>
        </w:numPr>
      </w:pPr>
      <w:r>
        <w:t>Dentro de Dominio Productor existe un servicio candidato a principal.</w:t>
      </w:r>
    </w:p>
    <w:p w14:paraId="70B99F9B" w14:textId="77777777" w:rsidR="004F6C85" w:rsidRDefault="001C1F73" w:rsidP="0059402D">
      <w:pPr>
        <w:pStyle w:val="Listaconnmeros"/>
        <w:numPr>
          <w:ilvl w:val="0"/>
          <w:numId w:val="21"/>
        </w:numPr>
      </w:pPr>
      <w:r>
        <w:t>Dentro del mismo Dominio Productor existe otro contenedor hijo que representa un servicio no gestionado.</w:t>
      </w:r>
    </w:p>
    <w:p w14:paraId="1C2CFAB4" w14:textId="77777777" w:rsidR="004F6C85" w:rsidRDefault="001C1F73" w:rsidP="0059402D">
      <w:pPr>
        <w:pStyle w:val="Listaconnmeros"/>
        <w:numPr>
          <w:ilvl w:val="0"/>
          <w:numId w:val="21"/>
        </w:numPr>
      </w:pPr>
      <w:r>
        <w:t>El servicio candidato a principal se encuentra fuera del contenedor hijo.</w:t>
      </w:r>
    </w:p>
    <w:p w14:paraId="049A9127" w14:textId="77777777" w:rsidR="004F6C85" w:rsidRDefault="001C1F73" w:rsidP="0059402D">
      <w:pPr>
        <w:pStyle w:val="Listaconnmeros"/>
        <w:numPr>
          <w:ilvl w:val="0"/>
          <w:numId w:val="21"/>
        </w:numPr>
      </w:pPr>
      <w:r>
        <w:t xml:space="preserve">El contenedor hijo contiene </w:t>
      </w:r>
      <w:proofErr w:type="gramStart"/>
      <w:r>
        <w:t>al</w:t>
      </w:r>
      <w:proofErr w:type="gramEnd"/>
      <w:r>
        <w:t xml:space="preserve"> menos un evento BPMN.</w:t>
      </w:r>
    </w:p>
    <w:p w14:paraId="38BF3CC4" w14:textId="77777777" w:rsidR="004F6C85" w:rsidRDefault="001C1F73" w:rsidP="0059402D">
      <w:pPr>
        <w:pStyle w:val="Listaconnmeros"/>
        <w:numPr>
          <w:ilvl w:val="0"/>
          <w:numId w:val="21"/>
        </w:numPr>
      </w:pPr>
      <w:r>
        <w:t>El servicio principal se conecta directamente con el evento BPMN del contenedor hijo.</w:t>
      </w:r>
    </w:p>
    <w:p w14:paraId="1B8AFC81" w14:textId="77777777" w:rsidR="004F6C85" w:rsidRDefault="001C1F73" w:rsidP="0059402D">
      <w:pPr>
        <w:pStyle w:val="Listaconnmeros"/>
        <w:numPr>
          <w:ilvl w:val="0"/>
          <w:numId w:val="21"/>
        </w:numPr>
      </w:pPr>
      <w:r>
        <w:t>La conexión tiene NONE en el servicio principal y ARROW en el evento BPMN.</w:t>
      </w:r>
    </w:p>
    <w:p w14:paraId="3E059769" w14:textId="77777777" w:rsidR="004F6C85" w:rsidRDefault="001C1F73" w:rsidP="0059402D">
      <w:pPr>
        <w:pStyle w:val="Listaconnmeros"/>
        <w:numPr>
          <w:ilvl w:val="0"/>
          <w:numId w:val="21"/>
        </w:numPr>
      </w:pPr>
      <w:r>
        <w:t>El servicio es el único componente que cumple el patrón estructural para ser principal.</w:t>
      </w:r>
    </w:p>
    <w:p w14:paraId="778E79F9" w14:textId="77777777" w:rsidR="004F6C85" w:rsidRDefault="001C1F73" w:rsidP="0059402D">
      <w:pPr>
        <w:pStyle w:val="Listaconnmeros"/>
        <w:numPr>
          <w:ilvl w:val="0"/>
          <w:numId w:val="21"/>
        </w:numPr>
      </w:pPr>
      <w:r>
        <w:t>El servicio principal se registra como tipo SERVICIO y rol PRINCIPAL.</w:t>
      </w:r>
    </w:p>
    <w:p w14:paraId="2FEA35B3" w14:textId="77777777" w:rsidR="004F6C85" w:rsidRDefault="001C1F73" w:rsidP="0059402D">
      <w:pPr>
        <w:pStyle w:val="Listaconnmeros"/>
        <w:numPr>
          <w:ilvl w:val="0"/>
          <w:numId w:val="21"/>
        </w:numPr>
      </w:pPr>
      <w:r>
        <w:t>El servicio hijo se registra como tipo SERVICIO, rol INVOCADO, no gestionado y contenedor hijo.</w:t>
      </w:r>
    </w:p>
    <w:p w14:paraId="471AF1C3" w14:textId="77777777" w:rsidR="004F6C85" w:rsidRDefault="001C1F73">
      <w:r>
        <w:t>En E3 puede existir uno o más contenedores Integración, pero no son obligatorios. Los demás contenedores personalizados sin hijos con eventos BPMN deben quedar como NO_DETERMINADO cuando no exista evidencia suficiente.</w:t>
      </w:r>
    </w:p>
    <w:p w14:paraId="6FB9A898" w14:textId="77777777" w:rsidR="004F6C85" w:rsidRDefault="001C1F73">
      <w:pPr>
        <w:pStyle w:val="Ttulo1"/>
      </w:pPr>
      <w:r>
        <w:t>13. Estado de determinación del escenario</w:t>
      </w:r>
    </w:p>
    <w:p w14:paraId="4085B87E" w14:textId="77777777" w:rsidR="004F6C85" w:rsidRDefault="001C1F73">
      <w:r>
        <w:t>La clasificación del escenario debe utilizar uno de los siguientes estados: CONFIRMADO, HIPOTESIS o NO_DETERMINADO.</w:t>
      </w:r>
    </w:p>
    <w:p w14:paraId="65039B8E" w14:textId="77777777" w:rsidR="004F6C85" w:rsidRDefault="001C1F73">
      <w:pPr>
        <w:pStyle w:val="Ttulo2"/>
      </w:pPr>
      <w:r>
        <w:t>13.1. Confirmado</w:t>
      </w:r>
    </w:p>
    <w:p w14:paraId="567371FF" w14:textId="77777777" w:rsidR="004F6C85" w:rsidRDefault="001C1F73">
      <w:r>
        <w:t>El escenario queda CONFIRMADO cuando se cumplen todas las condiciones siguientes:</w:t>
      </w:r>
    </w:p>
    <w:p w14:paraId="25E9348E" w14:textId="77777777" w:rsidR="004F6C85" w:rsidRDefault="001C1F73">
      <w:pPr>
        <w:pStyle w:val="Listaconvietas"/>
      </w:pPr>
      <w:r>
        <w:t>Existe un único componente principal.</w:t>
      </w:r>
    </w:p>
    <w:p w14:paraId="7E91FB28" w14:textId="77777777" w:rsidR="004F6C85" w:rsidRDefault="001C1F73">
      <w:pPr>
        <w:pStyle w:val="Listaconvietas"/>
      </w:pPr>
      <w:r>
        <w:t>Se determinó si el principal es API o servicio.</w:t>
      </w:r>
    </w:p>
    <w:p w14:paraId="415D29FD" w14:textId="77777777" w:rsidR="004F6C85" w:rsidRDefault="001C1F73">
      <w:pPr>
        <w:pStyle w:val="Listaconvietas"/>
      </w:pPr>
      <w:r>
        <w:t>Se determinó el contenedor padre del principal.</w:t>
      </w:r>
    </w:p>
    <w:p w14:paraId="2E209D83" w14:textId="77777777" w:rsidR="004F6C85" w:rsidRDefault="001C1F73">
      <w:pPr>
        <w:pStyle w:val="Listaconvietas"/>
      </w:pPr>
      <w:r>
        <w:lastRenderedPageBreak/>
        <w:t>Se identificó el servicio hijo y su contenedor padre.</w:t>
      </w:r>
    </w:p>
    <w:p w14:paraId="344772D2" w14:textId="1CC62BAD" w:rsidR="004F6C85" w:rsidRDefault="001C1F73">
      <w:pPr>
        <w:pStyle w:val="Listaconvietas"/>
      </w:pPr>
      <w:r>
        <w:t xml:space="preserve">Se </w:t>
      </w:r>
      <w:proofErr w:type="spellStart"/>
      <w:r>
        <w:t>identificó</w:t>
      </w:r>
      <w:proofErr w:type="spellEnd"/>
      <w:r>
        <w:t xml:space="preserve"> un </w:t>
      </w:r>
      <w:proofErr w:type="spellStart"/>
      <w:r>
        <w:t>evento</w:t>
      </w:r>
      <w:proofErr w:type="spellEnd"/>
      <w:r>
        <w:t xml:space="preserve"> BPMN</w:t>
      </w:r>
      <w:r w:rsidR="0059402D">
        <w:t xml:space="preserve"> </w:t>
      </w:r>
      <w:proofErr w:type="spellStart"/>
      <w:r>
        <w:t>dentro</w:t>
      </w:r>
      <w:proofErr w:type="spellEnd"/>
      <w:r>
        <w:t xml:space="preserve"> del </w:t>
      </w:r>
      <w:proofErr w:type="spellStart"/>
      <w:r>
        <w:t>servicio</w:t>
      </w:r>
      <w:proofErr w:type="spellEnd"/>
      <w:r>
        <w:t xml:space="preserve"> </w:t>
      </w:r>
      <w:proofErr w:type="spellStart"/>
      <w:r>
        <w:t>hijo</w:t>
      </w:r>
      <w:proofErr w:type="spellEnd"/>
      <w:r>
        <w:t>.</w:t>
      </w:r>
    </w:p>
    <w:p w14:paraId="340CC007" w14:textId="77777777" w:rsidR="004F6C85" w:rsidRDefault="001C1F73">
      <w:pPr>
        <w:pStyle w:val="Listaconvietas"/>
      </w:pPr>
      <w:r>
        <w:t>Se confirmó que el evento BPMN es un evento de inicio.</w:t>
      </w:r>
    </w:p>
    <w:p w14:paraId="682F88EF" w14:textId="77777777" w:rsidR="004F6C85" w:rsidRDefault="001C1F73">
      <w:pPr>
        <w:pStyle w:val="Listaconvietas"/>
      </w:pPr>
      <w:r>
        <w:t>Se identificó la conexión entre el principal y el evento.</w:t>
      </w:r>
    </w:p>
    <w:p w14:paraId="02A5221A" w14:textId="77777777" w:rsidR="004F6C85" w:rsidRDefault="001C1F73">
      <w:pPr>
        <w:pStyle w:val="Listaconvietas"/>
      </w:pPr>
      <w:r>
        <w:t>Se verificó la dirección NONE hacia ARROW.</w:t>
      </w:r>
    </w:p>
    <w:p w14:paraId="1419FACB" w14:textId="77777777" w:rsidR="004F6C85" w:rsidRDefault="001C1F73">
      <w:pPr>
        <w:pStyle w:val="Listaconvietas"/>
      </w:pPr>
      <w:r>
        <w:t>Se determinaron los contenedores necesarios para diferenciar E1, E2 y E3.</w:t>
      </w:r>
    </w:p>
    <w:p w14:paraId="43B6EBD4" w14:textId="77777777" w:rsidR="004F6C85" w:rsidRDefault="001C1F73">
      <w:pPr>
        <w:pStyle w:val="Ttulo2"/>
      </w:pPr>
      <w:r>
        <w:t>13.2. Hipótesis</w:t>
      </w:r>
    </w:p>
    <w:p w14:paraId="5B8209B1" w14:textId="77777777" w:rsidR="004F6C85" w:rsidRDefault="001C1F73">
      <w:r>
        <w:t>El escenario queda como HIPOTESIS cuando el patrón general permite seleccionar E1, E2 o E3 como el escenario más probable, pero no se pudo confirmar al menos uno de estos aspectos:</w:t>
      </w:r>
    </w:p>
    <w:p w14:paraId="26BAB7CC" w14:textId="77777777" w:rsidR="004F6C85" w:rsidRDefault="001C1F73">
      <w:pPr>
        <w:pStyle w:val="Listaconvietas"/>
      </w:pPr>
      <w:r>
        <w:t>Que el evento BPMN sea específicamente de inicio.</w:t>
      </w:r>
    </w:p>
    <w:p w14:paraId="6429E78C" w14:textId="77777777" w:rsidR="004F6C85" w:rsidRDefault="001C1F73">
      <w:pPr>
        <w:pStyle w:val="Listaconvietas"/>
      </w:pPr>
      <w:r>
        <w:t>La dirección de la conexión.</w:t>
      </w:r>
    </w:p>
    <w:p w14:paraId="36A4C8EA" w14:textId="77777777" w:rsidR="004F6C85" w:rsidRDefault="001C1F73">
      <w:pPr>
        <w:pStyle w:val="Listaconvietas"/>
      </w:pPr>
      <w:r>
        <w:t>La pertenencia del evento BPMN al contenedor hijo.</w:t>
      </w:r>
    </w:p>
    <w:p w14:paraId="6ABC97CA" w14:textId="77777777" w:rsidR="004F6C85" w:rsidRDefault="001C1F73">
      <w:pPr>
        <w:pStyle w:val="Listaconvietas"/>
      </w:pPr>
      <w:r>
        <w:t>El tipo de alguno de los contenedores requeridos.</w:t>
      </w:r>
    </w:p>
    <w:p w14:paraId="601817F7" w14:textId="77777777" w:rsidR="004F6C85" w:rsidRDefault="001C1F73">
      <w:pPr>
        <w:pStyle w:val="Listaconvietas"/>
      </w:pPr>
      <w:r>
        <w:t>La unicidad del componente principal.</w:t>
      </w:r>
    </w:p>
    <w:p w14:paraId="175C5B0A" w14:textId="77777777" w:rsidR="004F6C85" w:rsidRDefault="001C1F73">
      <w:pPr>
        <w:pStyle w:val="Listaconvietas"/>
      </w:pPr>
      <w:r>
        <w:t>La pertenencia del componente principal a un contenedor padre determinado.</w:t>
      </w:r>
    </w:p>
    <w:p w14:paraId="4D1D4F38" w14:textId="77777777" w:rsidR="004F6C85" w:rsidRDefault="001C1F73">
      <w:pPr>
        <w:pStyle w:val="Ttulo2"/>
      </w:pPr>
      <w:r>
        <w:t>13.3. No determinado</w:t>
      </w:r>
    </w:p>
    <w:p w14:paraId="78750735" w14:textId="77777777" w:rsidR="004F6C85" w:rsidRDefault="001C1F73">
      <w:r>
        <w:t>El escenario queda como NO_DETERMINADO cuando no existe evidencia suficiente para seleccionar E1, E2 o E3. Esto incluye la falta de componente principal, varios candidatos, ausencia de evento BPMN, conexión no identificada, contenedores padre no determinados o una estructura compatible con más de un escenario.</w:t>
      </w:r>
    </w:p>
    <w:p w14:paraId="3CA283BA" w14:textId="77777777" w:rsidR="004F6C85" w:rsidRDefault="001C1F73">
      <w:pPr>
        <w:pStyle w:val="Ttulo1"/>
      </w:pPr>
      <w:r>
        <w:t>14. Información requerida para el agente de IA</w:t>
      </w:r>
    </w:p>
    <w:p w14:paraId="41A439A2" w14:textId="77777777" w:rsidR="004F6C85" w:rsidRDefault="001C1F73">
      <w:r>
        <w:t>El JSON enriquecido debe permitir identificar, como mínimo:</w:t>
      </w:r>
    </w:p>
    <w:p w14:paraId="5443C521" w14:textId="77777777" w:rsidR="004F6C85" w:rsidRDefault="001C1F73">
      <w:pPr>
        <w:pStyle w:val="Listaconvietas"/>
      </w:pPr>
      <w:r>
        <w:t>El escenario propuesto y su estado.</w:t>
      </w:r>
    </w:p>
    <w:p w14:paraId="46EE758E" w14:textId="77777777" w:rsidR="004F6C85" w:rsidRDefault="001C1F73">
      <w:pPr>
        <w:pStyle w:val="Listaconvietas"/>
      </w:pPr>
      <w:r>
        <w:t>La API o el servicio principal.</w:t>
      </w:r>
    </w:p>
    <w:p w14:paraId="45209803" w14:textId="77777777" w:rsidR="004F6C85" w:rsidRDefault="001C1F73">
      <w:pPr>
        <w:pStyle w:val="Listaconvietas"/>
      </w:pPr>
      <w:r>
        <w:t>Los contenedores padre y su tipo determinado o no determinado.</w:t>
      </w:r>
    </w:p>
    <w:p w14:paraId="0E747340" w14:textId="77777777" w:rsidR="004F6C85" w:rsidRDefault="001C1F73">
      <w:pPr>
        <w:pStyle w:val="Listaconvietas"/>
      </w:pPr>
      <w:r>
        <w:t>El contenedor hijo, su nombre y el contenedor padre donde está ubicado.</w:t>
      </w:r>
    </w:p>
    <w:p w14:paraId="24760EA8" w14:textId="77777777" w:rsidR="004F6C85" w:rsidRDefault="001C1F73">
      <w:pPr>
        <w:pStyle w:val="Listaconvietas"/>
      </w:pPr>
      <w:r>
        <w:t>Las figuras presentes en el flujo.</w:t>
      </w:r>
    </w:p>
    <w:p w14:paraId="601D038B" w14:textId="77777777" w:rsidR="004F6C85" w:rsidRDefault="001C1F73">
      <w:pPr>
        <w:pStyle w:val="Listaconvietas"/>
      </w:pPr>
      <w:r>
        <w:t>Las APIs, los servicios y los eventos invocados.</w:t>
      </w:r>
    </w:p>
    <w:p w14:paraId="541DD465" w14:textId="77777777" w:rsidR="004F6C85" w:rsidRDefault="001C1F73">
      <w:pPr>
        <w:pStyle w:val="Listaconvietas"/>
      </w:pPr>
      <w:r>
        <w:t>Las conexiones entre actividades, APIs, servicios y eventos.</w:t>
      </w:r>
    </w:p>
    <w:p w14:paraId="176A0BEC" w14:textId="77777777" w:rsidR="004F6C85" w:rsidRDefault="001C1F73">
      <w:pPr>
        <w:pStyle w:val="Listaconvietas"/>
      </w:pPr>
      <w:r>
        <w:t>Los modelos identificados, su propietario y si la pertenencia pudo determinarse.</w:t>
      </w:r>
    </w:p>
    <w:p w14:paraId="5A581F6B" w14:textId="77777777" w:rsidR="004F6C85" w:rsidRDefault="001C1F73">
      <w:pPr>
        <w:pStyle w:val="Listaconvietas"/>
      </w:pPr>
      <w:r>
        <w:t>Las asociaciones no determinadas y el motivo de la falta de determinación.</w:t>
      </w:r>
    </w:p>
    <w:p w14:paraId="01BA3F0A" w14:textId="77777777" w:rsidR="004F6C85" w:rsidRDefault="001C1F73">
      <w:pPr>
        <w:pStyle w:val="Ttulo1"/>
      </w:pPr>
      <w:r>
        <w:t>15. Separación entre evidencia y evaluación</w:t>
      </w:r>
    </w:p>
    <w:p w14:paraId="61111D13" w14:textId="77777777" w:rsidR="004F6C85" w:rsidRDefault="001C1F73">
      <w:r>
        <w:t>El JSON enriquecido debe registrar la evidencia estructural y el resultado de las determinaciones, pero no debe decidir si una regla de negocio Cumple, No cumple, No está verificada o No aplica.</w:t>
      </w:r>
    </w:p>
    <w:p w14:paraId="689555D1" w14:textId="77777777" w:rsidR="004F6C85" w:rsidRDefault="001C1F73">
      <w:r>
        <w:t>El agente de IA utilizará la información enriquecida para asignar esos estados. Cuando un dato requerido no pueda determinarse, el JSON debe expresarlo explícitamente para que el agente pueda evaluar la regla como No verificada, en lugar de asumir un incumplimiento.</w:t>
      </w:r>
    </w:p>
    <w:p w14:paraId="440A23B1" w14:textId="77777777" w:rsidR="004F6C85" w:rsidRDefault="001C1F73">
      <w:pPr>
        <w:pStyle w:val="Ttulo1"/>
      </w:pPr>
      <w:r>
        <w:lastRenderedPageBreak/>
        <w:t>16. Criterios funcionales complementarios para determinar los escenarios</w:t>
      </w:r>
    </w:p>
    <w:p w14:paraId="5408254D" w14:textId="77777777" w:rsidR="004F6C85" w:rsidRDefault="001C1F73">
      <w:r>
        <w:t>Los escenarios E1, E2 y E3 deben obtenerse automáticamente a partir de la estructura del blueprint. La aplicación no debe esperar que el usuario indique el número del escenario, ni debe usar como evidencia determinante textos visibles como “Escenario 1”, “Escenario 2”, “Escenario 3”, “API principal” o “Servicio principal”.</w:t>
      </w:r>
    </w:p>
    <w:p w14:paraId="578BD94E" w14:textId="77777777" w:rsidR="004F6C85" w:rsidRDefault="001C1F73">
      <w:pPr>
        <w:shd w:val="clear" w:color="auto" w:fill="FFF2CC"/>
      </w:pPr>
      <w:r>
        <w:rPr>
          <w:b/>
        </w:rPr>
        <w:t xml:space="preserve">Criterio transversal. </w:t>
      </w:r>
      <w:r>
        <w:t>El componente principal se determina por el patrón estructural y de conexión. Debe ser la única API o el único servicio que conecte, con terminación NONE en el componente y ARROW en el evento, hacia un evento BPMN perteneciente a un contenedor hijo. Solo una API o un servicio puede tener el rol PRINCIPAL; las demás APIs y servicios consumidos deben tener el rol INVOCADO.</w:t>
      </w:r>
    </w:p>
    <w:p w14:paraId="2B1C797A" w14:textId="77777777" w:rsidR="004F6C85" w:rsidRDefault="001C1F73">
      <w:pPr>
        <w:pStyle w:val="Ttulo2"/>
      </w:pPr>
      <w:r>
        <w:t>16.1. Criterios detallados para el escenario E1</w:t>
      </w:r>
    </w:p>
    <w:p w14:paraId="7E6D059F" w14:textId="77777777" w:rsidR="004F6C85" w:rsidRDefault="001C1F73">
      <w:r>
        <w:t>E1 representa una API principal ubicada en Integración que invoca un servicio no gestionado ubicado dentro de Dominio Productor.</w:t>
      </w:r>
    </w:p>
    <w:p w14:paraId="377DAFD4" w14:textId="77777777" w:rsidR="004F6C85" w:rsidRDefault="001C1F73" w:rsidP="0059402D">
      <w:pPr>
        <w:pStyle w:val="Listaconnmeros"/>
        <w:numPr>
          <w:ilvl w:val="0"/>
          <w:numId w:val="23"/>
        </w:numPr>
      </w:pPr>
      <w:r>
        <w:t>Debe existir obligatoriamente un contenedor padre identificado como INTEGRACION. Integración se identifica por su nombre literal normalizado.</w:t>
      </w:r>
    </w:p>
    <w:p w14:paraId="6BCF36A6" w14:textId="77777777" w:rsidR="004F6C85" w:rsidRDefault="001C1F73" w:rsidP="0059402D">
      <w:pPr>
        <w:pStyle w:val="Listaconnmeros"/>
        <w:numPr>
          <w:ilvl w:val="0"/>
          <w:numId w:val="23"/>
        </w:numPr>
      </w:pPr>
      <w:r>
        <w:t>Debe existir obligatoriamente un contenedor padre identificado como DOMINIO_PRODUCTOR. Puede tener el nombre literal DOMINIO PRODUCTOR o un nombre personalizado, siempre que sea identificable por su estructura.</w:t>
      </w:r>
    </w:p>
    <w:p w14:paraId="077067F5" w14:textId="77777777" w:rsidR="004F6C85" w:rsidRDefault="001C1F73" w:rsidP="0059402D">
      <w:pPr>
        <w:pStyle w:val="Listaconnmeros"/>
        <w:numPr>
          <w:ilvl w:val="0"/>
          <w:numId w:val="23"/>
        </w:numPr>
      </w:pPr>
      <w:r>
        <w:t>Dentro de Integración debe existir una API candidata a principal.</w:t>
      </w:r>
    </w:p>
    <w:p w14:paraId="7E50D9F9" w14:textId="77777777" w:rsidR="004F6C85" w:rsidRDefault="001C1F73" w:rsidP="0059402D">
      <w:pPr>
        <w:pStyle w:val="Listaconnmeros"/>
        <w:numPr>
          <w:ilvl w:val="0"/>
          <w:numId w:val="23"/>
        </w:numPr>
      </w:pPr>
      <w:r>
        <w:t>Dentro de Dominio Productor debe existir un contenedor hijo que represente el servicio no gestionado invocado.</w:t>
      </w:r>
    </w:p>
    <w:p w14:paraId="7EC71998" w14:textId="77777777" w:rsidR="004F6C85" w:rsidRDefault="001C1F73" w:rsidP="0059402D">
      <w:pPr>
        <w:pStyle w:val="Listaconnmeros"/>
        <w:numPr>
          <w:ilvl w:val="0"/>
          <w:numId w:val="23"/>
        </w:numPr>
      </w:pPr>
      <w:r>
        <w:t>El contenedor hijo debe contener al menos un evento BPMN. Para la confirmación del escenario debe poder verificarse que corresponde a un evento de inicio.</w:t>
      </w:r>
    </w:p>
    <w:p w14:paraId="372DCB0A" w14:textId="77777777" w:rsidR="004F6C85" w:rsidRDefault="001C1F73" w:rsidP="0059402D">
      <w:pPr>
        <w:pStyle w:val="Listaconnmeros"/>
        <w:numPr>
          <w:ilvl w:val="0"/>
          <w:numId w:val="23"/>
        </w:numPr>
      </w:pPr>
      <w:r>
        <w:t>La API ubicada en Integración debe conectar directamente con el evento BPMN ubicado dentro del contenedor hijo de Dominio Productor.</w:t>
      </w:r>
    </w:p>
    <w:p w14:paraId="72D30AFB" w14:textId="77777777" w:rsidR="004F6C85" w:rsidRDefault="001C1F73" w:rsidP="0059402D">
      <w:pPr>
        <w:pStyle w:val="Listaconnmeros"/>
        <w:numPr>
          <w:ilvl w:val="0"/>
          <w:numId w:val="23"/>
        </w:numPr>
      </w:pPr>
      <w:r>
        <w:t>La conexión debe tener terminación NONE en la API y terminación ARROW en el evento BPMN.</w:t>
      </w:r>
    </w:p>
    <w:p w14:paraId="255942E9" w14:textId="77777777" w:rsidR="004F6C85" w:rsidRDefault="001C1F73" w:rsidP="0059402D">
      <w:pPr>
        <w:pStyle w:val="Listaconnmeros"/>
        <w:numPr>
          <w:ilvl w:val="0"/>
          <w:numId w:val="23"/>
        </w:numPr>
      </w:pPr>
      <w:r>
        <w:t>La API debe ser el único componente de la página que cumpla simultáneamente el patrón estructural y de conexión requerido para ser principal.</w:t>
      </w:r>
    </w:p>
    <w:p w14:paraId="6C68A4B5" w14:textId="77777777" w:rsidR="004F6C85" w:rsidRDefault="001C1F73" w:rsidP="0059402D">
      <w:pPr>
        <w:pStyle w:val="Listaconnmeros"/>
        <w:numPr>
          <w:ilvl w:val="0"/>
          <w:numId w:val="23"/>
        </w:numPr>
      </w:pPr>
      <w:r>
        <w:t>La API debe registrarse como tipo API y rol PRINCIPAL.</w:t>
      </w:r>
    </w:p>
    <w:p w14:paraId="05839936" w14:textId="77777777" w:rsidR="004F6C85" w:rsidRDefault="001C1F73" w:rsidP="0059402D">
      <w:pPr>
        <w:pStyle w:val="Listaconnmeros"/>
        <w:numPr>
          <w:ilvl w:val="0"/>
          <w:numId w:val="23"/>
        </w:numPr>
      </w:pPr>
      <w:r>
        <w:t>El contenedor hijo debe registrarse como tipo SERVICIO, rol INVOCADO, no gestionado y contenedor hijo.</w:t>
      </w:r>
    </w:p>
    <w:p w14:paraId="24995DFF" w14:textId="77777777" w:rsidR="004F6C85" w:rsidRDefault="001C1F73" w:rsidP="0059402D">
      <w:pPr>
        <w:pStyle w:val="Listaconnmeros"/>
        <w:numPr>
          <w:ilvl w:val="0"/>
          <w:numId w:val="23"/>
        </w:numPr>
      </w:pPr>
      <w:r>
        <w:t>Una vez identificados en E1 el contenedor INTEGRACION y el DOMINIO_PRODUCTOR que contiene el servicio hijo con evento BPMN, cualquier contenedor padre adicional que no se llame explícitamente INTEGRACION debe clasificarse como SISTEMAS_EXTERNOS.</w:t>
      </w:r>
    </w:p>
    <w:p w14:paraId="2AB7CE03" w14:textId="77777777" w:rsidR="004F6C85" w:rsidRDefault="001C1F73">
      <w:pPr>
        <w:pStyle w:val="Ttulo2"/>
      </w:pPr>
      <w:r>
        <w:t>16.2. Criterios detallados para el escenario E2</w:t>
      </w:r>
    </w:p>
    <w:p w14:paraId="686722C7" w14:textId="77777777" w:rsidR="004F6C85" w:rsidRDefault="001C1F73">
      <w:r>
        <w:t>E2 representa una API principal ubicada en Integración que invoca un servicio gestionado ubicado como contenedor hijo dentro del mismo contenedor de Integración.</w:t>
      </w:r>
    </w:p>
    <w:p w14:paraId="57AE1664" w14:textId="77777777" w:rsidR="004F6C85" w:rsidRDefault="001C1F73" w:rsidP="0059402D">
      <w:pPr>
        <w:pStyle w:val="Listaconnmeros"/>
        <w:numPr>
          <w:ilvl w:val="0"/>
          <w:numId w:val="25"/>
        </w:numPr>
      </w:pPr>
      <w:r>
        <w:t>Debe existir obligatoriamente un contenedor padre identificado como INTEGRACION.</w:t>
      </w:r>
    </w:p>
    <w:p w14:paraId="4C9DDBF6" w14:textId="77777777" w:rsidR="004F6C85" w:rsidRDefault="001C1F73" w:rsidP="0059402D">
      <w:pPr>
        <w:pStyle w:val="Listaconnmeros"/>
        <w:numPr>
          <w:ilvl w:val="0"/>
          <w:numId w:val="25"/>
        </w:numPr>
      </w:pPr>
      <w:r>
        <w:t>Dentro de Integración debe existir una API candidata a principal.</w:t>
      </w:r>
    </w:p>
    <w:p w14:paraId="5F0C39D7" w14:textId="77777777" w:rsidR="004F6C85" w:rsidRDefault="001C1F73" w:rsidP="0059402D">
      <w:pPr>
        <w:pStyle w:val="Listaconnmeros"/>
        <w:numPr>
          <w:ilvl w:val="0"/>
          <w:numId w:val="25"/>
        </w:numPr>
      </w:pPr>
      <w:r>
        <w:t>Dentro del mismo contenedor de Integración debe existir un contenedor hijo que represente el servicio gestionado invocado.</w:t>
      </w:r>
    </w:p>
    <w:p w14:paraId="7313E643" w14:textId="77777777" w:rsidR="004F6C85" w:rsidRDefault="001C1F73" w:rsidP="0059402D">
      <w:pPr>
        <w:pStyle w:val="Listaconnmeros"/>
        <w:numPr>
          <w:ilvl w:val="0"/>
          <w:numId w:val="25"/>
        </w:numPr>
      </w:pPr>
      <w:r>
        <w:t>El contenedor hijo debe contener al menos un evento BPMN. Para la confirmación del escenario debe poder verificarse que corresponde a un evento de inicio.</w:t>
      </w:r>
    </w:p>
    <w:p w14:paraId="5D758D87" w14:textId="77777777" w:rsidR="004F6C85" w:rsidRDefault="001C1F73" w:rsidP="0059402D">
      <w:pPr>
        <w:pStyle w:val="Listaconnmeros"/>
        <w:numPr>
          <w:ilvl w:val="0"/>
          <w:numId w:val="25"/>
        </w:numPr>
      </w:pPr>
      <w:r>
        <w:t>La API debe conectar directamente con el evento BPMN ubicado dentro del contenedor hijo.</w:t>
      </w:r>
    </w:p>
    <w:p w14:paraId="01C3512F" w14:textId="77777777" w:rsidR="004F6C85" w:rsidRDefault="001C1F73" w:rsidP="0059402D">
      <w:pPr>
        <w:pStyle w:val="Listaconnmeros"/>
        <w:numPr>
          <w:ilvl w:val="0"/>
          <w:numId w:val="25"/>
        </w:numPr>
      </w:pPr>
      <w:r>
        <w:t>La conexión debe tener terminación NONE en la API y terminación ARROW en el evento BPMN.</w:t>
      </w:r>
    </w:p>
    <w:p w14:paraId="3D0E2315" w14:textId="77777777" w:rsidR="004F6C85" w:rsidRDefault="001C1F73" w:rsidP="0059402D">
      <w:pPr>
        <w:pStyle w:val="Listaconnmeros"/>
        <w:numPr>
          <w:ilvl w:val="0"/>
          <w:numId w:val="25"/>
        </w:numPr>
      </w:pPr>
      <w:r>
        <w:t>La API debe ser el único componente de la página que cumpla simultáneamente el patrón estructural y de conexión requerido para ser principal.</w:t>
      </w:r>
    </w:p>
    <w:p w14:paraId="6264C082" w14:textId="77777777" w:rsidR="004F6C85" w:rsidRDefault="001C1F73" w:rsidP="0059402D">
      <w:pPr>
        <w:pStyle w:val="Listaconnmeros"/>
        <w:numPr>
          <w:ilvl w:val="0"/>
          <w:numId w:val="25"/>
        </w:numPr>
      </w:pPr>
      <w:r>
        <w:lastRenderedPageBreak/>
        <w:t>La API debe registrarse como tipo API y rol PRINCIPAL.</w:t>
      </w:r>
    </w:p>
    <w:p w14:paraId="4E3A30F0" w14:textId="77777777" w:rsidR="004F6C85" w:rsidRDefault="001C1F73" w:rsidP="0059402D">
      <w:pPr>
        <w:pStyle w:val="Listaconnmeros"/>
        <w:numPr>
          <w:ilvl w:val="0"/>
          <w:numId w:val="25"/>
        </w:numPr>
      </w:pPr>
      <w:r>
        <w:t>El contenedor hijo debe registrarse como tipo SERVICIO, rol INVOCADO, gestionado y contenedor hijo.</w:t>
      </w:r>
    </w:p>
    <w:p w14:paraId="29744EBD" w14:textId="77777777" w:rsidR="004F6C85" w:rsidRDefault="001C1F73" w:rsidP="0059402D">
      <w:pPr>
        <w:pStyle w:val="Listaconnmeros"/>
        <w:numPr>
          <w:ilvl w:val="0"/>
          <w:numId w:val="25"/>
        </w:numPr>
      </w:pPr>
      <w:r>
        <w:t>En E2 no es obligatorio que exista un contenedor DOMINIO_PRODUCTOR ni un contenedor SISTEMAS_EXTERNOS.</w:t>
      </w:r>
    </w:p>
    <w:p w14:paraId="6DFD838C" w14:textId="77777777" w:rsidR="004F6C85" w:rsidRDefault="001C1F73" w:rsidP="0059402D">
      <w:pPr>
        <w:pStyle w:val="Listaconnmeros"/>
        <w:numPr>
          <w:ilvl w:val="0"/>
          <w:numId w:val="25"/>
        </w:numPr>
      </w:pPr>
      <w:r>
        <w:t>En E2, los contenedores adicionales solo deben clasificarse como DOMINIO_PRODUCTOR o SISTEMAS_EXTERNOS cuando el nombre o la estructura aporten evidencia suficiente. Si no es posible diferenciarlos, deben registrarse como NO_DETERMINADO con ambos tipos como posibles.</w:t>
      </w:r>
    </w:p>
    <w:p w14:paraId="31AC785D" w14:textId="77777777" w:rsidR="004F6C85" w:rsidRDefault="001C1F73">
      <w:pPr>
        <w:pStyle w:val="Ttulo2"/>
      </w:pPr>
      <w:r>
        <w:t>16.3. Criterios detallados para el escenario E3</w:t>
      </w:r>
    </w:p>
    <w:p w14:paraId="40924DD8" w14:textId="77777777" w:rsidR="004F6C85" w:rsidRDefault="001C1F73">
      <w:r>
        <w:t>E3 representa un servicio principal ubicado en Dominio Productor que invoca otro servicio no gestionado ubicado como contenedor hijo dentro del mismo Dominio Productor.</w:t>
      </w:r>
    </w:p>
    <w:p w14:paraId="47C12AF0" w14:textId="77777777" w:rsidR="004F6C85" w:rsidRDefault="001C1F73" w:rsidP="0059402D">
      <w:pPr>
        <w:pStyle w:val="Listaconnmeros"/>
        <w:numPr>
          <w:ilvl w:val="0"/>
          <w:numId w:val="27"/>
        </w:numPr>
      </w:pPr>
      <w:r>
        <w:t>Debe existir obligatoriamente un contenedor padre identificado como DOMINIO_PRODUCTOR. Puede tener el nombre literal DOMINIO PRODUCTOR o un nombre personalizado identificable por su estructura.</w:t>
      </w:r>
    </w:p>
    <w:p w14:paraId="5899205D" w14:textId="77777777" w:rsidR="004F6C85" w:rsidRDefault="001C1F73" w:rsidP="0059402D">
      <w:pPr>
        <w:pStyle w:val="Listaconnmeros"/>
        <w:numPr>
          <w:ilvl w:val="0"/>
          <w:numId w:val="27"/>
        </w:numPr>
      </w:pPr>
      <w:r>
        <w:t>Dentro de Dominio Productor debe existir un servicio candidato a principal.</w:t>
      </w:r>
    </w:p>
    <w:p w14:paraId="057B6E33" w14:textId="77777777" w:rsidR="004F6C85" w:rsidRDefault="001C1F73" w:rsidP="0059402D">
      <w:pPr>
        <w:pStyle w:val="Listaconnmeros"/>
        <w:numPr>
          <w:ilvl w:val="0"/>
          <w:numId w:val="27"/>
        </w:numPr>
      </w:pPr>
      <w:r>
        <w:t>Dentro del mismo Dominio Productor debe existir otro contenedor hijo que represente el servicio no gestionado invocado.</w:t>
      </w:r>
    </w:p>
    <w:p w14:paraId="6B3F48E8" w14:textId="77777777" w:rsidR="004F6C85" w:rsidRDefault="001C1F73" w:rsidP="0059402D">
      <w:pPr>
        <w:pStyle w:val="Listaconnmeros"/>
        <w:numPr>
          <w:ilvl w:val="0"/>
          <w:numId w:val="27"/>
        </w:numPr>
      </w:pPr>
      <w:r>
        <w:t>El servicio candidato a principal debe estar ubicado fuera del contenedor hijo.</w:t>
      </w:r>
    </w:p>
    <w:p w14:paraId="75DCD6D4" w14:textId="77777777" w:rsidR="004F6C85" w:rsidRDefault="001C1F73" w:rsidP="0059402D">
      <w:pPr>
        <w:pStyle w:val="Listaconnmeros"/>
        <w:numPr>
          <w:ilvl w:val="0"/>
          <w:numId w:val="27"/>
        </w:numPr>
      </w:pPr>
      <w:r>
        <w:t>El contenedor hijo debe contener al menos un evento BPMN. Para la confirmación del escenario debe poder verificarse que corresponde a un evento de inicio.</w:t>
      </w:r>
    </w:p>
    <w:p w14:paraId="342A683F" w14:textId="77777777" w:rsidR="004F6C85" w:rsidRDefault="001C1F73" w:rsidP="0059402D">
      <w:pPr>
        <w:pStyle w:val="Listaconnmeros"/>
        <w:numPr>
          <w:ilvl w:val="0"/>
          <w:numId w:val="27"/>
        </w:numPr>
      </w:pPr>
      <w:r>
        <w:t>El servicio principal debe conectar directamente con el evento BPMN ubicado dentro del contenedor hijo.</w:t>
      </w:r>
    </w:p>
    <w:p w14:paraId="59EDFBA6" w14:textId="77777777" w:rsidR="004F6C85" w:rsidRDefault="001C1F73" w:rsidP="0059402D">
      <w:pPr>
        <w:pStyle w:val="Listaconnmeros"/>
        <w:numPr>
          <w:ilvl w:val="0"/>
          <w:numId w:val="27"/>
        </w:numPr>
      </w:pPr>
      <w:r>
        <w:t>La conexión debe tener terminación NONE en el servicio principal y terminación ARROW en el evento BPMN.</w:t>
      </w:r>
    </w:p>
    <w:p w14:paraId="19DBE314" w14:textId="77777777" w:rsidR="004F6C85" w:rsidRDefault="001C1F73" w:rsidP="0059402D">
      <w:pPr>
        <w:pStyle w:val="Listaconnmeros"/>
        <w:numPr>
          <w:ilvl w:val="0"/>
          <w:numId w:val="27"/>
        </w:numPr>
      </w:pPr>
      <w:r>
        <w:t>El servicio debe ser el único componente de la página que cumpla simultáneamente el patrón estructural y de conexión requerido para ser principal.</w:t>
      </w:r>
    </w:p>
    <w:p w14:paraId="23A32C97" w14:textId="77777777" w:rsidR="004F6C85" w:rsidRDefault="001C1F73" w:rsidP="0059402D">
      <w:pPr>
        <w:pStyle w:val="Listaconnmeros"/>
        <w:numPr>
          <w:ilvl w:val="0"/>
          <w:numId w:val="27"/>
        </w:numPr>
      </w:pPr>
      <w:r>
        <w:t>El servicio principal debe registrarse como tipo SERVICIO y rol PRINCIPAL.</w:t>
      </w:r>
    </w:p>
    <w:p w14:paraId="45F26AC8" w14:textId="77777777" w:rsidR="004F6C85" w:rsidRDefault="001C1F73" w:rsidP="0059402D">
      <w:pPr>
        <w:pStyle w:val="Listaconnmeros"/>
        <w:numPr>
          <w:ilvl w:val="0"/>
          <w:numId w:val="27"/>
        </w:numPr>
      </w:pPr>
      <w:r>
        <w:t>El contenedor hijo debe registrarse como tipo SERVICIO, rol INVOCADO, no gestionado y contenedor hijo.</w:t>
      </w:r>
    </w:p>
    <w:p w14:paraId="7FF750E5" w14:textId="77777777" w:rsidR="004F6C85" w:rsidRDefault="001C1F73" w:rsidP="0059402D">
      <w:pPr>
        <w:pStyle w:val="Listaconnmeros"/>
        <w:numPr>
          <w:ilvl w:val="0"/>
          <w:numId w:val="27"/>
        </w:numPr>
      </w:pPr>
      <w:r>
        <w:t>En E3 puede existir uno o más contenedores identificados como INTEGRACION, pero no son obligatorios para determinar el escenario.</w:t>
      </w:r>
    </w:p>
    <w:p w14:paraId="4DE76404" w14:textId="77777777" w:rsidR="004F6C85" w:rsidRDefault="001C1F73" w:rsidP="0059402D">
      <w:pPr>
        <w:pStyle w:val="Listaconnmeros"/>
        <w:numPr>
          <w:ilvl w:val="0"/>
          <w:numId w:val="27"/>
        </w:numPr>
      </w:pPr>
      <w:r>
        <w:t>Una vez identificado en E3 el DOMINIO_PRODUCTOR que contiene el servicio principal y el servicio hijo con evento BPMN, los contenedores llamados explícitamente INTEGRACION deben conservar esa clasificación. Cualquier otro contenedor padre adicional debe clasificarse como SISTEMAS_EXTERNOS.</w:t>
      </w:r>
    </w:p>
    <w:p w14:paraId="40F4CCFD" w14:textId="77777777" w:rsidR="004F6C85" w:rsidRDefault="001C1F73">
      <w:pPr>
        <w:pStyle w:val="Ttulo2"/>
      </w:pPr>
      <w:r>
        <w:t>16.4. Diferencias determinantes entre E1, E2 y E3</w:t>
      </w:r>
    </w:p>
    <w:p w14:paraId="0A68D018" w14:textId="77777777" w:rsidR="004F6C85" w:rsidRDefault="001C1F73">
      <w:pPr>
        <w:pStyle w:val="Listaconvietas"/>
      </w:pPr>
      <w:r>
        <w:t>E1: el componente principal es una API ubicada en Integración y el servicio hijo invocado está ubicado en Dominio Productor.</w:t>
      </w:r>
    </w:p>
    <w:p w14:paraId="7203D573" w14:textId="77777777" w:rsidR="004F6C85" w:rsidRDefault="001C1F73">
      <w:pPr>
        <w:pStyle w:val="Listaconvietas"/>
      </w:pPr>
      <w:r>
        <w:t>E2: el componente principal es una API ubicada en Integración y el servicio hijo invocado también está ubicado dentro de la misma Integración.</w:t>
      </w:r>
    </w:p>
    <w:p w14:paraId="1820877A" w14:textId="77777777" w:rsidR="004F6C85" w:rsidRDefault="001C1F73">
      <w:pPr>
        <w:pStyle w:val="Listaconvietas"/>
      </w:pPr>
      <w:r>
        <w:t>E3: el componente principal es un servicio ubicado en Dominio Productor y el servicio hijo invocado está ubicado dentro del mismo Dominio Productor.</w:t>
      </w:r>
    </w:p>
    <w:p w14:paraId="32FA1FF9" w14:textId="77777777" w:rsidR="004F6C85" w:rsidRDefault="001C1F73">
      <w:pPr>
        <w:pStyle w:val="Ttulo2"/>
      </w:pPr>
      <w:r>
        <w:t>16.5. Estado del escenario según la evidencia disponible</w:t>
      </w:r>
    </w:p>
    <w:p w14:paraId="40A96654" w14:textId="77777777" w:rsidR="004F6C85" w:rsidRDefault="001C1F73">
      <w:r>
        <w:t>La aplicación debe asignar el estado del escenario de acuerdo con la calidad y suficiencia de la evidencia estructural:</w:t>
      </w:r>
    </w:p>
    <w:p w14:paraId="3DC77A4F" w14:textId="77777777" w:rsidR="004F6C85" w:rsidRDefault="001C1F73">
      <w:pPr>
        <w:pStyle w:val="Listaconvietas"/>
      </w:pPr>
      <w:r>
        <w:t>CONFIRMADO: se identificó un único componente principal; se determinó si es API o servicio; se identificaron los contenedores requeridos; el evento pertenece al contenedor hijo; se confirmó que es un evento de inicio; y se verificó la conexión NONE hacia ARROW.</w:t>
      </w:r>
    </w:p>
    <w:p w14:paraId="28AC01B7" w14:textId="77777777" w:rsidR="004F6C85" w:rsidRDefault="001C1F73">
      <w:pPr>
        <w:pStyle w:val="Listaconvietas"/>
      </w:pPr>
      <w:r>
        <w:lastRenderedPageBreak/>
        <w:t>HIPOTESIS: el patrón general permite seleccionar E1, E2 o E3 como escenario probable, pero no se pudo confirmar el tipo de evento, la dirección de la conexión, la pertenencia del evento al hijo, la clasificación de alguno de los contenedores requeridos o la unicidad del principal.</w:t>
      </w:r>
    </w:p>
    <w:p w14:paraId="69CA9B3A" w14:textId="77777777" w:rsidR="004F6C85" w:rsidRDefault="001C1F73">
      <w:pPr>
        <w:pStyle w:val="Listaconvietas"/>
      </w:pPr>
      <w:r>
        <w:t>NO_DETERMINADO: la evidencia no permite seleccionar E1, E2 o E3, existen varios candidatos principales, falta la conexión requerida, no se identifica el evento BPMN o la estructura es compatible con más de un escenario.</w:t>
      </w:r>
    </w:p>
    <w:p w14:paraId="1CB1E06E" w14:textId="77777777" w:rsidR="004F6C85" w:rsidRDefault="001C1F73">
      <w:pPr>
        <w:pStyle w:val="Ttulo2"/>
      </w:pPr>
      <w:r>
        <w:t>16.6. Información que debe conservar el JSON enriquecido</w:t>
      </w:r>
    </w:p>
    <w:p w14:paraId="6EFBA610" w14:textId="77777777" w:rsidR="004F6C85" w:rsidRDefault="001C1F73">
      <w:r>
        <w:t>Para que el agente de IA pueda evaluar posteriormente las reglas de negocio, la aplicación debe conservar como mínimo:</w:t>
      </w:r>
    </w:p>
    <w:p w14:paraId="471EA64E" w14:textId="77777777" w:rsidR="004F6C85" w:rsidRDefault="001C1F73">
      <w:pPr>
        <w:pStyle w:val="Listaconvietas"/>
      </w:pPr>
      <w:r>
        <w:t>El escenario propuesto y su estado de determinación.</w:t>
      </w:r>
    </w:p>
    <w:p w14:paraId="7DDEC6CA" w14:textId="77777777" w:rsidR="004F6C85" w:rsidRDefault="001C1F73">
      <w:pPr>
        <w:pStyle w:val="Listaconvietas"/>
      </w:pPr>
      <w:r>
        <w:t>El identificador, tipo y rol del componente principal.</w:t>
      </w:r>
    </w:p>
    <w:p w14:paraId="667D2605" w14:textId="77777777" w:rsidR="004F6C85" w:rsidRDefault="001C1F73">
      <w:pPr>
        <w:pStyle w:val="Listaconvietas"/>
      </w:pPr>
      <w:r>
        <w:t>El identificador, nombre, tipo, rol y condición de gestionado o no gestionado del servicio hijo.</w:t>
      </w:r>
    </w:p>
    <w:p w14:paraId="6A288AB8" w14:textId="77777777" w:rsidR="004F6C85" w:rsidRDefault="001C1F73">
      <w:pPr>
        <w:pStyle w:val="Listaconvietas"/>
      </w:pPr>
      <w:r>
        <w:t>El contenedor padre del componente principal y el contenedor padre del servicio hijo.</w:t>
      </w:r>
    </w:p>
    <w:p w14:paraId="305EAD2E" w14:textId="77777777" w:rsidR="004F6C85" w:rsidRDefault="001C1F73">
      <w:pPr>
        <w:pStyle w:val="Listaconvietas"/>
      </w:pPr>
      <w:r>
        <w:t>El evento BPMN utilizado para determinar el escenario y si se confirmó que es de inicio.</w:t>
      </w:r>
    </w:p>
    <w:p w14:paraId="3B268C9C" w14:textId="77777777" w:rsidR="004F6C85" w:rsidRDefault="001C1F73">
      <w:pPr>
        <w:pStyle w:val="Listaconvietas"/>
      </w:pPr>
      <w:r>
        <w:t>La conexión principal, sus extremos, terminaciones y dirección.</w:t>
      </w:r>
    </w:p>
    <w:p w14:paraId="50ED20C6" w14:textId="77777777" w:rsidR="004F6C85" w:rsidRDefault="001C1F73">
      <w:pPr>
        <w:pStyle w:val="Listaconvietas"/>
      </w:pPr>
      <w:r>
        <w:t>La evidencia que permitió determinar cada asociación y los datos que no pudieron determinarse.</w:t>
      </w:r>
    </w:p>
    <w:p w14:paraId="340F3F8C" w14:textId="77777777" w:rsidR="00925872" w:rsidRDefault="00D214CE">
      <w:r>
        <w:br w:type="page"/>
      </w:r>
    </w:p>
    <w:p w14:paraId="48059BC0" w14:textId="77777777" w:rsidR="00925872" w:rsidRDefault="00D214CE">
      <w:pPr>
        <w:pStyle w:val="Ttulo1"/>
      </w:pPr>
      <w:r>
        <w:lastRenderedPageBreak/>
        <w:t>17. Solicitud de explicitación de agrupaciones en el JSON enriquecido</w:t>
      </w:r>
    </w:p>
    <w:p w14:paraId="1A34EFF1" w14:textId="77777777" w:rsidR="00925872" w:rsidRDefault="00D214CE">
      <w:r>
        <w:t>Sin modificar de manera significativa la estructura actual del JSON enriquecido y sin incorporar lógica adicional que pueda generar ambigüedad para el agente de IA, se solicita que las agrupaciones existentes en el blueprint queden representadas de forma explícita y directamente consultable.</w:t>
      </w:r>
    </w:p>
    <w:p w14:paraId="7BE5A632" w14:textId="77777777" w:rsidR="00925872" w:rsidRDefault="00D214CE">
      <w:pPr>
        <w:shd w:val="clear" w:color="auto" w:fill="FFF2CC"/>
      </w:pPr>
      <w:r>
        <w:rPr>
          <w:b/>
        </w:rPr>
        <w:t xml:space="preserve">Solicitud principal. </w:t>
      </w:r>
      <w:r>
        <w:t xml:space="preserve">El JSON enriquecido debe permitir conocer con claridad qué figuras se encuentran agrupadas entre sí, cuál es el identificador de cada agrupación, qué elementos forman parte de ella y cómo se relacionan las agrupaciones con los contenedores y componentes identificados. La representación debe limitarse </w:t>
      </w:r>
      <w:proofErr w:type="gramStart"/>
      <w:r>
        <w:t>a</w:t>
      </w:r>
      <w:proofErr w:type="gramEnd"/>
      <w:r>
        <w:t xml:space="preserve"> exponer las agrupaciones que efectivamente existen en la evidencia disponible, sin crear asociaciones nuevas ni inferir relaciones que no puedan confirmarse.</w:t>
      </w:r>
    </w:p>
    <w:p w14:paraId="3425CE77" w14:textId="77777777" w:rsidR="00925872" w:rsidRDefault="00D214CE">
      <w:pPr>
        <w:pStyle w:val="Ttulo2"/>
      </w:pPr>
      <w:r>
        <w:t>17.1. Alcance de la solicitud</w:t>
      </w:r>
    </w:p>
    <w:p w14:paraId="296E8047" w14:textId="77777777" w:rsidR="00925872" w:rsidRDefault="00D214CE">
      <w:r>
        <w:t>La explicitación de agrupaciones debe incorporarse aprovechando la estructura actual del JSON enriquecido. No se solicita reemplazar el contrato vigente, duplicar innecesariamente la información ni agregar nuevas categorías de razonamiento para el agente.</w:t>
      </w:r>
    </w:p>
    <w:p w14:paraId="0F3BDD7E" w14:textId="77777777" w:rsidR="00925872" w:rsidRDefault="00D214CE">
      <w:r>
        <w:t>La finalidad es que el agente pueda diferenciar, sin reconstruir por su cuenta la estructura original, entre los siguientes casos:</w:t>
      </w:r>
    </w:p>
    <w:p w14:paraId="06ACD902" w14:textId="77777777" w:rsidR="00925872" w:rsidRDefault="00D214CE">
      <w:pPr>
        <w:pStyle w:val="Listaconvietas"/>
      </w:pPr>
      <w:proofErr w:type="gramStart"/>
      <w:r>
        <w:t>Figuras</w:t>
      </w:r>
      <w:proofErr w:type="gramEnd"/>
      <w:r>
        <w:t xml:space="preserve"> que pertenecen directamente a una misma agrupación.</w:t>
      </w:r>
    </w:p>
    <w:p w14:paraId="300DD7FA" w14:textId="77777777" w:rsidR="00925872" w:rsidRDefault="00D214CE">
      <w:pPr>
        <w:pStyle w:val="Listaconvietas"/>
      </w:pPr>
      <w:r>
        <w:t>Agrupaciones que contienen otras agrupaciones.</w:t>
      </w:r>
    </w:p>
    <w:p w14:paraId="1E2358C8" w14:textId="77777777" w:rsidR="00925872" w:rsidRDefault="00D214CE">
      <w:pPr>
        <w:pStyle w:val="Listaconvietas"/>
      </w:pPr>
      <w:r>
        <w:t>Agrupaciones asociadas a un contenedor padre o a un contenedor hijo.</w:t>
      </w:r>
    </w:p>
    <w:p w14:paraId="4D11A4A8" w14:textId="77777777" w:rsidR="00925872" w:rsidRDefault="00D214CE">
      <w:pPr>
        <w:pStyle w:val="Listaconvietas"/>
      </w:pPr>
      <w:r>
        <w:t>Componentes, modelos, capas y flujos que comparten una agrupación confirmada.</w:t>
      </w:r>
    </w:p>
    <w:p w14:paraId="38E69D1E" w14:textId="77777777" w:rsidR="00925872" w:rsidRDefault="00D214CE">
      <w:pPr>
        <w:pStyle w:val="Listaconvietas"/>
      </w:pPr>
      <w:r>
        <w:t>Elementos que únicamente comparten un contenedor general, pero no una agrupación específica.</w:t>
      </w:r>
    </w:p>
    <w:p w14:paraId="02266ACF" w14:textId="77777777" w:rsidR="00925872" w:rsidRDefault="00D214CE">
      <w:pPr>
        <w:pStyle w:val="Listaconvietas"/>
      </w:pPr>
      <w:r>
        <w:t>Elementos cuya pertenencia o asociación no pudo determinarse.</w:t>
      </w:r>
    </w:p>
    <w:p w14:paraId="16DC31B0" w14:textId="77777777" w:rsidR="00925872" w:rsidRDefault="00D214CE">
      <w:pPr>
        <w:pStyle w:val="Ttulo2"/>
      </w:pPr>
      <w:r>
        <w:t>17.2. Información que debe quedar explícita</w:t>
      </w:r>
    </w:p>
    <w:p w14:paraId="186AE00B" w14:textId="77777777" w:rsidR="00925872" w:rsidRDefault="00D214CE">
      <w:r>
        <w:t>Para cada agrupación identificada, el JSON enriquecido debe dejar explícita, como mínimo, la siguiente información:</w:t>
      </w:r>
    </w:p>
    <w:p w14:paraId="5721CBD4" w14:textId="77777777" w:rsidR="00925872" w:rsidRDefault="00D214CE">
      <w:pPr>
        <w:pStyle w:val="Listaconvietas"/>
      </w:pPr>
      <w:r>
        <w:t>El identificador de la agrupación.</w:t>
      </w:r>
    </w:p>
    <w:p w14:paraId="469568F2" w14:textId="77777777" w:rsidR="00925872" w:rsidRDefault="00D214CE">
      <w:pPr>
        <w:pStyle w:val="Listaconvietas"/>
      </w:pPr>
      <w:r>
        <w:t>Los identificadores de las figuras que pertenecen directamente a la agrupación.</w:t>
      </w:r>
    </w:p>
    <w:p w14:paraId="6CE7D916" w14:textId="77777777" w:rsidR="00925872" w:rsidRDefault="00D214CE">
      <w:pPr>
        <w:pStyle w:val="Listaconvietas"/>
      </w:pPr>
      <w:r>
        <w:t>Los identificadores de las agrupaciones anidadas, cuando existan.</w:t>
      </w:r>
    </w:p>
    <w:p w14:paraId="158024A5" w14:textId="77777777" w:rsidR="00925872" w:rsidRDefault="00D214CE">
      <w:pPr>
        <w:pStyle w:val="Listaconvietas"/>
      </w:pPr>
      <w:r>
        <w:t>El identificador del contenedor al que pertenece la agrupación, cuando esta pertenencia pueda determinarse.</w:t>
      </w:r>
    </w:p>
    <w:p w14:paraId="700A86F6" w14:textId="77777777" w:rsidR="00925872" w:rsidRDefault="00D214CE">
      <w:pPr>
        <w:pStyle w:val="Listaconvietas"/>
      </w:pPr>
      <w:r>
        <w:t>El componente funcional relacionado con la agrupación, cuando la relación esté determinada.</w:t>
      </w:r>
    </w:p>
    <w:p w14:paraId="5EE86DF9" w14:textId="77777777" w:rsidR="00925872" w:rsidRDefault="00D214CE">
      <w:pPr>
        <w:pStyle w:val="Listaconvietas"/>
      </w:pPr>
      <w:r>
        <w:t>La indicación expresa de que la relación no pudo determinarse cuando la agrupación exista, pero no sea posible asociarla de manera inequívoca con una API, un servicio, un gestor u otro componente.</w:t>
      </w:r>
    </w:p>
    <w:p w14:paraId="15CFC4CC" w14:textId="77777777" w:rsidR="00925872" w:rsidRDefault="00D214CE">
      <w:pPr>
        <w:pStyle w:val="Ttulo2"/>
      </w:pPr>
      <w:r>
        <w:t>17.3. Uso esperado por el agente de IA</w:t>
      </w:r>
    </w:p>
    <w:p w14:paraId="5EBD89B1" w14:textId="77777777" w:rsidR="00925872" w:rsidRDefault="00D214CE">
      <w:r>
        <w:t>Las agrupaciones explícitas deben funcionar como evidencia estructural para las reglas de negocio. El agente podrá utilizarlas para determinar si una capa, un flujo, un modelo, un evento, una actividad u otra figura pertenece a una API, un servicio, un gestor o un contenedor específico.</w:t>
      </w:r>
    </w:p>
    <w:p w14:paraId="2858455C" w14:textId="77777777" w:rsidR="00925872" w:rsidRDefault="00D214CE">
      <w:r>
        <w:t>La existencia de una agrupación no debe interpretarse automáticamente como una relación funcional distinta de la que muestre la evidencia. El JSON enriquecido debe exponer la agrupación y, cuando corresponda, indicar si la asociación con un componente pudo o no determinarse. La aplicación no debe adelantar la evaluación de Cumple, No cumple, No verificada o No aplica.</w:t>
      </w:r>
    </w:p>
    <w:p w14:paraId="5D69B023" w14:textId="77777777" w:rsidR="00925872" w:rsidRDefault="00D214CE">
      <w:pPr>
        <w:pStyle w:val="Ttulo2"/>
      </w:pPr>
      <w:r>
        <w:lastRenderedPageBreak/>
        <w:t>17.4. Referencia del caso analizado</w:t>
      </w:r>
    </w:p>
    <w:p w14:paraId="3A972720" w14:textId="77777777" w:rsidR="00925872" w:rsidRDefault="00D214CE">
      <w:r>
        <w:t>Como referencia debe utilizarse el resultado obtenido en el análisis del JSON compartido para el escenario 2 y las conclusiones finales acordadas. En dicho análisis, las agrupaciones permitieron distinguir relaciones que sí podían determinarse y relaciones que no podían confirmarse.</w:t>
      </w:r>
    </w:p>
    <w:p w14:paraId="53C4CC7E" w14:textId="77777777" w:rsidR="00925872" w:rsidRDefault="00D214CE">
      <w:r>
        <w:t>El resultado evidenció, entre otros, los siguientes casos que deben poder expresarse claramente mediante las agrupaciones existentes:</w:t>
      </w:r>
    </w:p>
    <w:p w14:paraId="3FE5DDC2" w14:textId="77777777" w:rsidR="00925872" w:rsidRDefault="00D214CE">
      <w:pPr>
        <w:pStyle w:val="Listaconvietas"/>
      </w:pPr>
      <w:r>
        <w:t>La API principal, sus modelos y el conjunto de capa y flujo podían relacionarse mediante una agrupación padre común.</w:t>
      </w:r>
    </w:p>
    <w:p w14:paraId="7079291A" w14:textId="77777777" w:rsidR="00925872" w:rsidRDefault="00D214CE">
      <w:pPr>
        <w:pStyle w:val="Listaconvietas"/>
      </w:pPr>
      <w:r>
        <w:t>La capa y el flujo del servicio hijo podían relacionarse con el servicio y sus componentes internos mediante las agrupaciones y relaciones de contención existentes.</w:t>
      </w:r>
    </w:p>
    <w:p w14:paraId="732AAB2D" w14:textId="77777777" w:rsidR="00925872" w:rsidRDefault="00D214CE">
      <w:pPr>
        <w:pStyle w:val="Listaconvietas"/>
      </w:pPr>
      <w:r>
        <w:t>Una API reutilizada podía estar agrupada con sus modelos, aunque su capa y flujo se encontraran en una agrupación separada sin una relación suficiente para asociarlos con la API.</w:t>
      </w:r>
    </w:p>
    <w:p w14:paraId="46F5CA5E" w14:textId="77777777" w:rsidR="00925872" w:rsidRDefault="00D214CE">
      <w:pPr>
        <w:pStyle w:val="Listaconvietas"/>
      </w:pPr>
      <w:r>
        <w:t>Una API o un servicio reutilizado podía estar agrupado dentro de un sistema externo o federado, mientras que sus modelos permanecían fuera de esa agrupación y, por tanto, no podían asignarse de manera confirmada.</w:t>
      </w:r>
    </w:p>
    <w:p w14:paraId="5E615D13" w14:textId="77777777" w:rsidR="00925872" w:rsidRDefault="00D214CE">
      <w:pPr>
        <w:pStyle w:val="Listaconvietas"/>
      </w:pPr>
      <w:r>
        <w:t>El gestor de colas podía relacionarse con su capa y flujo mediante la agrupación y la contención existentes.</w:t>
      </w:r>
    </w:p>
    <w:p w14:paraId="583C9571" w14:textId="77777777" w:rsidR="00925872" w:rsidRDefault="00D214CE">
      <w:pPr>
        <w:pStyle w:val="Listaconvietas"/>
      </w:pPr>
      <w:r>
        <w:t>La pertenencia común al contenedor general de Integración no era suficiente por sí sola para afirmar que varias figuras pertenecían al mismo componente.</w:t>
      </w:r>
    </w:p>
    <w:p w14:paraId="273DED57" w14:textId="77777777" w:rsidR="00925872" w:rsidRDefault="00D214CE">
      <w:pPr>
        <w:pStyle w:val="Ttulo2"/>
      </w:pPr>
      <w:r>
        <w:t>17.5. Restricción de interpretación</w:t>
      </w:r>
    </w:p>
    <w:p w14:paraId="0DC6DB8E" w14:textId="77777777" w:rsidR="00925872" w:rsidRDefault="00D214CE">
      <w:pPr>
        <w:shd w:val="clear" w:color="auto" w:fill="EAF2F8"/>
      </w:pPr>
      <w:r>
        <w:rPr>
          <w:b/>
        </w:rPr>
        <w:t xml:space="preserve">La incorporación de las agrupaciones debe aportar evidencia, no nueva lógica. </w:t>
      </w:r>
      <w:r>
        <w:t>Cuando la evidencia de agrupación permita determinar una relación, esta debe quedar explícita. Cuando no exista una agrupación, contención o relación suficiente, el JSON debe indicar que la asociación no pudo determinarse, sin completar la relación por proximidad visual o por una suposición del escenario.</w:t>
      </w:r>
    </w:p>
    <w:p w14:paraId="20E18BDD" w14:textId="77777777" w:rsidR="00925872" w:rsidRDefault="00D214CE">
      <w:pPr>
        <w:pStyle w:val="Ttulo2"/>
      </w:pPr>
      <w:r>
        <w:t>17.6. Resultado esperado</w:t>
      </w:r>
    </w:p>
    <w:p w14:paraId="07BF5662" w14:textId="77777777" w:rsidR="00925872" w:rsidRDefault="00D214CE">
      <w:r>
        <w:t>El JSON enriquecido final debe conservar su estructura general actual, pero permitir que el agente consulte directamente las agrupaciones y sus miembros. Con esta información, el agente podrá validar las reglas de negocio sin reconstruir nuevamente los grupos del JSON original y sin confundir una proximidad visual, una pertenencia general al contenedor o una asociación no confirmada con una relación determinada.</w:t>
      </w:r>
    </w:p>
    <w:sectPr w:rsidR="00925872"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89C9A" w14:textId="77777777" w:rsidR="00D214CE" w:rsidRDefault="00D214CE">
      <w:pPr>
        <w:spacing w:after="0" w:line="240" w:lineRule="auto"/>
      </w:pPr>
      <w:r>
        <w:separator/>
      </w:r>
    </w:p>
  </w:endnote>
  <w:endnote w:type="continuationSeparator" w:id="0">
    <w:p w14:paraId="68ACE0BC" w14:textId="77777777" w:rsidR="00D214CE" w:rsidRDefault="00D21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9746" w14:textId="77777777" w:rsidR="004F6C85" w:rsidRDefault="001C1F73">
    <w:pPr>
      <w:pStyle w:val="Piedepgina"/>
      <w:jc w:val="center"/>
    </w:pPr>
    <w:proofErr w:type="spellStart"/>
    <w:r>
      <w:rPr>
        <w:color w:val="646464"/>
        <w:sz w:val="16"/>
      </w:rPr>
      <w:t>Definición</w:t>
    </w:r>
    <w:proofErr w:type="spellEnd"/>
    <w:r>
      <w:rPr>
        <w:color w:val="646464"/>
        <w:sz w:val="16"/>
      </w:rPr>
      <w:t xml:space="preserve"> </w:t>
    </w:r>
    <w:proofErr w:type="spellStart"/>
    <w:r>
      <w:rPr>
        <w:color w:val="646464"/>
        <w:sz w:val="16"/>
      </w:rPr>
      <w:t>funcional</w:t>
    </w:r>
    <w:proofErr w:type="spellEnd"/>
    <w:r>
      <w:rPr>
        <w:color w:val="646464"/>
        <w:sz w:val="16"/>
      </w:rPr>
      <w:t xml:space="preserve"> </w:t>
    </w:r>
    <w:proofErr w:type="gramStart"/>
    <w:r>
      <w:rPr>
        <w:color w:val="646464"/>
        <w:sz w:val="16"/>
      </w:rPr>
      <w:t>para JSON</w:t>
    </w:r>
    <w:proofErr w:type="gramEnd"/>
    <w:r>
      <w:rPr>
        <w:color w:val="646464"/>
        <w:sz w:val="16"/>
      </w:rPr>
      <w:t xml:space="preserve"> </w:t>
    </w:r>
    <w:proofErr w:type="spellStart"/>
    <w:r>
      <w:rPr>
        <w:color w:val="646464"/>
        <w:sz w:val="16"/>
      </w:rPr>
      <w:t>enriquecido</w:t>
    </w:r>
    <w:proofErr w:type="spellEnd"/>
    <w:r>
      <w:rPr>
        <w:color w:val="646464"/>
        <w:sz w:val="16"/>
      </w:rPr>
      <w:t xml:space="preserve"> | </w:t>
    </w:r>
    <w:proofErr w:type="spellStart"/>
    <w:r>
      <w:rPr>
        <w:color w:val="646464"/>
        <w:sz w:val="16"/>
      </w:rPr>
      <w:t>Contenedores</w:t>
    </w:r>
    <w:proofErr w:type="spellEnd"/>
    <w:r>
      <w:rPr>
        <w:color w:val="646464"/>
        <w:sz w:val="16"/>
      </w:rPr>
      <w:t xml:space="preserve"> y </w:t>
    </w:r>
    <w:proofErr w:type="spellStart"/>
    <w:r>
      <w:rPr>
        <w:color w:val="646464"/>
        <w:sz w:val="16"/>
      </w:rPr>
      <w:t>escenarios</w:t>
    </w:r>
    <w:proofErr w:type="spellEnd"/>
    <w:r>
      <w:rPr>
        <w:color w:val="646464"/>
        <w:sz w:val="16"/>
      </w:rPr>
      <w:t xml:space="preserve"> de </w:t>
    </w:r>
    <w:proofErr w:type="spellStart"/>
    <w:r>
      <w:rPr>
        <w:color w:val="646464"/>
        <w:sz w:val="16"/>
      </w:rPr>
      <w:t>integración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72369" w14:textId="77777777" w:rsidR="00D214CE" w:rsidRDefault="00D214CE">
      <w:pPr>
        <w:spacing w:after="0" w:line="240" w:lineRule="auto"/>
      </w:pPr>
      <w:r>
        <w:separator/>
      </w:r>
    </w:p>
  </w:footnote>
  <w:footnote w:type="continuationSeparator" w:id="0">
    <w:p w14:paraId="1CC0885B" w14:textId="77777777" w:rsidR="00D214CE" w:rsidRDefault="00D214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0A83605"/>
    <w:multiLevelType w:val="hybridMultilevel"/>
    <w:tmpl w:val="2A72CB9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17A410C0"/>
    <w:multiLevelType w:val="hybridMultilevel"/>
    <w:tmpl w:val="8C76F2B8"/>
    <w:lvl w:ilvl="0" w:tplc="2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F971014"/>
    <w:multiLevelType w:val="hybridMultilevel"/>
    <w:tmpl w:val="1CA8DD2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1742737"/>
    <w:multiLevelType w:val="hybridMultilevel"/>
    <w:tmpl w:val="5AE45A20"/>
    <w:lvl w:ilvl="0" w:tplc="2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38A4E78"/>
    <w:multiLevelType w:val="hybridMultilevel"/>
    <w:tmpl w:val="7806E6D0"/>
    <w:lvl w:ilvl="0" w:tplc="5F76B38A">
      <w:start w:val="1"/>
      <w:numFmt w:val="decimal"/>
      <w:lvlText w:val="%1."/>
      <w:lvlJc w:val="left"/>
      <w:pPr>
        <w:ind w:left="720" w:hanging="360"/>
      </w:pPr>
    </w:lvl>
    <w:lvl w:ilvl="1" w:tplc="6B5CFF58">
      <w:start w:val="1"/>
      <w:numFmt w:val="lowerLetter"/>
      <w:lvlText w:val="%2."/>
      <w:lvlJc w:val="left"/>
      <w:pPr>
        <w:ind w:left="1440" w:hanging="360"/>
      </w:pPr>
    </w:lvl>
    <w:lvl w:ilvl="2" w:tplc="767C08AC">
      <w:start w:val="1"/>
      <w:numFmt w:val="lowerRoman"/>
      <w:lvlText w:val="%3."/>
      <w:lvlJc w:val="right"/>
      <w:pPr>
        <w:ind w:left="2160" w:hanging="180"/>
      </w:pPr>
    </w:lvl>
    <w:lvl w:ilvl="3" w:tplc="0CE046E6">
      <w:start w:val="1"/>
      <w:numFmt w:val="decimal"/>
      <w:lvlText w:val="%4."/>
      <w:lvlJc w:val="left"/>
      <w:pPr>
        <w:ind w:left="2880" w:hanging="360"/>
      </w:pPr>
    </w:lvl>
    <w:lvl w:ilvl="4" w:tplc="6714C6FC">
      <w:start w:val="1"/>
      <w:numFmt w:val="lowerLetter"/>
      <w:lvlText w:val="%5."/>
      <w:lvlJc w:val="left"/>
      <w:pPr>
        <w:ind w:left="3600" w:hanging="360"/>
      </w:pPr>
    </w:lvl>
    <w:lvl w:ilvl="5" w:tplc="29A62450">
      <w:start w:val="1"/>
      <w:numFmt w:val="lowerRoman"/>
      <w:lvlText w:val="%6."/>
      <w:lvlJc w:val="right"/>
      <w:pPr>
        <w:ind w:left="4320" w:hanging="180"/>
      </w:pPr>
    </w:lvl>
    <w:lvl w:ilvl="6" w:tplc="9C40D098">
      <w:start w:val="1"/>
      <w:numFmt w:val="decimal"/>
      <w:lvlText w:val="%7."/>
      <w:lvlJc w:val="left"/>
      <w:pPr>
        <w:ind w:left="5040" w:hanging="360"/>
      </w:pPr>
    </w:lvl>
    <w:lvl w:ilvl="7" w:tplc="EA28C360">
      <w:start w:val="1"/>
      <w:numFmt w:val="lowerLetter"/>
      <w:lvlText w:val="%8."/>
      <w:lvlJc w:val="left"/>
      <w:pPr>
        <w:ind w:left="5760" w:hanging="360"/>
      </w:pPr>
    </w:lvl>
    <w:lvl w:ilvl="8" w:tplc="E85EFBC0">
      <w:start w:val="1"/>
      <w:numFmt w:val="lowerRoman"/>
      <w:lvlText w:val="%9."/>
      <w:lvlJc w:val="right"/>
      <w:pPr>
        <w:ind w:left="6480" w:hanging="180"/>
      </w:pPr>
    </w:lvl>
  </w:abstractNum>
  <w:abstractNum w:abstractNumId="14" w15:restartNumberingAfterBreak="0">
    <w:nsid w:val="263D1D19"/>
    <w:multiLevelType w:val="hybridMultilevel"/>
    <w:tmpl w:val="99CEEB30"/>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E9C41B4"/>
    <w:multiLevelType w:val="hybridMultilevel"/>
    <w:tmpl w:val="904C39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9855143"/>
    <w:multiLevelType w:val="hybridMultilevel"/>
    <w:tmpl w:val="7ED2C6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40C579C6"/>
    <w:multiLevelType w:val="hybridMultilevel"/>
    <w:tmpl w:val="9F949778"/>
    <w:lvl w:ilvl="0" w:tplc="2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4B3028CA"/>
    <w:multiLevelType w:val="hybridMultilevel"/>
    <w:tmpl w:val="251C01B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4C7D113F"/>
    <w:multiLevelType w:val="hybridMultilevel"/>
    <w:tmpl w:val="10DE8B5C"/>
    <w:lvl w:ilvl="0" w:tplc="2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DC70707"/>
    <w:multiLevelType w:val="hybridMultilevel"/>
    <w:tmpl w:val="A5B6BA9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660C20C7"/>
    <w:multiLevelType w:val="hybridMultilevel"/>
    <w:tmpl w:val="D05007D2"/>
    <w:lvl w:ilvl="0" w:tplc="2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6AB7E8E"/>
    <w:multiLevelType w:val="hybridMultilevel"/>
    <w:tmpl w:val="57D4F4CA"/>
    <w:lvl w:ilvl="0" w:tplc="2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89B0242"/>
    <w:multiLevelType w:val="hybridMultilevel"/>
    <w:tmpl w:val="0E1214F2"/>
    <w:lvl w:ilvl="0" w:tplc="E8C8BE6A">
      <w:start w:val="1"/>
      <w:numFmt w:val="bullet"/>
      <w:lvlText w:val=""/>
      <w:lvlJc w:val="left"/>
      <w:pPr>
        <w:ind w:left="720" w:hanging="360"/>
      </w:pPr>
      <w:rPr>
        <w:rFonts w:ascii="Symbol" w:hAnsi="Symbol" w:hint="default"/>
      </w:rPr>
    </w:lvl>
    <w:lvl w:ilvl="1" w:tplc="93CA2760">
      <w:start w:val="1"/>
      <w:numFmt w:val="bullet"/>
      <w:lvlText w:val="o"/>
      <w:lvlJc w:val="left"/>
      <w:pPr>
        <w:ind w:left="1440" w:hanging="360"/>
      </w:pPr>
      <w:rPr>
        <w:rFonts w:ascii="Courier New" w:hAnsi="Courier New" w:hint="default"/>
      </w:rPr>
    </w:lvl>
    <w:lvl w:ilvl="2" w:tplc="191483A6">
      <w:start w:val="1"/>
      <w:numFmt w:val="bullet"/>
      <w:lvlText w:val=""/>
      <w:lvlJc w:val="left"/>
      <w:pPr>
        <w:ind w:left="2160" w:hanging="360"/>
      </w:pPr>
      <w:rPr>
        <w:rFonts w:ascii="Wingdings" w:hAnsi="Wingdings" w:hint="default"/>
      </w:rPr>
    </w:lvl>
    <w:lvl w:ilvl="3" w:tplc="FE8263EE">
      <w:start w:val="1"/>
      <w:numFmt w:val="bullet"/>
      <w:lvlText w:val=""/>
      <w:lvlJc w:val="left"/>
      <w:pPr>
        <w:ind w:left="2880" w:hanging="360"/>
      </w:pPr>
      <w:rPr>
        <w:rFonts w:ascii="Symbol" w:hAnsi="Symbol" w:hint="default"/>
      </w:rPr>
    </w:lvl>
    <w:lvl w:ilvl="4" w:tplc="4014A18A">
      <w:start w:val="1"/>
      <w:numFmt w:val="bullet"/>
      <w:lvlText w:val="o"/>
      <w:lvlJc w:val="left"/>
      <w:pPr>
        <w:ind w:left="3600" w:hanging="360"/>
      </w:pPr>
      <w:rPr>
        <w:rFonts w:ascii="Courier New" w:hAnsi="Courier New" w:hint="default"/>
      </w:rPr>
    </w:lvl>
    <w:lvl w:ilvl="5" w:tplc="9B101D80">
      <w:start w:val="1"/>
      <w:numFmt w:val="bullet"/>
      <w:lvlText w:val=""/>
      <w:lvlJc w:val="left"/>
      <w:pPr>
        <w:ind w:left="4320" w:hanging="360"/>
      </w:pPr>
      <w:rPr>
        <w:rFonts w:ascii="Wingdings" w:hAnsi="Wingdings" w:hint="default"/>
      </w:rPr>
    </w:lvl>
    <w:lvl w:ilvl="6" w:tplc="333875FC">
      <w:start w:val="1"/>
      <w:numFmt w:val="bullet"/>
      <w:lvlText w:val=""/>
      <w:lvlJc w:val="left"/>
      <w:pPr>
        <w:ind w:left="5040" w:hanging="360"/>
      </w:pPr>
      <w:rPr>
        <w:rFonts w:ascii="Symbol" w:hAnsi="Symbol" w:hint="default"/>
      </w:rPr>
    </w:lvl>
    <w:lvl w:ilvl="7" w:tplc="E37E1F68">
      <w:start w:val="1"/>
      <w:numFmt w:val="bullet"/>
      <w:lvlText w:val="o"/>
      <w:lvlJc w:val="left"/>
      <w:pPr>
        <w:ind w:left="5760" w:hanging="360"/>
      </w:pPr>
      <w:rPr>
        <w:rFonts w:ascii="Courier New" w:hAnsi="Courier New" w:hint="default"/>
      </w:rPr>
    </w:lvl>
    <w:lvl w:ilvl="8" w:tplc="226609E8">
      <w:start w:val="1"/>
      <w:numFmt w:val="bullet"/>
      <w:lvlText w:val=""/>
      <w:lvlJc w:val="left"/>
      <w:pPr>
        <w:ind w:left="6480" w:hanging="360"/>
      </w:pPr>
      <w:rPr>
        <w:rFonts w:ascii="Wingdings" w:hAnsi="Wingdings" w:hint="default"/>
      </w:rPr>
    </w:lvl>
  </w:abstractNum>
  <w:abstractNum w:abstractNumId="24" w15:restartNumberingAfterBreak="0">
    <w:nsid w:val="690FC193"/>
    <w:multiLevelType w:val="hybridMultilevel"/>
    <w:tmpl w:val="9AB8ED02"/>
    <w:lvl w:ilvl="0" w:tplc="2700B8DC">
      <w:start w:val="1"/>
      <w:numFmt w:val="bullet"/>
      <w:lvlText w:val=""/>
      <w:lvlJc w:val="left"/>
      <w:pPr>
        <w:ind w:left="720" w:hanging="360"/>
      </w:pPr>
      <w:rPr>
        <w:rFonts w:ascii="Symbol" w:hAnsi="Symbol" w:hint="default"/>
      </w:rPr>
    </w:lvl>
    <w:lvl w:ilvl="1" w:tplc="40347696">
      <w:start w:val="1"/>
      <w:numFmt w:val="bullet"/>
      <w:lvlText w:val="o"/>
      <w:lvlJc w:val="left"/>
      <w:pPr>
        <w:ind w:left="1440" w:hanging="360"/>
      </w:pPr>
      <w:rPr>
        <w:rFonts w:ascii="Courier New" w:hAnsi="Courier New" w:hint="default"/>
      </w:rPr>
    </w:lvl>
    <w:lvl w:ilvl="2" w:tplc="DEC2736A">
      <w:start w:val="1"/>
      <w:numFmt w:val="bullet"/>
      <w:lvlText w:val=""/>
      <w:lvlJc w:val="left"/>
      <w:pPr>
        <w:ind w:left="2160" w:hanging="360"/>
      </w:pPr>
      <w:rPr>
        <w:rFonts w:ascii="Wingdings" w:hAnsi="Wingdings" w:hint="default"/>
      </w:rPr>
    </w:lvl>
    <w:lvl w:ilvl="3" w:tplc="310E508E">
      <w:start w:val="1"/>
      <w:numFmt w:val="bullet"/>
      <w:lvlText w:val=""/>
      <w:lvlJc w:val="left"/>
      <w:pPr>
        <w:ind w:left="2880" w:hanging="360"/>
      </w:pPr>
      <w:rPr>
        <w:rFonts w:ascii="Symbol" w:hAnsi="Symbol" w:hint="default"/>
      </w:rPr>
    </w:lvl>
    <w:lvl w:ilvl="4" w:tplc="AEF22E10">
      <w:start w:val="1"/>
      <w:numFmt w:val="bullet"/>
      <w:lvlText w:val="o"/>
      <w:lvlJc w:val="left"/>
      <w:pPr>
        <w:ind w:left="3600" w:hanging="360"/>
      </w:pPr>
      <w:rPr>
        <w:rFonts w:ascii="Courier New" w:hAnsi="Courier New" w:hint="default"/>
      </w:rPr>
    </w:lvl>
    <w:lvl w:ilvl="5" w:tplc="759C3C52">
      <w:start w:val="1"/>
      <w:numFmt w:val="bullet"/>
      <w:lvlText w:val=""/>
      <w:lvlJc w:val="left"/>
      <w:pPr>
        <w:ind w:left="4320" w:hanging="360"/>
      </w:pPr>
      <w:rPr>
        <w:rFonts w:ascii="Wingdings" w:hAnsi="Wingdings" w:hint="default"/>
      </w:rPr>
    </w:lvl>
    <w:lvl w:ilvl="6" w:tplc="82FA23B8">
      <w:start w:val="1"/>
      <w:numFmt w:val="bullet"/>
      <w:lvlText w:val=""/>
      <w:lvlJc w:val="left"/>
      <w:pPr>
        <w:ind w:left="5040" w:hanging="360"/>
      </w:pPr>
      <w:rPr>
        <w:rFonts w:ascii="Symbol" w:hAnsi="Symbol" w:hint="default"/>
      </w:rPr>
    </w:lvl>
    <w:lvl w:ilvl="7" w:tplc="CCD2424A">
      <w:start w:val="1"/>
      <w:numFmt w:val="bullet"/>
      <w:lvlText w:val="o"/>
      <w:lvlJc w:val="left"/>
      <w:pPr>
        <w:ind w:left="5760" w:hanging="360"/>
      </w:pPr>
      <w:rPr>
        <w:rFonts w:ascii="Courier New" w:hAnsi="Courier New" w:hint="default"/>
      </w:rPr>
    </w:lvl>
    <w:lvl w:ilvl="8" w:tplc="76AE65D0">
      <w:start w:val="1"/>
      <w:numFmt w:val="bullet"/>
      <w:lvlText w:val=""/>
      <w:lvlJc w:val="left"/>
      <w:pPr>
        <w:ind w:left="6480" w:hanging="360"/>
      </w:pPr>
      <w:rPr>
        <w:rFonts w:ascii="Wingdings" w:hAnsi="Wingdings" w:hint="default"/>
      </w:rPr>
    </w:lvl>
  </w:abstractNum>
  <w:abstractNum w:abstractNumId="25" w15:restartNumberingAfterBreak="0">
    <w:nsid w:val="72CCC358"/>
    <w:multiLevelType w:val="hybridMultilevel"/>
    <w:tmpl w:val="3E0EE8B2"/>
    <w:lvl w:ilvl="0" w:tplc="7DF46D96">
      <w:start w:val="1"/>
      <w:numFmt w:val="decimal"/>
      <w:lvlText w:val="%1."/>
      <w:lvlJc w:val="left"/>
      <w:pPr>
        <w:ind w:left="720" w:hanging="360"/>
      </w:pPr>
    </w:lvl>
    <w:lvl w:ilvl="1" w:tplc="88CA1A20">
      <w:start w:val="1"/>
      <w:numFmt w:val="lowerLetter"/>
      <w:lvlText w:val="%2."/>
      <w:lvlJc w:val="left"/>
      <w:pPr>
        <w:ind w:left="1440" w:hanging="360"/>
      </w:pPr>
    </w:lvl>
    <w:lvl w:ilvl="2" w:tplc="BB428712">
      <w:start w:val="1"/>
      <w:numFmt w:val="lowerRoman"/>
      <w:lvlText w:val="%3."/>
      <w:lvlJc w:val="right"/>
      <w:pPr>
        <w:ind w:left="2160" w:hanging="180"/>
      </w:pPr>
    </w:lvl>
    <w:lvl w:ilvl="3" w:tplc="622481F0">
      <w:start w:val="1"/>
      <w:numFmt w:val="decimal"/>
      <w:lvlText w:val="%4."/>
      <w:lvlJc w:val="left"/>
      <w:pPr>
        <w:ind w:left="2880" w:hanging="360"/>
      </w:pPr>
    </w:lvl>
    <w:lvl w:ilvl="4" w:tplc="5990533C">
      <w:start w:val="1"/>
      <w:numFmt w:val="lowerLetter"/>
      <w:lvlText w:val="%5."/>
      <w:lvlJc w:val="left"/>
      <w:pPr>
        <w:ind w:left="3600" w:hanging="360"/>
      </w:pPr>
    </w:lvl>
    <w:lvl w:ilvl="5" w:tplc="B2EE05BC">
      <w:start w:val="1"/>
      <w:numFmt w:val="lowerRoman"/>
      <w:lvlText w:val="%6."/>
      <w:lvlJc w:val="right"/>
      <w:pPr>
        <w:ind w:left="4320" w:hanging="180"/>
      </w:pPr>
    </w:lvl>
    <w:lvl w:ilvl="6" w:tplc="560EDD0C">
      <w:start w:val="1"/>
      <w:numFmt w:val="decimal"/>
      <w:lvlText w:val="%7."/>
      <w:lvlJc w:val="left"/>
      <w:pPr>
        <w:ind w:left="5040" w:hanging="360"/>
      </w:pPr>
    </w:lvl>
    <w:lvl w:ilvl="7" w:tplc="A5AEB124">
      <w:start w:val="1"/>
      <w:numFmt w:val="lowerLetter"/>
      <w:lvlText w:val="%8."/>
      <w:lvlJc w:val="left"/>
      <w:pPr>
        <w:ind w:left="5760" w:hanging="360"/>
      </w:pPr>
    </w:lvl>
    <w:lvl w:ilvl="8" w:tplc="53485296">
      <w:start w:val="1"/>
      <w:numFmt w:val="lowerRoman"/>
      <w:lvlText w:val="%9."/>
      <w:lvlJc w:val="right"/>
      <w:pPr>
        <w:ind w:left="6480" w:hanging="180"/>
      </w:pPr>
    </w:lvl>
  </w:abstractNum>
  <w:abstractNum w:abstractNumId="26" w15:restartNumberingAfterBreak="0">
    <w:nsid w:val="797C5545"/>
    <w:multiLevelType w:val="hybridMultilevel"/>
    <w:tmpl w:val="17F471F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537469513">
    <w:abstractNumId w:val="25"/>
  </w:num>
  <w:num w:numId="2" w16cid:durableId="522134642">
    <w:abstractNumId w:val="23"/>
  </w:num>
  <w:num w:numId="3" w16cid:durableId="1636983632">
    <w:abstractNumId w:val="13"/>
  </w:num>
  <w:num w:numId="4" w16cid:durableId="1465541367">
    <w:abstractNumId w:val="24"/>
  </w:num>
  <w:num w:numId="5" w16cid:durableId="578487079">
    <w:abstractNumId w:val="8"/>
  </w:num>
  <w:num w:numId="6" w16cid:durableId="1496795955">
    <w:abstractNumId w:val="6"/>
  </w:num>
  <w:num w:numId="7" w16cid:durableId="1366558994">
    <w:abstractNumId w:val="5"/>
  </w:num>
  <w:num w:numId="8" w16cid:durableId="823622628">
    <w:abstractNumId w:val="4"/>
  </w:num>
  <w:num w:numId="9" w16cid:durableId="2138640349">
    <w:abstractNumId w:val="7"/>
  </w:num>
  <w:num w:numId="10" w16cid:durableId="1913545852">
    <w:abstractNumId w:val="3"/>
  </w:num>
  <w:num w:numId="11" w16cid:durableId="1439332144">
    <w:abstractNumId w:val="2"/>
  </w:num>
  <w:num w:numId="12" w16cid:durableId="757018864">
    <w:abstractNumId w:val="1"/>
  </w:num>
  <w:num w:numId="13" w16cid:durableId="2094625080">
    <w:abstractNumId w:val="0"/>
  </w:num>
  <w:num w:numId="14" w16cid:durableId="282228412">
    <w:abstractNumId w:val="20"/>
  </w:num>
  <w:num w:numId="15" w16cid:durableId="2063212293">
    <w:abstractNumId w:val="14"/>
  </w:num>
  <w:num w:numId="16" w16cid:durableId="696926362">
    <w:abstractNumId w:val="9"/>
  </w:num>
  <w:num w:numId="17" w16cid:durableId="1219049964">
    <w:abstractNumId w:val="10"/>
  </w:num>
  <w:num w:numId="18" w16cid:durableId="632952850">
    <w:abstractNumId w:val="15"/>
  </w:num>
  <w:num w:numId="19" w16cid:durableId="1375957419">
    <w:abstractNumId w:val="19"/>
  </w:num>
  <w:num w:numId="20" w16cid:durableId="802233683">
    <w:abstractNumId w:val="11"/>
  </w:num>
  <w:num w:numId="21" w16cid:durableId="945044372">
    <w:abstractNumId w:val="21"/>
  </w:num>
  <w:num w:numId="22" w16cid:durableId="410857026">
    <w:abstractNumId w:val="18"/>
  </w:num>
  <w:num w:numId="23" w16cid:durableId="567032699">
    <w:abstractNumId w:val="12"/>
  </w:num>
  <w:num w:numId="24" w16cid:durableId="2140754563">
    <w:abstractNumId w:val="16"/>
  </w:num>
  <w:num w:numId="25" w16cid:durableId="2077627291">
    <w:abstractNumId w:val="17"/>
  </w:num>
  <w:num w:numId="26" w16cid:durableId="2033844703">
    <w:abstractNumId w:val="26"/>
  </w:num>
  <w:num w:numId="27" w16cid:durableId="15032813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1F73"/>
    <w:rsid w:val="0029639D"/>
    <w:rsid w:val="0031B256"/>
    <w:rsid w:val="00326F90"/>
    <w:rsid w:val="004F6C85"/>
    <w:rsid w:val="0059402D"/>
    <w:rsid w:val="005B02FE"/>
    <w:rsid w:val="00925872"/>
    <w:rsid w:val="00AA1D8D"/>
    <w:rsid w:val="00B47730"/>
    <w:rsid w:val="00CB0664"/>
    <w:rsid w:val="00D214CE"/>
    <w:rsid w:val="00FB6716"/>
    <w:rsid w:val="00FC693F"/>
    <w:rsid w:val="0BAAA479"/>
    <w:rsid w:val="1B713C49"/>
    <w:rsid w:val="245D005A"/>
    <w:rsid w:val="49EC1295"/>
    <w:rsid w:val="5D7C678F"/>
    <w:rsid w:val="73E6A098"/>
    <w:rsid w:val="79FD2B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A3AFB"/>
  <w14:defaultImageDpi w14:val="300"/>
  <w15:docId w15:val="{D84182D9-0F17-4E6A-B0B4-5BC9EC9E0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5"/>
      </w:numPr>
      <w:contextualSpacing/>
    </w:pPr>
  </w:style>
  <w:style w:type="paragraph" w:styleId="Listaconvietas2">
    <w:name w:val="List Bullet 2"/>
    <w:basedOn w:val="Normal"/>
    <w:uiPriority w:val="99"/>
    <w:unhideWhenUsed/>
    <w:rsid w:val="00326F90"/>
    <w:pPr>
      <w:numPr>
        <w:numId w:val="6"/>
      </w:numPr>
      <w:contextualSpacing/>
    </w:pPr>
  </w:style>
  <w:style w:type="paragraph" w:styleId="Listaconvietas3">
    <w:name w:val="List Bullet 3"/>
    <w:basedOn w:val="Normal"/>
    <w:uiPriority w:val="99"/>
    <w:unhideWhenUsed/>
    <w:rsid w:val="00326F90"/>
    <w:pPr>
      <w:numPr>
        <w:numId w:val="7"/>
      </w:numPr>
      <w:contextualSpacing/>
    </w:pPr>
  </w:style>
  <w:style w:type="paragraph" w:styleId="Listaconnmeros">
    <w:name w:val="List Number"/>
    <w:basedOn w:val="Normal"/>
    <w:uiPriority w:val="99"/>
    <w:unhideWhenUsed/>
    <w:rsid w:val="00326F90"/>
    <w:pPr>
      <w:numPr>
        <w:numId w:val="9"/>
      </w:numPr>
      <w:contextualSpacing/>
    </w:pPr>
  </w:style>
  <w:style w:type="paragraph" w:styleId="Listaconnmeros2">
    <w:name w:val="List Number 2"/>
    <w:basedOn w:val="Normal"/>
    <w:uiPriority w:val="99"/>
    <w:unhideWhenUsed/>
    <w:rsid w:val="0029639D"/>
    <w:pPr>
      <w:numPr>
        <w:numId w:val="10"/>
      </w:numPr>
      <w:contextualSpacing/>
    </w:pPr>
  </w:style>
  <w:style w:type="paragraph" w:styleId="Listaconnmeros3">
    <w:name w:val="List Number 3"/>
    <w:basedOn w:val="Normal"/>
    <w:uiPriority w:val="99"/>
    <w:unhideWhenUsed/>
    <w:rsid w:val="0029639D"/>
    <w:pPr>
      <w:numPr>
        <w:numId w:val="11"/>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4118</Words>
  <Characters>22655</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26720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Gonzalez Delgado</dc:creator>
  <cp:keywords/>
  <dc:description>generated by python-docx</dc:description>
  <cp:lastModifiedBy>Marcela Gonzalez Delgado</cp:lastModifiedBy>
  <cp:revision>2</cp:revision>
  <dcterms:created xsi:type="dcterms:W3CDTF">2026-10-23T02:36:00Z</dcterms:created>
  <dcterms:modified xsi:type="dcterms:W3CDTF">2026-10-23T02:36:00Z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dff26-5887-4e5c-8426-6e404c233df0_Enabled">
    <vt:lpwstr>true</vt:lpwstr>
  </property>
  <property fmtid="{D5CDD505-2E9C-101B-9397-08002B2CF9AE}" pid="3" name="MSIP_Label_71bdff26-5887-4e5c-8426-6e404c233df0_SetDate">
    <vt:lpwstr>2026-10-23T01:49:40Z</vt:lpwstr>
  </property>
  <property fmtid="{D5CDD505-2E9C-101B-9397-08002B2CF9AE}" pid="4" name="MSIP_Label_71bdff26-5887-4e5c-8426-6e404c233df0_Method">
    <vt:lpwstr>Standard</vt:lpwstr>
  </property>
  <property fmtid="{D5CDD505-2E9C-101B-9397-08002B2CF9AE}" pid="5" name="MSIP_Label_71bdff26-5887-4e5c-8426-6e404c233df0_Name">
    <vt:lpwstr>71bdff26-5887-4e5c-8426-6e404c233df0</vt:lpwstr>
  </property>
  <property fmtid="{D5CDD505-2E9C-101B-9397-08002B2CF9AE}" pid="6" name="MSIP_Label_71bdff26-5887-4e5c-8426-6e404c233df0_SiteId">
    <vt:lpwstr>b5e244bd-c492-495b-8b10-61bfd453e423</vt:lpwstr>
  </property>
  <property fmtid="{D5CDD505-2E9C-101B-9397-08002B2CF9AE}" pid="7" name="MSIP_Label_71bdff26-5887-4e5c-8426-6e404c233df0_ActionId">
    <vt:lpwstr>72d953fe-6036-445f-ade9-b7b3e3538c0d</vt:lpwstr>
  </property>
  <property fmtid="{D5CDD505-2E9C-101B-9397-08002B2CF9AE}" pid="8" name="MSIP_Label_71bdff26-5887-4e5c-8426-6e404c233df0_ContentBits">
    <vt:lpwstr>0</vt:lpwstr>
  </property>
  <property fmtid="{D5CDD505-2E9C-101B-9397-08002B2CF9AE}" pid="9" name="MSIP_Label_71bdff26-5887-4e5c-8426-6e404c233df0_Tag">
    <vt:lpwstr>10, 3, 0, 2</vt:lpwstr>
  </property>
</Properties>
</file>