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b/>
          <w:sz w:val="32"/>
        </w:rPr>
        <w:t>MULTIMODAL PHISHING WEBSITE</w:t>
        <w:br/>
        <w:t>DETECTION USING EXPLAINABLE</w:t>
        <w:br/>
        <w:t>ARTIFICIAL INTELLIGENCE</w:t>
        <w:br/>
      </w:r>
    </w:p>
    <w:p>
      <w:pPr>
        <w:spacing w:after="80"/>
        <w:jc w:val="center"/>
      </w:pPr>
      <w:r>
        <w:rPr>
          <w:b/>
          <w:sz w:val="24"/>
        </w:rPr>
        <w:t>A SEMINAR REPORT</w:t>
        <w:br/>
      </w:r>
      <w:r>
        <w:rPr>
          <w:i/>
          <w:sz w:val="22"/>
        </w:rPr>
        <w:t>submitted by</w:t>
      </w:r>
    </w:p>
    <w:p>
      <w:pPr>
        <w:spacing w:before="200" w:after="280"/>
        <w:jc w:val="center"/>
      </w:pPr>
      <w:r>
        <w:rPr>
          <w:b/>
          <w:sz w:val="26"/>
        </w:rPr>
        <w:t>ABIN BIJU JOSEPH</w:t>
        <w:br/>
      </w:r>
      <w:r>
        <w:rPr>
          <w:b/>
          <w:sz w:val="24"/>
        </w:rPr>
        <w:t>AJC23CS006</w:t>
      </w:r>
    </w:p>
    <w:p>
      <w:pPr>
        <w:spacing w:after="120"/>
        <w:jc w:val="center"/>
      </w:pPr>
      <w:r>
        <w:rPr>
          <w:i/>
          <w:sz w:val="22"/>
        </w:rPr>
        <w:t>to</w:t>
        <w:br/>
      </w:r>
      <w:r>
        <w:t xml:space="preserve">the </w:t>
      </w:r>
      <w:r>
        <w:rPr>
          <w:b/>
        </w:rPr>
        <w:t>APJ Abdul Kalam Technological University</w:t>
        <w:br/>
      </w:r>
      <w:r>
        <w:rPr>
          <w:i/>
        </w:rPr>
        <w:t>in partial fulfillment of the requirement for the award of the Degree of</w:t>
        <w:br/>
      </w:r>
      <w:r>
        <w:rPr>
          <w:b/>
          <w:sz w:val="26"/>
        </w:rPr>
        <w:t>Bachelor of Technology</w:t>
        <w:br/>
      </w:r>
      <w:r>
        <w:rPr>
          <w:i/>
        </w:rPr>
        <w:t>in</w:t>
        <w:br/>
      </w:r>
      <w:r>
        <w:rPr>
          <w:b/>
          <w:sz w:val="26"/>
        </w:rPr>
        <w:t>Computer Science and Engineering</w:t>
      </w:r>
    </w:p>
    <w:p>
      <w:pPr>
        <w:spacing w:before="200" w:after="200"/>
        <w:jc w:val="center"/>
      </w:pPr>
      <w:r>
        <w:rPr>
          <w:i/>
        </w:rPr>
        <w:t>Under the guidance of</w:t>
        <w:br/>
      </w:r>
      <w:r>
        <w:rPr>
          <w:b/>
          <w:sz w:val="26"/>
        </w:rPr>
        <w:t>Prof. Lida K. Kuriakose</w:t>
        <w:br/>
      </w:r>
      <w:r>
        <w:rPr>
          <w:b/>
          <w:sz w:val="22"/>
        </w:rPr>
        <w:t>Assistant Professor</w:t>
      </w:r>
    </w:p>
    <w:p>
      <w:pPr>
        <w:spacing w:before="160" w:after="160"/>
        <w:jc w:val="center"/>
      </w:pPr>
      <w:r>
        <w:drawing>
          <wp:inline xmlns:a="http://schemas.openxmlformats.org/drawingml/2006/main" xmlns:pic="http://schemas.openxmlformats.org/drawingml/2006/picture">
            <wp:extent cx="1371600" cy="1270096"/>
            <wp:docPr id="1" name="Picture 1"/>
            <wp:cNvGraphicFramePr>
              <a:graphicFrameLocks noChangeAspect="1"/>
            </wp:cNvGraphicFramePr>
            <a:graphic>
              <a:graphicData uri="http://schemas.openxmlformats.org/drawingml/2006/picture">
                <pic:pic>
                  <pic:nvPicPr>
                    <pic:cNvPr id="0" name="ajcelogo2023.png"/>
                    <pic:cNvPicPr/>
                  </pic:nvPicPr>
                  <pic:blipFill>
                    <a:blip r:embed="rId9"/>
                    <a:stretch>
                      <a:fillRect/>
                    </a:stretch>
                  </pic:blipFill>
                  <pic:spPr>
                    <a:xfrm>
                      <a:off x="0" y="0"/>
                      <a:ext cx="1371600" cy="1270096"/>
                    </a:xfrm>
                    <a:prstGeom prst="rect"/>
                  </pic:spPr>
                </pic:pic>
              </a:graphicData>
            </a:graphic>
          </wp:inline>
        </w:drawing>
      </w:r>
    </w:p>
    <w:p>
      <w:pPr>
        <w:spacing w:after="40"/>
        <w:jc w:val="center"/>
      </w:pPr>
      <w:r>
        <w:rPr>
          <w:b/>
          <w:sz w:val="24"/>
        </w:rPr>
        <w:t>Department of Computer Science and Engineering</w:t>
        <w:br/>
      </w:r>
      <w:r>
        <w:rPr>
          <w:b/>
          <w:sz w:val="24"/>
        </w:rPr>
        <w:t>Amal Jyothi College of Engineering (Autonomous)</w:t>
        <w:br/>
      </w:r>
      <w:r>
        <w:rPr>
          <w:b/>
          <w:sz w:val="22"/>
        </w:rPr>
        <w:t>Kanjirappally – 686518</w:t>
        <w:br/>
        <w:br/>
      </w:r>
      <w:r>
        <w:rPr>
          <w:b/>
          <w:sz w:val="24"/>
        </w:rPr>
        <w:t>October 2026</w:t>
      </w:r>
    </w:p>
    <w:p>
      <w:r>
        <w:br w:type="page"/>
      </w:r>
    </w:p>
    <w:p>
      <w:pPr>
        <w:spacing w:before="120" w:after="40"/>
        <w:jc w:val="center"/>
      </w:pPr>
      <w:r>
        <w:rPr>
          <w:b/>
          <w:sz w:val="24"/>
        </w:rPr>
        <w:t>DEPARTMENT OF COMPUTER SCIENCE AND ENGINEERING</w:t>
        <w:br/>
      </w:r>
      <w:r>
        <w:rPr>
          <w:b/>
          <w:sz w:val="24"/>
        </w:rPr>
        <w:t>AMAL JYOTHI COLLEGE OF ENGINEERING (AUTONOMOUS)</w:t>
        <w:br/>
      </w:r>
      <w:r>
        <w:rPr>
          <w:b/>
          <w:sz w:val="22"/>
        </w:rPr>
        <w:t>KANJIRAPPALLY – 686518</w:t>
        <w:br/>
      </w:r>
    </w:p>
    <w:p>
      <w:pPr>
        <w:spacing w:before="120" w:after="120"/>
        <w:jc w:val="center"/>
      </w:pPr>
      <w:r>
        <w:drawing>
          <wp:inline xmlns:a="http://schemas.openxmlformats.org/drawingml/2006/main" xmlns:pic="http://schemas.openxmlformats.org/drawingml/2006/picture">
            <wp:extent cx="1188720" cy="1100750"/>
            <wp:docPr id="2" name="Picture 2"/>
            <wp:cNvGraphicFramePr>
              <a:graphicFrameLocks noChangeAspect="1"/>
            </wp:cNvGraphicFramePr>
            <a:graphic>
              <a:graphicData uri="http://schemas.openxmlformats.org/drawingml/2006/picture">
                <pic:pic>
                  <pic:nvPicPr>
                    <pic:cNvPr id="0" name="ajcelogo2023.png"/>
                    <pic:cNvPicPr/>
                  </pic:nvPicPr>
                  <pic:blipFill>
                    <a:blip r:embed="rId9"/>
                    <a:stretch>
                      <a:fillRect/>
                    </a:stretch>
                  </pic:blipFill>
                  <pic:spPr>
                    <a:xfrm>
                      <a:off x="0" y="0"/>
                      <a:ext cx="1188720" cy="1100750"/>
                    </a:xfrm>
                    <a:prstGeom prst="rect"/>
                  </pic:spPr>
                </pic:pic>
              </a:graphicData>
            </a:graphic>
          </wp:inline>
        </w:drawing>
      </w:r>
    </w:p>
    <w:p>
      <w:pPr>
        <w:spacing w:before="120" w:after="280"/>
        <w:jc w:val="center"/>
      </w:pPr>
      <w:r>
        <w:rPr>
          <w:b/>
          <w:sz w:val="28"/>
        </w:rPr>
        <w:t>CERTIFICATE</w:t>
      </w:r>
    </w:p>
    <w:p>
      <w:pPr>
        <w:spacing w:line="360" w:lineRule="auto" w:after="720"/>
        <w:jc w:val="both"/>
      </w:pPr>
      <w:r>
        <w:t xml:space="preserve">This is to certify that the seminar report entitled </w:t>
      </w:r>
      <w:r>
        <w:rPr>
          <w:b/>
        </w:rPr>
        <w:t>“Multimodal Phishing Website Detection Using Explainable Artificial Intelligence”</w:t>
      </w:r>
      <w:r>
        <w:t xml:space="preserve"> submitted by </w:t>
      </w:r>
      <w:r>
        <w:rPr>
          <w:b/>
        </w:rPr>
        <w:t>ABIN BIJU JOSEPH (AJC23CS006)</w:t>
      </w:r>
      <w:r>
        <w:t xml:space="preserve"> to the APJ Abdul Kalam Technological University in partial fulfillment of the requirements for the award of the Degree of Bachelor of Technology in Computer Science and Engineering during the year 2026–2027, is a bonafide work carried out by him under my guidance and supervision.</w:t>
      </w:r>
    </w:p>
    <w:tbl>
      <w:tblPr>
        <w:tblW w:type="auto" w:w="0"/>
        <w:jc w:val="center"/>
        <w:tblLayout w:type="fixed"/>
        <w:tblLook w:firstColumn="1" w:firstRow="1" w:lastColumn="0" w:lastRow="0" w:noHBand="0" w:noVBand="1" w:val="04A0"/>
      </w:tblPr>
      <w:tblGrid>
        <w:gridCol w:w="4399"/>
        <w:gridCol w:w="4399"/>
      </w:tblGrid>
      <w:tr>
        <w:tc>
          <w:tcPr>
            <w:tcW w:type="dxa" w:w="4399"/>
          </w:tcPr>
          <w:p>
            <w:pPr>
              <w:jc w:val="left"/>
            </w:pPr>
            <w:r>
              <w:rPr>
                <w:b/>
                <w:sz w:val="22"/>
              </w:rPr>
              <w:t>Prof. Lida K. Kuriakose</w:t>
              <w:br/>
            </w:r>
            <w:r>
              <w:rPr>
                <w:sz w:val="20"/>
              </w:rPr>
              <w:t>Internal Supervisor</w:t>
              <w:br/>
              <w:t>Assistant Professor</w:t>
            </w:r>
          </w:p>
        </w:tc>
        <w:tc>
          <w:tcPr>
            <w:tcW w:type="dxa" w:w="4399"/>
          </w:tcPr>
          <w:p>
            <w:pPr>
              <w:jc w:val="right"/>
            </w:pPr>
            <w:r>
              <w:rPr>
                <w:b/>
                <w:sz w:val="22"/>
              </w:rPr>
              <w:t>Dr. Anju J Prakash     Ms. Shiney Thomas</w:t>
              <w:br/>
            </w:r>
            <w:r>
              <w:rPr>
                <w:sz w:val="20"/>
              </w:rPr>
              <w:t>Seminar Coordinators</w:t>
            </w:r>
          </w:p>
        </w:tc>
      </w:tr>
      <w:tr>
        <w:tc>
          <w:tcPr>
            <w:tcW w:type="dxa" w:w="8798"/>
            <w:gridSpan w:val="2"/>
          </w:tcPr>
          <w:p>
            <w:pPr>
              <w:spacing w:before="600"/>
              <w:jc w:val="center"/>
            </w:pPr>
            <w:r>
              <w:rPr>
                <w:b/>
                <w:sz w:val="22"/>
              </w:rPr>
              <w:t>Dr. Juby Mathew</w:t>
              <w:br/>
            </w:r>
            <w:r>
              <w:rPr>
                <w:sz w:val="20"/>
              </w:rPr>
              <w:t>Head of Department, CSE</w:t>
            </w:r>
          </w:p>
        </w:tc>
      </w:tr>
    </w:tbl>
    <w:p>
      <w:r>
        <w:br w:type="page"/>
      </w:r>
    </w:p>
    <w:p>
      <w:pPr>
        <w:spacing w:before="240" w:after="320"/>
        <w:jc w:val="center"/>
      </w:pPr>
      <w:r>
        <w:rPr>
          <w:b/>
          <w:sz w:val="28"/>
        </w:rPr>
        <w:t>ACKNOWLEDGEMENT</w:t>
      </w:r>
    </w:p>
    <w:p>
      <w:pPr>
        <w:spacing w:line="360" w:lineRule="auto" w:after="160"/>
        <w:jc w:val="both"/>
      </w:pPr>
      <w:r>
        <w:t xml:space="preserve">First of all, I sincerely thank the </w:t>
      </w:r>
      <w:r>
        <w:rPr>
          <w:b/>
        </w:rPr>
        <w:t>Almighty GOD</w:t>
      </w:r>
      <w:r>
        <w:t xml:space="preserve"> who is most beneficent and merciful for granting me wisdom, endurance, and guidance to complete this seminar successfully.</w:t>
      </w:r>
    </w:p>
    <w:p>
      <w:pPr>
        <w:spacing w:line="360" w:lineRule="auto" w:after="160"/>
        <w:jc w:val="both"/>
      </w:pPr>
      <w:r>
        <w:t xml:space="preserve">I derive immense pleasure in expressing my sincere gratitude to our Manager, </w:t>
      </w:r>
      <w:r>
        <w:rPr>
          <w:b/>
        </w:rPr>
        <w:t>Rev. Fr. Boby Alex Mannamplackal</w:t>
      </w:r>
      <w:r>
        <w:t xml:space="preserve">, our Director (Administrator), </w:t>
      </w:r>
      <w:r>
        <w:rPr>
          <w:b/>
        </w:rPr>
        <w:t>Fr. Dr. Roy Abraham Pazhayaparampil</w:t>
      </w:r>
      <w:r>
        <w:t xml:space="preserve">, and our Principal, </w:t>
      </w:r>
      <w:r>
        <w:rPr>
          <w:b/>
        </w:rPr>
        <w:t>Dr. Lillykutty Jacob</w:t>
      </w:r>
      <w:r>
        <w:t>, for their encouragement and for providing an enriching academic environment with outstanding infrastructure.</w:t>
      </w:r>
    </w:p>
    <w:p>
      <w:pPr>
        <w:spacing w:line="360" w:lineRule="auto" w:after="160"/>
        <w:jc w:val="both"/>
      </w:pPr>
      <w:r>
        <w:t xml:space="preserve">I express my profound gratitude to </w:t>
      </w:r>
      <w:r>
        <w:rPr>
          <w:b/>
        </w:rPr>
        <w:t>Dr. Juby Mathew</w:t>
      </w:r>
      <w:r>
        <w:t>, Head of the Department of Computer Science and Engineering, for his constant administrative support and encouragement throughout the semester.</w:t>
      </w:r>
    </w:p>
    <w:p>
      <w:pPr>
        <w:spacing w:line="360" w:lineRule="auto" w:after="160"/>
        <w:jc w:val="both"/>
      </w:pPr>
      <w:r>
        <w:t xml:space="preserve">I express my deepest gratitude and indebtedness to my faculty guide, </w:t>
      </w:r>
      <w:r>
        <w:rPr>
          <w:b/>
        </w:rPr>
        <w:t>Prof. Lida K. Kuriakose</w:t>
      </w:r>
      <w:r>
        <w:t>, Assistant Professor, Department of Computer Science and Engineering, for her invaluable mentorship, perceptive guidance, and continuous constructive feedback that helped shape this seminar report.</w:t>
      </w:r>
    </w:p>
    <w:p>
      <w:pPr>
        <w:spacing w:line="360" w:lineRule="auto" w:after="160"/>
        <w:jc w:val="both"/>
      </w:pPr>
      <w:r>
        <w:t xml:space="preserve">I also extend my sincere thanks to </w:t>
      </w:r>
      <w:r>
        <w:rPr>
          <w:b/>
        </w:rPr>
        <w:t>Dr. Anju J Prakash</w:t>
      </w:r>
      <w:r>
        <w:t xml:space="preserve"> and </w:t>
      </w:r>
      <w:r>
        <w:rPr>
          <w:b/>
        </w:rPr>
        <w:t>Ms. Shiney Thomas</w:t>
      </w:r>
      <w:r>
        <w:t>, Seminar Coordinators, for their meticulous guidance and support during various stages of this seminar work.</w:t>
      </w:r>
    </w:p>
    <w:p>
      <w:pPr>
        <w:spacing w:line="360" w:lineRule="auto" w:after="160"/>
        <w:jc w:val="both"/>
      </w:pPr>
      <w:r>
        <w:t>I place on record my heartfelt thanks to all the faculty and non-teaching staff members of the Department of Computer Science and Engineering for their kind assistance and encouragement.</w:t>
      </w:r>
    </w:p>
    <w:p>
      <w:pPr>
        <w:spacing w:line="360" w:lineRule="auto" w:after="160"/>
        <w:jc w:val="both"/>
      </w:pPr>
      <w:r>
        <w:t>Finally, I express my heartfelt love and appreciation to my parents and friends for their moral support, understanding, and encouragement throughout my studies.</w:t>
      </w:r>
    </w:p>
    <w:p>
      <w:pPr>
        <w:spacing w:before="720"/>
        <w:jc w:val="right"/>
      </w:pPr>
      <w:r>
        <w:rPr>
          <w:b/>
        </w:rPr>
        <w:t>Abin Biju Joseph</w:t>
        <w:br/>
      </w:r>
      <w:r>
        <w:rPr>
          <w:b/>
        </w:rPr>
        <w:t>AJC23CS006</w:t>
      </w:r>
    </w:p>
    <w:p>
      <w:r>
        <w:br w:type="page"/>
      </w:r>
    </w:p>
    <w:p>
      <w:pPr>
        <w:spacing w:before="240" w:after="320"/>
        <w:jc w:val="center"/>
      </w:pPr>
      <w:r>
        <w:rPr>
          <w:b/>
          <w:sz w:val="28"/>
        </w:rPr>
        <w:t>ABSTRACT</w:t>
      </w:r>
    </w:p>
    <w:p>
      <w:pPr>
        <w:spacing w:line="360" w:lineRule="auto" w:after="200"/>
        <w:jc w:val="both"/>
      </w:pPr>
      <w:r>
        <w:t>Phishing cyberattacks have evolved into sophisticated, multi-vector social engineering campaigns capable of evading traditional defensive perimeter mechanisms, including static Uniform Resource Locator (URL) blacklists, dynamic heuristics, and single-modality machine learning detectors. Modern adversarial strategies dynamically adapt website layouts, register evasive typosquatted and homograph domains, geofence analytical web crawlers, and obfuscate Document Object Model (DOM) code using polymorphic JavaScript routines. These evasion mechanisms systematically undermine single-modality classifiers that inspect only lexical tokens, network metadata, or page content in isolation.</w:t>
      </w:r>
    </w:p>
    <w:p>
      <w:pPr>
        <w:spacing w:line="360" w:lineRule="auto" w:after="200"/>
        <w:jc w:val="both"/>
      </w:pPr>
      <w:r>
        <w:t>To overcome these fundamental detection and interpretability bottlenecks, this seminar investigates a state-of-the-art Multimodal Phishing Detection and Incident Response Architecture grounded in Explainable Artificial Intelligence (XAI). The proposed framework aggregates four complementary data modalities to render robust, evasion-resistant predictions: (1) tabular lexical and network metadata features processed through gradient-boosted decision trees (CatBoost); (2) sequential character-level URL syntax captured by a 1D Convolutional Neural Network (1D-CNN); (3) structural HTML source code semantics analyzed using a fine-tuned CodeBERT bidirectional Transformer; and (4) visual interface screenshots rendered through a pre-trained EfficientNet-B7 deep convolutional backbone.</w:t>
      </w:r>
    </w:p>
    <w:p>
      <w:pPr>
        <w:spacing w:line="360" w:lineRule="auto" w:after="200"/>
        <w:jc w:val="both"/>
      </w:pPr>
      <w:r>
        <w:t>The outputs of these specialized branches are synthesized through a trainable late-fusion meta-classifier optimized under asymmetric misclassification costs, minimizing operationally catastrophic false negatives. Concurrently, an integrated multimodal explainability suite decouples the classification decision into interpretable attributions using SHAP (SHapley Additive exPlanations) for tabular metrics, Integrated Gradients for character tokens, self-attention maps for DOM tags, and Gradient-weighted Class Activation Mapping (Grad-CAM) for visual brand mimicry overlays.</w:t>
      </w:r>
    </w:p>
    <w:p>
      <w:pPr>
        <w:spacing w:line="360" w:lineRule="auto" w:after="200"/>
        <w:jc w:val="both"/>
      </w:pPr>
      <w:r>
        <w:t>To bridge the usability gap in Security Operations Center (SOC) enterprise triage, the generated mathematical attributions are contextualized by a local Large Language Model (LLM) agent augmented with Retrieval-Augmented Generation (RAG). The LLM automatically synthesizes structured, natural-language incident summaries mapped directly to the MITRE ATT&amp;CK enterprise matrix. Evaluated on comprehensive enterprise corpora and live zero-day honeypot feeds, the late-fusion pipeline achieves a superior F1-score of 0.989, intercepts live zero-day attacks with an 8.0% evasion rate compared to 59.0% for Google Safe Browsing, maintains an end-to-end classification latency of 108.6 ms, and reduces human analyst incident verification latency by over 80%.</w:t>
      </w:r>
    </w:p>
    <w:p>
      <w:r>
        <w:br w:type="page"/>
      </w:r>
    </w:p>
    <w:p>
      <w:pPr>
        <w:spacing w:before="240" w:after="320"/>
        <w:jc w:val="center"/>
      </w:pPr>
      <w:r>
        <w:rPr>
          <w:b/>
          <w:sz w:val="28"/>
        </w:rPr>
        <w:t>TABLE OF CONTENTS</w:t>
      </w:r>
    </w:p>
    <w:tbl>
      <w:tblPr>
        <w:tblW w:type="auto" w:w="0"/>
        <w:jc w:val="center"/>
        <w:tblLook w:firstColumn="1" w:firstRow="1" w:lastColumn="0" w:lastRow="0" w:noHBand="0" w:noVBand="1" w:val="04A0"/>
      </w:tblPr>
      <w:tblGrid>
        <w:gridCol w:w="4399"/>
        <w:gridCol w:w="4399"/>
      </w:tblGrid>
      <w:tr>
        <w:tc>
          <w:tcPr>
            <w:tcW w:type="dxa" w:w="8352"/>
          </w:tcPr>
          <w:p>
            <w:pPr>
              <w:spacing w:before="40" w:after="40" w:line="276" w:lineRule="auto"/>
            </w:pPr>
            <w:r>
              <w:rPr>
                <w:b/>
              </w:rPr>
              <w:t>ACKNOWLEDGEMENT</w:t>
            </w:r>
          </w:p>
        </w:tc>
        <w:tc>
          <w:tcPr>
            <w:tcW w:type="dxa" w:w="1008"/>
          </w:tcPr>
          <w:p>
            <w:pPr>
              <w:spacing w:before="40" w:after="40" w:line="276" w:lineRule="auto"/>
              <w:jc w:val="right"/>
            </w:pPr>
            <w:r>
              <w:rPr>
                <w:b/>
              </w:rPr>
              <w:t>i</w:t>
            </w:r>
          </w:p>
        </w:tc>
      </w:tr>
      <w:tr>
        <w:tc>
          <w:tcPr>
            <w:tcW w:type="dxa" w:w="8352"/>
          </w:tcPr>
          <w:p>
            <w:pPr>
              <w:spacing w:before="40" w:after="40" w:line="276" w:lineRule="auto"/>
            </w:pPr>
            <w:r>
              <w:rPr>
                <w:b/>
              </w:rPr>
              <w:t>ABSTRACT</w:t>
            </w:r>
          </w:p>
        </w:tc>
        <w:tc>
          <w:tcPr>
            <w:tcW w:type="dxa" w:w="1008"/>
          </w:tcPr>
          <w:p>
            <w:pPr>
              <w:spacing w:before="40" w:after="40" w:line="276" w:lineRule="auto"/>
              <w:jc w:val="right"/>
            </w:pPr>
            <w:r>
              <w:rPr>
                <w:b/>
              </w:rPr>
              <w:t>ii</w:t>
            </w:r>
          </w:p>
        </w:tc>
      </w:tr>
      <w:tr>
        <w:tc>
          <w:tcPr>
            <w:tcW w:type="dxa" w:w="8352"/>
          </w:tcPr>
          <w:p>
            <w:pPr>
              <w:spacing w:before="40" w:after="40" w:line="276" w:lineRule="auto"/>
            </w:pPr>
            <w:r>
              <w:rPr>
                <w:b/>
              </w:rPr>
              <w:t>ABBREVIATIONS</w:t>
            </w:r>
          </w:p>
        </w:tc>
        <w:tc>
          <w:tcPr>
            <w:tcW w:type="dxa" w:w="1008"/>
          </w:tcPr>
          <w:p>
            <w:pPr>
              <w:spacing w:before="40" w:after="40" w:line="276" w:lineRule="auto"/>
              <w:jc w:val="right"/>
            </w:pPr>
            <w:r>
              <w:rPr>
                <w:b/>
              </w:rPr>
              <w:t>viii</w:t>
            </w:r>
          </w:p>
        </w:tc>
      </w:tr>
      <w:tr>
        <w:tc>
          <w:tcPr>
            <w:tcW w:type="dxa" w:w="8352"/>
          </w:tcPr>
          <w:p>
            <w:pPr>
              <w:spacing w:before="40" w:after="40" w:line="276" w:lineRule="auto"/>
            </w:pPr>
            <w:r>
              <w:rPr>
                <w:b/>
              </w:rPr>
              <w:t>1   Introduction</w:t>
            </w:r>
          </w:p>
        </w:tc>
        <w:tc>
          <w:tcPr>
            <w:tcW w:type="dxa" w:w="1008"/>
          </w:tcPr>
          <w:p>
            <w:pPr>
              <w:spacing w:before="40" w:after="40" w:line="276" w:lineRule="auto"/>
              <w:jc w:val="right"/>
            </w:pPr>
            <w:r>
              <w:rPr>
                <w:b/>
              </w:rPr>
              <w:t>1</w:t>
            </w:r>
          </w:p>
        </w:tc>
      </w:tr>
      <w:tr>
        <w:tc>
          <w:tcPr>
            <w:tcW w:type="dxa" w:w="8352"/>
          </w:tcPr>
          <w:p>
            <w:pPr>
              <w:spacing w:before="40" w:after="40" w:line="276" w:lineRule="auto"/>
            </w:pPr>
            <w:r>
              <w:t xml:space="preserve">    1.1   Overview</w:t>
            </w:r>
          </w:p>
        </w:tc>
        <w:tc>
          <w:tcPr>
            <w:tcW w:type="dxa" w:w="1008"/>
          </w:tcPr>
          <w:p>
            <w:pPr>
              <w:spacing w:before="40" w:after="40" w:line="276" w:lineRule="auto"/>
              <w:jc w:val="right"/>
            </w:pPr>
            <w:r>
              <w:t>1</w:t>
            </w:r>
          </w:p>
        </w:tc>
      </w:tr>
      <w:tr>
        <w:tc>
          <w:tcPr>
            <w:tcW w:type="dxa" w:w="8352"/>
          </w:tcPr>
          <w:p>
            <w:pPr>
              <w:spacing w:before="40" w:after="40" w:line="276" w:lineRule="auto"/>
            </w:pPr>
            <w:r>
              <w:t xml:space="preserve">    1.2   Motivation and Problem Statement</w:t>
            </w:r>
          </w:p>
        </w:tc>
        <w:tc>
          <w:tcPr>
            <w:tcW w:type="dxa" w:w="1008"/>
          </w:tcPr>
          <w:p>
            <w:pPr>
              <w:spacing w:before="40" w:after="40" w:line="276" w:lineRule="auto"/>
              <w:jc w:val="right"/>
            </w:pPr>
            <w:r>
              <w:t>2</w:t>
            </w:r>
          </w:p>
        </w:tc>
      </w:tr>
      <w:tr>
        <w:tc>
          <w:tcPr>
            <w:tcW w:type="dxa" w:w="8352"/>
          </w:tcPr>
          <w:p>
            <w:pPr>
              <w:spacing w:before="40" w:after="40" w:line="276" w:lineRule="auto"/>
            </w:pPr>
            <w:r>
              <w:t xml:space="preserve">    1.3   Objectives of the Seminar Study</w:t>
            </w:r>
          </w:p>
        </w:tc>
        <w:tc>
          <w:tcPr>
            <w:tcW w:type="dxa" w:w="1008"/>
          </w:tcPr>
          <w:p>
            <w:pPr>
              <w:spacing w:before="40" w:after="40" w:line="276" w:lineRule="auto"/>
              <w:jc w:val="right"/>
            </w:pPr>
            <w:r>
              <w:t>3</w:t>
            </w:r>
          </w:p>
        </w:tc>
      </w:tr>
      <w:tr>
        <w:tc>
          <w:tcPr>
            <w:tcW w:type="dxa" w:w="8352"/>
          </w:tcPr>
          <w:p>
            <w:pPr>
              <w:spacing w:before="40" w:after="40" w:line="276" w:lineRule="auto"/>
            </w:pPr>
            <w:r>
              <w:t xml:space="preserve">    1.4   Report Organization</w:t>
            </w:r>
          </w:p>
        </w:tc>
        <w:tc>
          <w:tcPr>
            <w:tcW w:type="dxa" w:w="1008"/>
          </w:tcPr>
          <w:p>
            <w:pPr>
              <w:spacing w:before="40" w:after="40" w:line="276" w:lineRule="auto"/>
              <w:jc w:val="right"/>
            </w:pPr>
            <w:r>
              <w:t>4</w:t>
            </w:r>
          </w:p>
        </w:tc>
      </w:tr>
      <w:tr>
        <w:tc>
          <w:tcPr>
            <w:tcW w:type="dxa" w:w="8352"/>
          </w:tcPr>
          <w:p>
            <w:pPr>
              <w:spacing w:before="40" w:after="40" w:line="276" w:lineRule="auto"/>
            </w:pPr>
            <w:r>
              <w:rPr>
                <w:b/>
              </w:rPr>
              <w:t>2   Literature Survey</w:t>
            </w:r>
          </w:p>
        </w:tc>
        <w:tc>
          <w:tcPr>
            <w:tcW w:type="dxa" w:w="1008"/>
          </w:tcPr>
          <w:p>
            <w:pPr>
              <w:spacing w:before="40" w:after="40" w:line="276" w:lineRule="auto"/>
              <w:jc w:val="right"/>
            </w:pPr>
            <w:r>
              <w:rPr>
                <w:b/>
              </w:rPr>
              <w:t>5</w:t>
            </w:r>
          </w:p>
        </w:tc>
      </w:tr>
      <w:tr>
        <w:tc>
          <w:tcPr>
            <w:tcW w:type="dxa" w:w="8352"/>
          </w:tcPr>
          <w:p>
            <w:pPr>
              <w:spacing w:before="40" w:after="40" w:line="276" w:lineRule="auto"/>
            </w:pPr>
            <w:r>
              <w:t xml:space="preserve">    2.1   Evolution of Phishing Detection Systems</w:t>
            </w:r>
          </w:p>
        </w:tc>
        <w:tc>
          <w:tcPr>
            <w:tcW w:type="dxa" w:w="1008"/>
          </w:tcPr>
          <w:p>
            <w:pPr>
              <w:spacing w:before="40" w:after="40" w:line="276" w:lineRule="auto"/>
              <w:jc w:val="right"/>
            </w:pPr>
            <w:r>
              <w:t>5</w:t>
            </w:r>
          </w:p>
        </w:tc>
      </w:tr>
      <w:tr>
        <w:tc>
          <w:tcPr>
            <w:tcW w:type="dxa" w:w="8352"/>
          </w:tcPr>
          <w:p>
            <w:pPr>
              <w:spacing w:before="40" w:after="40" w:line="276" w:lineRule="auto"/>
            </w:pPr>
            <w:r>
              <w:t xml:space="preserve">    2.2   Behavior-Based Multichannel Phishing Detection via EM-BERT and SPCA</w:t>
            </w:r>
          </w:p>
        </w:tc>
        <w:tc>
          <w:tcPr>
            <w:tcW w:type="dxa" w:w="1008"/>
          </w:tcPr>
          <w:p>
            <w:pPr>
              <w:spacing w:before="40" w:after="40" w:line="276" w:lineRule="auto"/>
              <w:jc w:val="right"/>
            </w:pPr>
            <w:r>
              <w:t>6</w:t>
            </w:r>
          </w:p>
        </w:tc>
      </w:tr>
      <w:tr>
        <w:tc>
          <w:tcPr>
            <w:tcW w:type="dxa" w:w="8352"/>
          </w:tcPr>
          <w:p>
            <w:pPr>
              <w:spacing w:before="40" w:after="40" w:line="276" w:lineRule="auto"/>
            </w:pPr>
            <w:r>
              <w:t xml:space="preserve">    2.3   Dynamic Optimization for Symbolic URL Analysis in Cloud Environments (DAOA-DLPC)</w:t>
            </w:r>
          </w:p>
        </w:tc>
        <w:tc>
          <w:tcPr>
            <w:tcW w:type="dxa" w:w="1008"/>
          </w:tcPr>
          <w:p>
            <w:pPr>
              <w:spacing w:before="40" w:after="40" w:line="276" w:lineRule="auto"/>
              <w:jc w:val="right"/>
            </w:pPr>
            <w:r>
              <w:t>7</w:t>
            </w:r>
          </w:p>
        </w:tc>
      </w:tr>
      <w:tr>
        <w:tc>
          <w:tcPr>
            <w:tcW w:type="dxa" w:w="8352"/>
          </w:tcPr>
          <w:p>
            <w:pPr>
              <w:spacing w:before="40" w:after="40" w:line="276" w:lineRule="auto"/>
            </w:pPr>
            <w:r>
              <w:t xml:space="preserve">    2.4   Comparative Evaluation of Convolutional and Recurrent Architectures</w:t>
            </w:r>
          </w:p>
        </w:tc>
        <w:tc>
          <w:tcPr>
            <w:tcW w:type="dxa" w:w="1008"/>
          </w:tcPr>
          <w:p>
            <w:pPr>
              <w:spacing w:before="40" w:after="40" w:line="276" w:lineRule="auto"/>
              <w:jc w:val="right"/>
            </w:pPr>
            <w:r>
              <w:t>8</w:t>
            </w:r>
          </w:p>
        </w:tc>
      </w:tr>
      <w:tr>
        <w:tc>
          <w:tcPr>
            <w:tcW w:type="dxa" w:w="8352"/>
          </w:tcPr>
          <w:p>
            <w:pPr>
              <w:spacing w:before="40" w:after="40" w:line="276" w:lineRule="auto"/>
            </w:pPr>
            <w:r>
              <w:t xml:space="preserve">    2.5   Paradigm Shift: Multimodal Late Fusion and Explainability</w:t>
            </w:r>
          </w:p>
        </w:tc>
        <w:tc>
          <w:tcPr>
            <w:tcW w:type="dxa" w:w="1008"/>
          </w:tcPr>
          <w:p>
            <w:pPr>
              <w:spacing w:before="40" w:after="40" w:line="276" w:lineRule="auto"/>
              <w:jc w:val="right"/>
            </w:pPr>
            <w:r>
              <w:t>9</w:t>
            </w:r>
          </w:p>
        </w:tc>
      </w:tr>
      <w:tr>
        <w:tc>
          <w:tcPr>
            <w:tcW w:type="dxa" w:w="8352"/>
          </w:tcPr>
          <w:p>
            <w:pPr>
              <w:spacing w:before="40" w:after="40" w:line="276" w:lineRule="auto"/>
            </w:pPr>
            <w:r>
              <w:rPr>
                <w:b/>
              </w:rPr>
              <w:t>3   Proposed Methodology</w:t>
            </w:r>
          </w:p>
        </w:tc>
        <w:tc>
          <w:tcPr>
            <w:tcW w:type="dxa" w:w="1008"/>
          </w:tcPr>
          <w:p>
            <w:pPr>
              <w:spacing w:before="40" w:after="40" w:line="276" w:lineRule="auto"/>
              <w:jc w:val="right"/>
            </w:pPr>
            <w:r>
              <w:rPr>
                <w:b/>
              </w:rPr>
              <w:t>11</w:t>
            </w:r>
          </w:p>
        </w:tc>
      </w:tr>
      <w:tr>
        <w:tc>
          <w:tcPr>
            <w:tcW w:type="dxa" w:w="8352"/>
          </w:tcPr>
          <w:p>
            <w:pPr>
              <w:spacing w:before="40" w:after="40" w:line="276" w:lineRule="auto"/>
            </w:pPr>
            <w:r>
              <w:t xml:space="preserve">    3.1   System Architecture Overview</w:t>
            </w:r>
          </w:p>
        </w:tc>
        <w:tc>
          <w:tcPr>
            <w:tcW w:type="dxa" w:w="1008"/>
          </w:tcPr>
          <w:p>
            <w:pPr>
              <w:spacing w:before="40" w:after="40" w:line="276" w:lineRule="auto"/>
              <w:jc w:val="right"/>
            </w:pPr>
            <w:r>
              <w:t>11</w:t>
            </w:r>
          </w:p>
        </w:tc>
      </w:tr>
      <w:tr>
        <w:tc>
          <w:tcPr>
            <w:tcW w:type="dxa" w:w="8352"/>
          </w:tcPr>
          <w:p>
            <w:pPr>
              <w:spacing w:before="40" w:after="40" w:line="276" w:lineRule="auto"/>
            </w:pPr>
            <w:r>
              <w:t xml:space="preserve">    3.2   Modality 1: Tabular URL Features and Metadata via CatBoost</w:t>
            </w:r>
          </w:p>
        </w:tc>
        <w:tc>
          <w:tcPr>
            <w:tcW w:type="dxa" w:w="1008"/>
          </w:tcPr>
          <w:p>
            <w:pPr>
              <w:spacing w:before="40" w:after="40" w:line="276" w:lineRule="auto"/>
              <w:jc w:val="right"/>
            </w:pPr>
            <w:r>
              <w:t>11</w:t>
            </w:r>
          </w:p>
        </w:tc>
      </w:tr>
      <w:tr>
        <w:tc>
          <w:tcPr>
            <w:tcW w:type="dxa" w:w="8352"/>
          </w:tcPr>
          <w:p>
            <w:pPr>
              <w:spacing w:before="40" w:after="40" w:line="276" w:lineRule="auto"/>
            </w:pPr>
            <w:r>
              <w:t xml:space="preserve">        3.2.1   Feature Engineering Pipeline</w:t>
            </w:r>
          </w:p>
        </w:tc>
        <w:tc>
          <w:tcPr>
            <w:tcW w:type="dxa" w:w="1008"/>
          </w:tcPr>
          <w:p>
            <w:pPr>
              <w:spacing w:before="40" w:after="40" w:line="276" w:lineRule="auto"/>
              <w:jc w:val="right"/>
            </w:pPr>
            <w:r>
              <w:t>11</w:t>
            </w:r>
          </w:p>
        </w:tc>
      </w:tr>
      <w:tr>
        <w:tc>
          <w:tcPr>
            <w:tcW w:type="dxa" w:w="8352"/>
          </w:tcPr>
          <w:p>
            <w:pPr>
              <w:spacing w:before="40" w:after="40" w:line="276" w:lineRule="auto"/>
            </w:pPr>
            <w:r>
              <w:t xml:space="preserve">        3.2.2   CatBoost Classification Model</w:t>
            </w:r>
          </w:p>
        </w:tc>
        <w:tc>
          <w:tcPr>
            <w:tcW w:type="dxa" w:w="1008"/>
          </w:tcPr>
          <w:p>
            <w:pPr>
              <w:spacing w:before="40" w:after="40" w:line="276" w:lineRule="auto"/>
              <w:jc w:val="right"/>
            </w:pPr>
            <w:r>
              <w:t>12</w:t>
            </w:r>
          </w:p>
        </w:tc>
      </w:tr>
      <w:tr>
        <w:tc>
          <w:tcPr>
            <w:tcW w:type="dxa" w:w="8352"/>
          </w:tcPr>
          <w:p>
            <w:pPr>
              <w:spacing w:before="40" w:after="40" w:line="276" w:lineRule="auto"/>
            </w:pPr>
            <w:r>
              <w:t xml:space="preserve">    3.3   Modality 2: Character-Level Symbolic URL via 1D-CNN</w:t>
            </w:r>
          </w:p>
        </w:tc>
        <w:tc>
          <w:tcPr>
            <w:tcW w:type="dxa" w:w="1008"/>
          </w:tcPr>
          <w:p>
            <w:pPr>
              <w:spacing w:before="40" w:after="40" w:line="276" w:lineRule="auto"/>
              <w:jc w:val="right"/>
            </w:pPr>
            <w:r>
              <w:t>13</w:t>
            </w:r>
          </w:p>
        </w:tc>
      </w:tr>
      <w:tr>
        <w:tc>
          <w:tcPr>
            <w:tcW w:type="dxa" w:w="8352"/>
          </w:tcPr>
          <w:p>
            <w:pPr>
              <w:spacing w:before="40" w:after="40" w:line="276" w:lineRule="auto"/>
            </w:pPr>
            <w:r>
              <w:t xml:space="preserve">        3.3.1   Character Representation</w:t>
            </w:r>
          </w:p>
        </w:tc>
        <w:tc>
          <w:tcPr>
            <w:tcW w:type="dxa" w:w="1008"/>
          </w:tcPr>
          <w:p>
            <w:pPr>
              <w:spacing w:before="40" w:after="40" w:line="276" w:lineRule="auto"/>
              <w:jc w:val="right"/>
            </w:pPr>
            <w:r>
              <w:t>13</w:t>
            </w:r>
          </w:p>
        </w:tc>
      </w:tr>
      <w:tr>
        <w:tc>
          <w:tcPr>
            <w:tcW w:type="dxa" w:w="8352"/>
          </w:tcPr>
          <w:p>
            <w:pPr>
              <w:spacing w:before="40" w:after="40" w:line="276" w:lineRule="auto"/>
            </w:pPr>
            <w:r>
              <w:t xml:space="preserve">        3.3.2   Convolutional Feature Extraction</w:t>
            </w:r>
          </w:p>
        </w:tc>
        <w:tc>
          <w:tcPr>
            <w:tcW w:type="dxa" w:w="1008"/>
          </w:tcPr>
          <w:p>
            <w:pPr>
              <w:spacing w:before="40" w:after="40" w:line="276" w:lineRule="auto"/>
              <w:jc w:val="right"/>
            </w:pPr>
            <w:r>
              <w:t>13</w:t>
            </w:r>
          </w:p>
        </w:tc>
      </w:tr>
      <w:tr>
        <w:tc>
          <w:tcPr>
            <w:tcW w:type="dxa" w:w="8352"/>
          </w:tcPr>
          <w:p>
            <w:pPr>
              <w:spacing w:before="40" w:after="40" w:line="276" w:lineRule="auto"/>
            </w:pPr>
            <w:r>
              <w:t xml:space="preserve">    3.4   Modality 3: HTML Source Code Representation via Fine-Tuned CodeBERT</w:t>
            </w:r>
          </w:p>
        </w:tc>
        <w:tc>
          <w:tcPr>
            <w:tcW w:type="dxa" w:w="1008"/>
          </w:tcPr>
          <w:p>
            <w:pPr>
              <w:spacing w:before="40" w:after="40" w:line="276" w:lineRule="auto"/>
              <w:jc w:val="right"/>
            </w:pPr>
            <w:r>
              <w:t>14</w:t>
            </w:r>
          </w:p>
        </w:tc>
      </w:tr>
      <w:tr>
        <w:tc>
          <w:tcPr>
            <w:tcW w:type="dxa" w:w="8352"/>
          </w:tcPr>
          <w:p>
            <w:pPr>
              <w:spacing w:before="40" w:after="40" w:line="276" w:lineRule="auto"/>
            </w:pPr>
            <w:r>
              <w:t xml:space="preserve">        3.4.1   Transformer Architecture and Pre-training</w:t>
            </w:r>
          </w:p>
        </w:tc>
        <w:tc>
          <w:tcPr>
            <w:tcW w:type="dxa" w:w="1008"/>
          </w:tcPr>
          <w:p>
            <w:pPr>
              <w:spacing w:before="40" w:after="40" w:line="276" w:lineRule="auto"/>
              <w:jc w:val="right"/>
            </w:pPr>
            <w:r>
              <w:t>14</w:t>
            </w:r>
          </w:p>
        </w:tc>
      </w:tr>
      <w:tr>
        <w:tc>
          <w:tcPr>
            <w:tcW w:type="dxa" w:w="8352"/>
          </w:tcPr>
          <w:p>
            <w:pPr>
              <w:spacing w:before="40" w:after="40" w:line="276" w:lineRule="auto"/>
            </w:pPr>
            <w:r>
              <w:t xml:space="preserve">        3.4.2   DOM Preprocessing and Tokenization</w:t>
            </w:r>
          </w:p>
        </w:tc>
        <w:tc>
          <w:tcPr>
            <w:tcW w:type="dxa" w:w="1008"/>
          </w:tcPr>
          <w:p>
            <w:pPr>
              <w:spacing w:before="40" w:after="40" w:line="276" w:lineRule="auto"/>
              <w:jc w:val="right"/>
            </w:pPr>
            <w:r>
              <w:t>14</w:t>
            </w:r>
          </w:p>
        </w:tc>
      </w:tr>
      <w:tr>
        <w:tc>
          <w:tcPr>
            <w:tcW w:type="dxa" w:w="8352"/>
          </w:tcPr>
          <w:p>
            <w:pPr>
              <w:spacing w:before="40" w:after="40" w:line="276" w:lineRule="auto"/>
            </w:pPr>
            <w:r>
              <w:t xml:space="preserve">    3.5   Modality 4: Screenshot-Based Visual Analysis via EfficientNet-B7</w:t>
            </w:r>
          </w:p>
        </w:tc>
        <w:tc>
          <w:tcPr>
            <w:tcW w:type="dxa" w:w="1008"/>
          </w:tcPr>
          <w:p>
            <w:pPr>
              <w:spacing w:before="40" w:after="40" w:line="276" w:lineRule="auto"/>
              <w:jc w:val="right"/>
            </w:pPr>
            <w:r>
              <w:t>14</w:t>
            </w:r>
          </w:p>
        </w:tc>
      </w:tr>
      <w:tr>
        <w:tc>
          <w:tcPr>
            <w:tcW w:type="dxa" w:w="8352"/>
          </w:tcPr>
          <w:p>
            <w:pPr>
              <w:spacing w:before="40" w:after="40" w:line="276" w:lineRule="auto"/>
            </w:pPr>
            <w:r>
              <w:t xml:space="preserve">        3.5.1   Image Capture and Normalization</w:t>
            </w:r>
          </w:p>
        </w:tc>
        <w:tc>
          <w:tcPr>
            <w:tcW w:type="dxa" w:w="1008"/>
          </w:tcPr>
          <w:p>
            <w:pPr>
              <w:spacing w:before="40" w:after="40" w:line="276" w:lineRule="auto"/>
              <w:jc w:val="right"/>
            </w:pPr>
            <w:r>
              <w:t>15</w:t>
            </w:r>
          </w:p>
        </w:tc>
      </w:tr>
      <w:tr>
        <w:tc>
          <w:tcPr>
            <w:tcW w:type="dxa" w:w="8352"/>
          </w:tcPr>
          <w:p>
            <w:pPr>
              <w:spacing w:before="40" w:after="40" w:line="276" w:lineRule="auto"/>
            </w:pPr>
            <w:r>
              <w:t xml:space="preserve">        3.5.2   EfficientNet-B7 Backbone</w:t>
            </w:r>
          </w:p>
        </w:tc>
        <w:tc>
          <w:tcPr>
            <w:tcW w:type="dxa" w:w="1008"/>
          </w:tcPr>
          <w:p>
            <w:pPr>
              <w:spacing w:before="40" w:after="40" w:line="276" w:lineRule="auto"/>
              <w:jc w:val="right"/>
            </w:pPr>
            <w:r>
              <w:t>15</w:t>
            </w:r>
          </w:p>
        </w:tc>
      </w:tr>
      <w:tr>
        <w:tc>
          <w:tcPr>
            <w:tcW w:type="dxa" w:w="8352"/>
          </w:tcPr>
          <w:p>
            <w:pPr>
              <w:spacing w:before="40" w:after="40" w:line="276" w:lineRule="auto"/>
            </w:pPr>
            <w:r>
              <w:t xml:space="preserve">    3.6   Late-Fusion Trainable Meta-Classifier</w:t>
            </w:r>
          </w:p>
        </w:tc>
        <w:tc>
          <w:tcPr>
            <w:tcW w:type="dxa" w:w="1008"/>
          </w:tcPr>
          <w:p>
            <w:pPr>
              <w:spacing w:before="40" w:after="40" w:line="276" w:lineRule="auto"/>
              <w:jc w:val="right"/>
            </w:pPr>
            <w:r>
              <w:t>15</w:t>
            </w:r>
          </w:p>
        </w:tc>
      </w:tr>
      <w:tr>
        <w:tc>
          <w:tcPr>
            <w:tcW w:type="dxa" w:w="8352"/>
          </w:tcPr>
          <w:p>
            <w:pPr>
              <w:spacing w:before="40" w:after="40" w:line="276" w:lineRule="auto"/>
            </w:pPr>
            <w:r>
              <w:t xml:space="preserve">        3.6.1   Cost-Sensitive Optimization</w:t>
            </w:r>
          </w:p>
        </w:tc>
        <w:tc>
          <w:tcPr>
            <w:tcW w:type="dxa" w:w="1008"/>
          </w:tcPr>
          <w:p>
            <w:pPr>
              <w:spacing w:before="40" w:after="40" w:line="276" w:lineRule="auto"/>
              <w:jc w:val="right"/>
            </w:pPr>
            <w:r>
              <w:t>15</w:t>
            </w:r>
          </w:p>
        </w:tc>
      </w:tr>
      <w:tr>
        <w:tc>
          <w:tcPr>
            <w:tcW w:type="dxa" w:w="8352"/>
          </w:tcPr>
          <w:p>
            <w:pPr>
              <w:spacing w:before="40" w:after="40" w:line="276" w:lineRule="auto"/>
            </w:pPr>
            <w:r>
              <w:t xml:space="preserve">    3.7   Multimodal Explainable AI (XAI) Suite</w:t>
            </w:r>
          </w:p>
        </w:tc>
        <w:tc>
          <w:tcPr>
            <w:tcW w:type="dxa" w:w="1008"/>
          </w:tcPr>
          <w:p>
            <w:pPr>
              <w:spacing w:before="40" w:after="40" w:line="276" w:lineRule="auto"/>
              <w:jc w:val="right"/>
            </w:pPr>
            <w:r>
              <w:t>16</w:t>
            </w:r>
          </w:p>
        </w:tc>
      </w:tr>
      <w:tr>
        <w:tc>
          <w:tcPr>
            <w:tcW w:type="dxa" w:w="8352"/>
          </w:tcPr>
          <w:p>
            <w:pPr>
              <w:spacing w:before="40" w:after="40" w:line="276" w:lineRule="auto"/>
            </w:pPr>
            <w:r>
              <w:t xml:space="preserve">    3.8   Local LLM Agent for Consolidated Incident Reporting</w:t>
            </w:r>
          </w:p>
        </w:tc>
        <w:tc>
          <w:tcPr>
            <w:tcW w:type="dxa" w:w="1008"/>
          </w:tcPr>
          <w:p>
            <w:pPr>
              <w:spacing w:before="40" w:after="40" w:line="276" w:lineRule="auto"/>
              <w:jc w:val="right"/>
            </w:pPr>
            <w:r>
              <w:t>17</w:t>
            </w:r>
          </w:p>
        </w:tc>
      </w:tr>
      <w:tr>
        <w:tc>
          <w:tcPr>
            <w:tcW w:type="dxa" w:w="8352"/>
          </w:tcPr>
          <w:p>
            <w:pPr>
              <w:spacing w:before="40" w:after="40" w:line="276" w:lineRule="auto"/>
            </w:pPr>
            <w:r>
              <w:t xml:space="preserve">    3.9   Microservice Deployment and SIEM Streaming Pipeline</w:t>
            </w:r>
          </w:p>
        </w:tc>
        <w:tc>
          <w:tcPr>
            <w:tcW w:type="dxa" w:w="1008"/>
          </w:tcPr>
          <w:p>
            <w:pPr>
              <w:spacing w:before="40" w:after="40" w:line="276" w:lineRule="auto"/>
              <w:jc w:val="right"/>
            </w:pPr>
            <w:r>
              <w:t>17</w:t>
            </w:r>
          </w:p>
        </w:tc>
      </w:tr>
      <w:tr>
        <w:tc>
          <w:tcPr>
            <w:tcW w:type="dxa" w:w="8352"/>
          </w:tcPr>
          <w:p>
            <w:pPr>
              <w:spacing w:before="40" w:after="40" w:line="276" w:lineRule="auto"/>
            </w:pPr>
            <w:r>
              <w:rPr>
                <w:b/>
              </w:rPr>
              <w:t>4   Results and Discussions</w:t>
            </w:r>
          </w:p>
        </w:tc>
        <w:tc>
          <w:tcPr>
            <w:tcW w:type="dxa" w:w="1008"/>
          </w:tcPr>
          <w:p>
            <w:pPr>
              <w:spacing w:before="40" w:after="40" w:line="276" w:lineRule="auto"/>
              <w:jc w:val="right"/>
            </w:pPr>
            <w:r>
              <w:rPr>
                <w:b/>
              </w:rPr>
              <w:t>19</w:t>
            </w:r>
          </w:p>
        </w:tc>
      </w:tr>
      <w:tr>
        <w:tc>
          <w:tcPr>
            <w:tcW w:type="dxa" w:w="8352"/>
          </w:tcPr>
          <w:p>
            <w:pPr>
              <w:spacing w:before="40" w:after="40" w:line="276" w:lineRule="auto"/>
            </w:pPr>
            <w:r>
              <w:t xml:space="preserve">    4.1   Experimental Setup and Benchmark Datasets</w:t>
            </w:r>
          </w:p>
        </w:tc>
        <w:tc>
          <w:tcPr>
            <w:tcW w:type="dxa" w:w="1008"/>
          </w:tcPr>
          <w:p>
            <w:pPr>
              <w:spacing w:before="40" w:after="40" w:line="276" w:lineRule="auto"/>
              <w:jc w:val="right"/>
            </w:pPr>
            <w:r>
              <w:t>19</w:t>
            </w:r>
          </w:p>
        </w:tc>
      </w:tr>
      <w:tr>
        <w:tc>
          <w:tcPr>
            <w:tcW w:type="dxa" w:w="8352"/>
          </w:tcPr>
          <w:p>
            <w:pPr>
              <w:spacing w:before="40" w:after="40" w:line="276" w:lineRule="auto"/>
            </w:pPr>
            <w:r>
              <w:t xml:space="preserve">        4.1.1   Dataset Profiles</w:t>
            </w:r>
          </w:p>
        </w:tc>
        <w:tc>
          <w:tcPr>
            <w:tcW w:type="dxa" w:w="1008"/>
          </w:tcPr>
          <w:p>
            <w:pPr>
              <w:spacing w:before="40" w:after="40" w:line="276" w:lineRule="auto"/>
              <w:jc w:val="right"/>
            </w:pPr>
            <w:r>
              <w:t>19</w:t>
            </w:r>
          </w:p>
        </w:tc>
      </w:tr>
      <w:tr>
        <w:tc>
          <w:tcPr>
            <w:tcW w:type="dxa" w:w="8352"/>
          </w:tcPr>
          <w:p>
            <w:pPr>
              <w:spacing w:before="40" w:after="40" w:line="276" w:lineRule="auto"/>
            </w:pPr>
            <w:r>
              <w:t xml:space="preserve">        4.1.2   Hardware and Computing Environment</w:t>
            </w:r>
          </w:p>
        </w:tc>
        <w:tc>
          <w:tcPr>
            <w:tcW w:type="dxa" w:w="1008"/>
          </w:tcPr>
          <w:p>
            <w:pPr>
              <w:spacing w:before="40" w:after="40" w:line="276" w:lineRule="auto"/>
              <w:jc w:val="right"/>
            </w:pPr>
            <w:r>
              <w:t>19</w:t>
            </w:r>
          </w:p>
        </w:tc>
      </w:tr>
      <w:tr>
        <w:tc>
          <w:tcPr>
            <w:tcW w:type="dxa" w:w="8352"/>
          </w:tcPr>
          <w:p>
            <w:pPr>
              <w:spacing w:before="40" w:after="40" w:line="276" w:lineRule="auto"/>
            </w:pPr>
            <w:r>
              <w:t xml:space="preserve">    4.2   Performance Evaluation Metrics</w:t>
            </w:r>
          </w:p>
        </w:tc>
        <w:tc>
          <w:tcPr>
            <w:tcW w:type="dxa" w:w="1008"/>
          </w:tcPr>
          <w:p>
            <w:pPr>
              <w:spacing w:before="40" w:after="40" w:line="276" w:lineRule="auto"/>
              <w:jc w:val="right"/>
            </w:pPr>
            <w:r>
              <w:t>20</w:t>
            </w:r>
          </w:p>
        </w:tc>
      </w:tr>
      <w:tr>
        <w:tc>
          <w:tcPr>
            <w:tcW w:type="dxa" w:w="8352"/>
          </w:tcPr>
          <w:p>
            <w:pPr>
              <w:spacing w:before="40" w:after="40" w:line="276" w:lineRule="auto"/>
            </w:pPr>
            <w:r>
              <w:t xml:space="preserve">    4.3   Multimodal Late Fusion vs Individual Modality Branches</w:t>
            </w:r>
          </w:p>
        </w:tc>
        <w:tc>
          <w:tcPr>
            <w:tcW w:type="dxa" w:w="1008"/>
          </w:tcPr>
          <w:p>
            <w:pPr>
              <w:spacing w:before="40" w:after="40" w:line="276" w:lineRule="auto"/>
              <w:jc w:val="right"/>
            </w:pPr>
            <w:r>
              <w:t>20</w:t>
            </w:r>
          </w:p>
        </w:tc>
      </w:tr>
      <w:tr>
        <w:tc>
          <w:tcPr>
            <w:tcW w:type="dxa" w:w="8352"/>
          </w:tcPr>
          <w:p>
            <w:pPr>
              <w:spacing w:before="40" w:after="40" w:line="276" w:lineRule="auto"/>
            </w:pPr>
            <w:r>
              <w:t xml:space="preserve">    4.4   Zero-Day Phishing Detection Benchmark</w:t>
            </w:r>
          </w:p>
        </w:tc>
        <w:tc>
          <w:tcPr>
            <w:tcW w:type="dxa" w:w="1008"/>
          </w:tcPr>
          <w:p>
            <w:pPr>
              <w:spacing w:before="40" w:after="40" w:line="276" w:lineRule="auto"/>
              <w:jc w:val="right"/>
            </w:pPr>
            <w:r>
              <w:t>21</w:t>
            </w:r>
          </w:p>
        </w:tc>
      </w:tr>
      <w:tr>
        <w:tc>
          <w:tcPr>
            <w:tcW w:type="dxa" w:w="8352"/>
          </w:tcPr>
          <w:p>
            <w:pPr>
              <w:spacing w:before="40" w:after="40" w:line="276" w:lineRule="auto"/>
            </w:pPr>
            <w:r>
              <w:t xml:space="preserve">    4.5   SOC Analyst Usability and Interpretability Evaluation</w:t>
            </w:r>
          </w:p>
        </w:tc>
        <w:tc>
          <w:tcPr>
            <w:tcW w:type="dxa" w:w="1008"/>
          </w:tcPr>
          <w:p>
            <w:pPr>
              <w:spacing w:before="40" w:after="40" w:line="276" w:lineRule="auto"/>
              <w:jc w:val="right"/>
            </w:pPr>
            <w:r>
              <w:t>21</w:t>
            </w:r>
          </w:p>
        </w:tc>
      </w:tr>
      <w:tr>
        <w:tc>
          <w:tcPr>
            <w:tcW w:type="dxa" w:w="8352"/>
          </w:tcPr>
          <w:p>
            <w:pPr>
              <w:spacing w:before="40" w:after="40" w:line="276" w:lineRule="auto"/>
            </w:pPr>
            <w:r>
              <w:t xml:space="preserve">    4.6   System Latency and Microservice Throughput</w:t>
            </w:r>
          </w:p>
        </w:tc>
        <w:tc>
          <w:tcPr>
            <w:tcW w:type="dxa" w:w="1008"/>
          </w:tcPr>
          <w:p>
            <w:pPr>
              <w:spacing w:before="40" w:after="40" w:line="276" w:lineRule="auto"/>
              <w:jc w:val="right"/>
            </w:pPr>
            <w:r>
              <w:t>23</w:t>
            </w:r>
          </w:p>
        </w:tc>
      </w:tr>
      <w:tr>
        <w:tc>
          <w:tcPr>
            <w:tcW w:type="dxa" w:w="8352"/>
          </w:tcPr>
          <w:p>
            <w:pPr>
              <w:spacing w:before="40" w:after="40" w:line="276" w:lineRule="auto"/>
            </w:pPr>
            <w:r>
              <w:rPr>
                <w:b/>
              </w:rPr>
              <w:t>5   Conclusion and Future Work</w:t>
            </w:r>
          </w:p>
        </w:tc>
        <w:tc>
          <w:tcPr>
            <w:tcW w:type="dxa" w:w="1008"/>
          </w:tcPr>
          <w:p>
            <w:pPr>
              <w:spacing w:before="40" w:after="40" w:line="276" w:lineRule="auto"/>
              <w:jc w:val="right"/>
            </w:pPr>
            <w:r>
              <w:rPr>
                <w:b/>
              </w:rPr>
              <w:t>24</w:t>
            </w:r>
          </w:p>
        </w:tc>
      </w:tr>
      <w:tr>
        <w:tc>
          <w:tcPr>
            <w:tcW w:type="dxa" w:w="8352"/>
          </w:tcPr>
          <w:p>
            <w:pPr>
              <w:spacing w:before="40" w:after="40" w:line="276" w:lineRule="auto"/>
            </w:pPr>
            <w:r>
              <w:t xml:space="preserve">    5.1   Summary of Seminar Work</w:t>
            </w:r>
          </w:p>
        </w:tc>
        <w:tc>
          <w:tcPr>
            <w:tcW w:type="dxa" w:w="1008"/>
          </w:tcPr>
          <w:p>
            <w:pPr>
              <w:spacing w:before="40" w:after="40" w:line="276" w:lineRule="auto"/>
              <w:jc w:val="right"/>
            </w:pPr>
            <w:r>
              <w:t>24</w:t>
            </w:r>
          </w:p>
        </w:tc>
      </w:tr>
      <w:tr>
        <w:tc>
          <w:tcPr>
            <w:tcW w:type="dxa" w:w="8352"/>
          </w:tcPr>
          <w:p>
            <w:pPr>
              <w:spacing w:before="40" w:after="40" w:line="276" w:lineRule="auto"/>
            </w:pPr>
            <w:r>
              <w:t xml:space="preserve">    5.2   Key Contributions</w:t>
            </w:r>
          </w:p>
        </w:tc>
        <w:tc>
          <w:tcPr>
            <w:tcW w:type="dxa" w:w="1008"/>
          </w:tcPr>
          <w:p>
            <w:pPr>
              <w:spacing w:before="40" w:after="40" w:line="276" w:lineRule="auto"/>
              <w:jc w:val="right"/>
            </w:pPr>
            <w:r>
              <w:t>24</w:t>
            </w:r>
          </w:p>
        </w:tc>
      </w:tr>
      <w:tr>
        <w:tc>
          <w:tcPr>
            <w:tcW w:type="dxa" w:w="8352"/>
          </w:tcPr>
          <w:p>
            <w:pPr>
              <w:spacing w:before="40" w:after="40" w:line="276" w:lineRule="auto"/>
            </w:pPr>
            <w:r>
              <w:t xml:space="preserve">    5.3   Operational Limitations and Challenges</w:t>
            </w:r>
          </w:p>
        </w:tc>
        <w:tc>
          <w:tcPr>
            <w:tcW w:type="dxa" w:w="1008"/>
          </w:tcPr>
          <w:p>
            <w:pPr>
              <w:spacing w:before="40" w:after="40" w:line="276" w:lineRule="auto"/>
              <w:jc w:val="right"/>
            </w:pPr>
            <w:r>
              <w:t>25</w:t>
            </w:r>
          </w:p>
        </w:tc>
      </w:tr>
      <w:tr>
        <w:tc>
          <w:tcPr>
            <w:tcW w:type="dxa" w:w="8352"/>
          </w:tcPr>
          <w:p>
            <w:pPr>
              <w:spacing w:before="40" w:after="40" w:line="276" w:lineRule="auto"/>
            </w:pPr>
            <w:r>
              <w:t xml:space="preserve">    5.4   Future Research Directions</w:t>
            </w:r>
          </w:p>
        </w:tc>
        <w:tc>
          <w:tcPr>
            <w:tcW w:type="dxa" w:w="1008"/>
          </w:tcPr>
          <w:p>
            <w:pPr>
              <w:spacing w:before="40" w:after="40" w:line="276" w:lineRule="auto"/>
              <w:jc w:val="right"/>
            </w:pPr>
            <w:r>
              <w:t>25</w:t>
            </w:r>
          </w:p>
        </w:tc>
      </w:tr>
      <w:tr>
        <w:tc>
          <w:tcPr>
            <w:tcW w:type="dxa" w:w="8352"/>
          </w:tcPr>
          <w:p>
            <w:pPr>
              <w:spacing w:before="40" w:after="40" w:line="276" w:lineRule="auto"/>
            </w:pPr>
            <w:r>
              <w:rPr>
                <w:b/>
              </w:rPr>
              <w:t>REFERENCES</w:t>
            </w:r>
          </w:p>
        </w:tc>
        <w:tc>
          <w:tcPr>
            <w:tcW w:type="dxa" w:w="1008"/>
          </w:tcPr>
          <w:p>
            <w:pPr>
              <w:spacing w:before="40" w:after="40" w:line="276" w:lineRule="auto"/>
              <w:jc w:val="right"/>
            </w:pPr>
            <w:r>
              <w:rPr>
                <w:b/>
              </w:rPr>
              <w:t>27</w:t>
            </w:r>
          </w:p>
        </w:tc>
      </w:tr>
      <w:tr>
        <w:tc>
          <w:tcPr>
            <w:tcW w:type="dxa" w:w="8352"/>
          </w:tcPr>
          <w:p>
            <w:pPr>
              <w:spacing w:before="40" w:after="40" w:line="276" w:lineRule="auto"/>
            </w:pPr>
            <w:r>
              <w:rPr>
                <w:b/>
              </w:rPr>
              <w:t>A   Sample Implementation Source Code</w:t>
            </w:r>
          </w:p>
        </w:tc>
        <w:tc>
          <w:tcPr>
            <w:tcW w:type="dxa" w:w="1008"/>
          </w:tcPr>
          <w:p>
            <w:pPr>
              <w:spacing w:before="40" w:after="40" w:line="276" w:lineRule="auto"/>
              <w:jc w:val="right"/>
            </w:pPr>
            <w:r>
              <w:rPr>
                <w:b/>
              </w:rPr>
              <w:t>29</w:t>
            </w:r>
          </w:p>
        </w:tc>
      </w:tr>
      <w:tr>
        <w:tc>
          <w:tcPr>
            <w:tcW w:type="dxa" w:w="8352"/>
          </w:tcPr>
          <w:p>
            <w:pPr>
              <w:spacing w:before="40" w:after="40" w:line="276" w:lineRule="auto"/>
            </w:pPr>
            <w:r>
              <w:rPr>
                <w:b/>
              </w:rPr>
              <w:t>B   Sample Generated Incident Report for SOC Triage</w:t>
            </w:r>
          </w:p>
        </w:tc>
        <w:tc>
          <w:tcPr>
            <w:tcW w:type="dxa" w:w="1008"/>
          </w:tcPr>
          <w:p>
            <w:pPr>
              <w:spacing w:before="40" w:after="40" w:line="276" w:lineRule="auto"/>
              <w:jc w:val="right"/>
            </w:pPr>
            <w:r>
              <w:rPr>
                <w:b/>
              </w:rPr>
              <w:t>31</w:t>
            </w:r>
          </w:p>
        </w:tc>
      </w:tr>
    </w:tbl>
    <w:p>
      <w:r>
        <w:br w:type="page"/>
      </w:r>
    </w:p>
    <w:p>
      <w:pPr>
        <w:spacing w:before="240" w:after="320"/>
        <w:jc w:val="center"/>
      </w:pPr>
      <w:r>
        <w:rPr>
          <w:b/>
          <w:sz w:val="28"/>
        </w:rPr>
        <w:t>LIST OF TABLES</w:t>
      </w:r>
    </w:p>
    <w:tbl>
      <w:tblPr>
        <w:tblW w:type="auto" w:w="0"/>
        <w:jc w:val="center"/>
        <w:tblLook w:firstColumn="1" w:firstRow="1" w:lastColumn="0" w:lastRow="0" w:noHBand="0" w:noVBand="1" w:val="04A0"/>
      </w:tblPr>
      <w:tblGrid>
        <w:gridCol w:w="2933"/>
        <w:gridCol w:w="2933"/>
        <w:gridCol w:w="2933"/>
      </w:tblGrid>
      <w:tr>
        <w:tc>
          <w:tcPr>
            <w:tcW w:type="dxa" w:w="1152"/>
          </w:tcPr>
          <w:p>
            <w:pPr>
              <w:spacing w:before="60" w:after="60"/>
            </w:pPr>
            <w:r>
              <w:rPr>
                <w:b/>
              </w:rPr>
              <w:t>Table 2.1</w:t>
            </w:r>
          </w:p>
        </w:tc>
        <w:tc>
          <w:tcPr>
            <w:tcW w:type="dxa" w:w="7200"/>
          </w:tcPr>
          <w:p>
            <w:pPr>
              <w:spacing w:before="60" w:after="60"/>
            </w:pPr>
            <w:r>
              <w:t>Comparison of Existing State-of-the-Art Phishing Detection Literature</w:t>
            </w:r>
          </w:p>
        </w:tc>
        <w:tc>
          <w:tcPr>
            <w:tcW w:type="dxa" w:w="1008"/>
          </w:tcPr>
          <w:p>
            <w:pPr>
              <w:spacing w:before="60" w:after="60"/>
              <w:jc w:val="right"/>
            </w:pPr>
            <w:r>
              <w:t>10</w:t>
            </w:r>
          </w:p>
        </w:tc>
      </w:tr>
      <w:tr>
        <w:tc>
          <w:tcPr>
            <w:tcW w:type="dxa" w:w="1152"/>
          </w:tcPr>
          <w:p>
            <w:pPr>
              <w:spacing w:before="60" w:after="60"/>
            </w:pPr>
            <w:r>
              <w:rPr>
                <w:b/>
              </w:rPr>
              <w:t>Table 4.1</w:t>
            </w:r>
          </w:p>
        </w:tc>
        <w:tc>
          <w:tcPr>
            <w:tcW w:type="dxa" w:w="7200"/>
          </w:tcPr>
          <w:p>
            <w:pPr>
              <w:spacing w:before="60" w:after="60"/>
            </w:pPr>
            <w:r>
              <w:t>Comparative Performance of Standalone Branches vs. Multimodal Late Fusion</w:t>
            </w:r>
          </w:p>
        </w:tc>
        <w:tc>
          <w:tcPr>
            <w:tcW w:type="dxa" w:w="1008"/>
          </w:tcPr>
          <w:p>
            <w:pPr>
              <w:spacing w:before="60" w:after="60"/>
              <w:jc w:val="right"/>
            </w:pPr>
            <w:r>
              <w:t>20</w:t>
            </w:r>
          </w:p>
        </w:tc>
      </w:tr>
      <w:tr>
        <w:tc>
          <w:tcPr>
            <w:tcW w:type="dxa" w:w="1152"/>
          </w:tcPr>
          <w:p>
            <w:pPr>
              <w:spacing w:before="60" w:after="60"/>
            </w:pPr>
            <w:r>
              <w:rPr>
                <w:b/>
              </w:rPr>
              <w:t>Table 4.2</w:t>
            </w:r>
          </w:p>
        </w:tc>
        <w:tc>
          <w:tcPr>
            <w:tcW w:type="dxa" w:w="7200"/>
          </w:tcPr>
          <w:p>
            <w:pPr>
              <w:spacing w:before="60" w:after="60"/>
            </w:pPr>
            <w:r>
              <w:t>Zero-Day Detection Benchmark on 100 Live Unindexed Phishing Websites</w:t>
            </w:r>
          </w:p>
        </w:tc>
        <w:tc>
          <w:tcPr>
            <w:tcW w:type="dxa" w:w="1008"/>
          </w:tcPr>
          <w:p>
            <w:pPr>
              <w:spacing w:before="60" w:after="60"/>
              <w:jc w:val="right"/>
            </w:pPr>
            <w:r>
              <w:t>21</w:t>
            </w:r>
          </w:p>
        </w:tc>
      </w:tr>
      <w:tr>
        <w:tc>
          <w:tcPr>
            <w:tcW w:type="dxa" w:w="1152"/>
          </w:tcPr>
          <w:p>
            <w:pPr>
              <w:spacing w:before="60" w:after="60"/>
            </w:pPr>
            <w:r>
              <w:rPr>
                <w:b/>
              </w:rPr>
              <w:t>Table 4.3</w:t>
            </w:r>
          </w:p>
        </w:tc>
        <w:tc>
          <w:tcPr>
            <w:tcW w:type="dxa" w:w="7200"/>
          </w:tcPr>
          <w:p>
            <w:pPr>
              <w:spacing w:before="60" w:after="60"/>
            </w:pPr>
            <w:r>
              <w:t>SOC Analyst Usability and Interpretability Evaluation Scores (Scale: 1–5)</w:t>
            </w:r>
          </w:p>
        </w:tc>
        <w:tc>
          <w:tcPr>
            <w:tcW w:type="dxa" w:w="1008"/>
          </w:tcPr>
          <w:p>
            <w:pPr>
              <w:spacing w:before="60" w:after="60"/>
              <w:jc w:val="right"/>
            </w:pPr>
            <w:r>
              <w:t>22</w:t>
            </w:r>
          </w:p>
        </w:tc>
      </w:tr>
      <w:tr>
        <w:tc>
          <w:tcPr>
            <w:tcW w:type="dxa" w:w="1152"/>
          </w:tcPr>
          <w:p>
            <w:pPr>
              <w:spacing w:before="60" w:after="60"/>
            </w:pPr>
            <w:r>
              <w:rPr>
                <w:b/>
              </w:rPr>
              <w:t>Table 4.4</w:t>
            </w:r>
          </w:p>
        </w:tc>
        <w:tc>
          <w:tcPr>
            <w:tcW w:type="dxa" w:w="7200"/>
          </w:tcPr>
          <w:p>
            <w:pPr>
              <w:spacing w:before="60" w:after="60"/>
            </w:pPr>
            <w:r>
              <w:t>Component-Wise Execution Latency and Computational Overhead</w:t>
            </w:r>
          </w:p>
        </w:tc>
        <w:tc>
          <w:tcPr>
            <w:tcW w:type="dxa" w:w="1008"/>
          </w:tcPr>
          <w:p>
            <w:pPr>
              <w:spacing w:before="60" w:after="60"/>
              <w:jc w:val="right"/>
            </w:pPr>
            <w:r>
              <w:t>23</w:t>
            </w:r>
          </w:p>
        </w:tc>
      </w:tr>
    </w:tbl>
    <w:p>
      <w:pPr>
        <w:spacing w:after="400"/>
      </w:pPr>
    </w:p>
    <w:p>
      <w:pPr>
        <w:spacing w:before="240" w:after="320"/>
        <w:jc w:val="center"/>
      </w:pPr>
      <w:r>
        <w:rPr>
          <w:b/>
          <w:sz w:val="28"/>
        </w:rPr>
        <w:t>LIST OF FIGURES</w:t>
      </w:r>
    </w:p>
    <w:tbl>
      <w:tblPr>
        <w:tblW w:type="auto" w:w="0"/>
        <w:jc w:val="center"/>
        <w:tblLook w:firstColumn="1" w:firstRow="1" w:lastColumn="0" w:lastRow="0" w:noHBand="0" w:noVBand="1" w:val="04A0"/>
      </w:tblPr>
      <w:tblGrid>
        <w:gridCol w:w="2933"/>
        <w:gridCol w:w="2933"/>
        <w:gridCol w:w="2933"/>
      </w:tblGrid>
      <w:tr>
        <w:tc>
          <w:tcPr>
            <w:tcW w:type="dxa" w:w="1152"/>
          </w:tcPr>
          <w:p>
            <w:r>
              <w:rPr>
                <w:b/>
              </w:rPr>
              <w:t>Figure 3.1</w:t>
            </w:r>
          </w:p>
        </w:tc>
        <w:tc>
          <w:tcPr>
            <w:tcW w:type="dxa" w:w="7200"/>
          </w:tcPr>
          <w:p>
            <w:r>
              <w:t>End-to-End Multimodal Late-Fusion Architecture with Explainable AI</w:t>
            </w:r>
          </w:p>
        </w:tc>
        <w:tc>
          <w:tcPr>
            <w:tcW w:type="dxa" w:w="1008"/>
          </w:tcPr>
          <w:p>
            <w:pPr>
              <w:jc w:val="right"/>
            </w:pPr>
            <w:r>
              <w:t>12</w:t>
            </w:r>
          </w:p>
        </w:tc>
      </w:tr>
    </w:tbl>
    <w:p>
      <w:r>
        <w:br w:type="page"/>
      </w:r>
    </w:p>
    <w:p>
      <w:pPr>
        <w:spacing w:before="240" w:after="320"/>
        <w:jc w:val="center"/>
      </w:pPr>
      <w:r>
        <w:rPr>
          <w:b/>
          <w:sz w:val="28"/>
        </w:rPr>
        <w:t>ABBREVIATIONS</w:t>
      </w:r>
    </w:p>
    <w:tbl>
      <w:tblPr>
        <w:tblW w:type="auto" w:w="0"/>
        <w:jc w:val="center"/>
        <w:tblLook w:firstColumn="1" w:firstRow="1" w:lastColumn="0" w:lastRow="0" w:noHBand="0" w:noVBand="1" w:val="04A0"/>
      </w:tblPr>
      <w:tblGrid>
        <w:gridCol w:w="4399"/>
        <w:gridCol w:w="4399"/>
      </w:tblGrid>
      <w:tr>
        <w:tc>
          <w:tcPr>
            <w:tcW w:type="dxa" w:w="2592"/>
          </w:tcPr>
          <w:p>
            <w:pPr>
              <w:spacing w:before="40" w:after="40" w:line="276" w:lineRule="auto"/>
            </w:pPr>
            <w:r>
              <w:rPr>
                <w:b/>
              </w:rPr>
              <w:t>AI</w:t>
            </w:r>
          </w:p>
        </w:tc>
        <w:tc>
          <w:tcPr>
            <w:tcW w:type="dxa" w:w="6768"/>
          </w:tcPr>
          <w:p>
            <w:pPr>
              <w:spacing w:before="40" w:after="40" w:line="276" w:lineRule="auto"/>
            </w:pPr>
            <w:r>
              <w:t>Artificial Intelligence</w:t>
            </w:r>
          </w:p>
        </w:tc>
      </w:tr>
      <w:tr>
        <w:tc>
          <w:tcPr>
            <w:tcW w:type="dxa" w:w="2592"/>
          </w:tcPr>
          <w:p>
            <w:pPr>
              <w:spacing w:before="40" w:after="40" w:line="276" w:lineRule="auto"/>
            </w:pPr>
            <w:r>
              <w:rPr>
                <w:b/>
              </w:rPr>
              <w:t>API</w:t>
            </w:r>
          </w:p>
        </w:tc>
        <w:tc>
          <w:tcPr>
            <w:tcW w:type="dxa" w:w="6768"/>
          </w:tcPr>
          <w:p>
            <w:pPr>
              <w:spacing w:before="40" w:after="40" w:line="276" w:lineRule="auto"/>
            </w:pPr>
            <w:r>
              <w:t>Application Programming Interface</w:t>
            </w:r>
          </w:p>
        </w:tc>
      </w:tr>
      <w:tr>
        <w:tc>
          <w:tcPr>
            <w:tcW w:type="dxa" w:w="2592"/>
          </w:tcPr>
          <w:p>
            <w:pPr>
              <w:spacing w:before="40" w:after="40" w:line="276" w:lineRule="auto"/>
            </w:pPr>
            <w:r>
              <w:rPr>
                <w:b/>
              </w:rPr>
              <w:t>ASN</w:t>
            </w:r>
          </w:p>
        </w:tc>
        <w:tc>
          <w:tcPr>
            <w:tcW w:type="dxa" w:w="6768"/>
          </w:tcPr>
          <w:p>
            <w:pPr>
              <w:spacing w:before="40" w:after="40" w:line="276" w:lineRule="auto"/>
            </w:pPr>
            <w:r>
              <w:t>Autonomous System Number</w:t>
            </w:r>
          </w:p>
        </w:tc>
      </w:tr>
      <w:tr>
        <w:tc>
          <w:tcPr>
            <w:tcW w:type="dxa" w:w="2592"/>
          </w:tcPr>
          <w:p>
            <w:pPr>
              <w:spacing w:before="40" w:after="40" w:line="276" w:lineRule="auto"/>
            </w:pPr>
            <w:r>
              <w:rPr>
                <w:b/>
              </w:rPr>
              <w:t>BERT</w:t>
            </w:r>
          </w:p>
        </w:tc>
        <w:tc>
          <w:tcPr>
            <w:tcW w:type="dxa" w:w="6768"/>
          </w:tcPr>
          <w:p>
            <w:pPr>
              <w:spacing w:before="40" w:after="40" w:line="276" w:lineRule="auto"/>
            </w:pPr>
            <w:r>
              <w:t>Bidirectional Encoder Representations from Transformers</w:t>
            </w:r>
          </w:p>
        </w:tc>
      </w:tr>
      <w:tr>
        <w:tc>
          <w:tcPr>
            <w:tcW w:type="dxa" w:w="2592"/>
          </w:tcPr>
          <w:p>
            <w:pPr>
              <w:spacing w:before="40" w:after="40" w:line="276" w:lineRule="auto"/>
            </w:pPr>
            <w:r>
              <w:rPr>
                <w:b/>
              </w:rPr>
              <w:t>BiLSTM</w:t>
            </w:r>
          </w:p>
        </w:tc>
        <w:tc>
          <w:tcPr>
            <w:tcW w:type="dxa" w:w="6768"/>
          </w:tcPr>
          <w:p>
            <w:pPr>
              <w:spacing w:before="40" w:after="40" w:line="276" w:lineRule="auto"/>
            </w:pPr>
            <w:r>
              <w:t>Bidirectional Long Short-Term Memory</w:t>
            </w:r>
          </w:p>
        </w:tc>
      </w:tr>
      <w:tr>
        <w:tc>
          <w:tcPr>
            <w:tcW w:type="dxa" w:w="2592"/>
          </w:tcPr>
          <w:p>
            <w:pPr>
              <w:spacing w:before="40" w:after="40" w:line="276" w:lineRule="auto"/>
            </w:pPr>
            <w:r>
              <w:rPr>
                <w:b/>
              </w:rPr>
              <w:t>CNN</w:t>
            </w:r>
          </w:p>
        </w:tc>
        <w:tc>
          <w:tcPr>
            <w:tcW w:type="dxa" w:w="6768"/>
          </w:tcPr>
          <w:p>
            <w:pPr>
              <w:spacing w:before="40" w:after="40" w:line="276" w:lineRule="auto"/>
            </w:pPr>
            <w:r>
              <w:t>Convolutional Neural Network</w:t>
            </w:r>
          </w:p>
        </w:tc>
      </w:tr>
      <w:tr>
        <w:tc>
          <w:tcPr>
            <w:tcW w:type="dxa" w:w="2592"/>
          </w:tcPr>
          <w:p>
            <w:pPr>
              <w:spacing w:before="40" w:after="40" w:line="276" w:lineRule="auto"/>
            </w:pPr>
            <w:r>
              <w:rPr>
                <w:b/>
              </w:rPr>
              <w:t>1D-CNN</w:t>
            </w:r>
          </w:p>
        </w:tc>
        <w:tc>
          <w:tcPr>
            <w:tcW w:type="dxa" w:w="6768"/>
          </w:tcPr>
          <w:p>
            <w:pPr>
              <w:spacing w:before="40" w:after="40" w:line="276" w:lineRule="auto"/>
            </w:pPr>
            <w:r>
              <w:t>One-Dimensional Convolutional Neural Network</w:t>
            </w:r>
          </w:p>
        </w:tc>
      </w:tr>
      <w:tr>
        <w:tc>
          <w:tcPr>
            <w:tcW w:type="dxa" w:w="2592"/>
          </w:tcPr>
          <w:p>
            <w:pPr>
              <w:spacing w:before="40" w:after="40" w:line="276" w:lineRule="auto"/>
            </w:pPr>
            <w:r>
              <w:rPr>
                <w:b/>
              </w:rPr>
              <w:t>DAOA</w:t>
            </w:r>
          </w:p>
        </w:tc>
        <w:tc>
          <w:tcPr>
            <w:tcW w:type="dxa" w:w="6768"/>
          </w:tcPr>
          <w:p>
            <w:pPr>
              <w:spacing w:before="40" w:after="40" w:line="276" w:lineRule="auto"/>
            </w:pPr>
            <w:r>
              <w:t>Dynamic Arithmetic Optimization Algorithm</w:t>
            </w:r>
          </w:p>
        </w:tc>
      </w:tr>
      <w:tr>
        <w:tc>
          <w:tcPr>
            <w:tcW w:type="dxa" w:w="2592"/>
          </w:tcPr>
          <w:p>
            <w:pPr>
              <w:spacing w:before="40" w:after="40" w:line="276" w:lineRule="auto"/>
            </w:pPr>
            <w:r>
              <w:rPr>
                <w:b/>
              </w:rPr>
              <w:t>DOM</w:t>
            </w:r>
          </w:p>
        </w:tc>
        <w:tc>
          <w:tcPr>
            <w:tcW w:type="dxa" w:w="6768"/>
          </w:tcPr>
          <w:p>
            <w:pPr>
              <w:spacing w:before="40" w:after="40" w:line="276" w:lineRule="auto"/>
            </w:pPr>
            <w:r>
              <w:t>Document Object Model</w:t>
            </w:r>
          </w:p>
        </w:tc>
      </w:tr>
      <w:tr>
        <w:tc>
          <w:tcPr>
            <w:tcW w:type="dxa" w:w="2592"/>
          </w:tcPr>
          <w:p>
            <w:pPr>
              <w:spacing w:before="40" w:after="40" w:line="276" w:lineRule="auto"/>
            </w:pPr>
            <w:r>
              <w:rPr>
                <w:b/>
              </w:rPr>
              <w:t>DNS</w:t>
            </w:r>
          </w:p>
        </w:tc>
        <w:tc>
          <w:tcPr>
            <w:tcW w:type="dxa" w:w="6768"/>
          </w:tcPr>
          <w:p>
            <w:pPr>
              <w:spacing w:before="40" w:after="40" w:line="276" w:lineRule="auto"/>
            </w:pPr>
            <w:r>
              <w:t>Domain Name System</w:t>
            </w:r>
          </w:p>
        </w:tc>
      </w:tr>
      <w:tr>
        <w:tc>
          <w:tcPr>
            <w:tcW w:type="dxa" w:w="2592"/>
          </w:tcPr>
          <w:p>
            <w:pPr>
              <w:spacing w:before="40" w:after="40" w:line="276" w:lineRule="auto"/>
            </w:pPr>
            <w:r>
              <w:rPr>
                <w:b/>
              </w:rPr>
              <w:t>F1</w:t>
            </w:r>
          </w:p>
        </w:tc>
        <w:tc>
          <w:tcPr>
            <w:tcW w:type="dxa" w:w="6768"/>
          </w:tcPr>
          <w:p>
            <w:pPr>
              <w:spacing w:before="40" w:after="40" w:line="276" w:lineRule="auto"/>
            </w:pPr>
            <w:r>
              <w:t>Harmonic Mean of Precision and Recall</w:t>
            </w:r>
          </w:p>
        </w:tc>
      </w:tr>
      <w:tr>
        <w:tc>
          <w:tcPr>
            <w:tcW w:type="dxa" w:w="2592"/>
          </w:tcPr>
          <w:p>
            <w:pPr>
              <w:spacing w:before="40" w:after="40" w:line="276" w:lineRule="auto"/>
            </w:pPr>
            <w:r>
              <w:rPr>
                <w:b/>
              </w:rPr>
              <w:t>FPR</w:t>
            </w:r>
          </w:p>
        </w:tc>
        <w:tc>
          <w:tcPr>
            <w:tcW w:type="dxa" w:w="6768"/>
          </w:tcPr>
          <w:p>
            <w:pPr>
              <w:spacing w:before="40" w:after="40" w:line="276" w:lineRule="auto"/>
            </w:pPr>
            <w:r>
              <w:t>False Positive Rate</w:t>
            </w:r>
          </w:p>
        </w:tc>
      </w:tr>
      <w:tr>
        <w:tc>
          <w:tcPr>
            <w:tcW w:type="dxa" w:w="2592"/>
          </w:tcPr>
          <w:p>
            <w:pPr>
              <w:spacing w:before="40" w:after="40" w:line="276" w:lineRule="auto"/>
            </w:pPr>
            <w:r>
              <w:rPr>
                <w:b/>
              </w:rPr>
              <w:t>Grad-CAM</w:t>
            </w:r>
          </w:p>
        </w:tc>
        <w:tc>
          <w:tcPr>
            <w:tcW w:type="dxa" w:w="6768"/>
          </w:tcPr>
          <w:p>
            <w:pPr>
              <w:spacing w:before="40" w:after="40" w:line="276" w:lineRule="auto"/>
            </w:pPr>
            <w:r>
              <w:t>Gradient-weighted Class Activation Mapping</w:t>
            </w:r>
          </w:p>
        </w:tc>
      </w:tr>
      <w:tr>
        <w:tc>
          <w:tcPr>
            <w:tcW w:type="dxa" w:w="2592"/>
          </w:tcPr>
          <w:p>
            <w:pPr>
              <w:spacing w:before="40" w:after="40" w:line="276" w:lineRule="auto"/>
            </w:pPr>
            <w:r>
              <w:rPr>
                <w:b/>
              </w:rPr>
              <w:t>GRU</w:t>
            </w:r>
          </w:p>
        </w:tc>
        <w:tc>
          <w:tcPr>
            <w:tcW w:type="dxa" w:w="6768"/>
          </w:tcPr>
          <w:p>
            <w:pPr>
              <w:spacing w:before="40" w:after="40" w:line="276" w:lineRule="auto"/>
            </w:pPr>
            <w:r>
              <w:t>Gated Recurrent Unit</w:t>
            </w:r>
          </w:p>
        </w:tc>
      </w:tr>
      <w:tr>
        <w:tc>
          <w:tcPr>
            <w:tcW w:type="dxa" w:w="2592"/>
          </w:tcPr>
          <w:p>
            <w:pPr>
              <w:spacing w:before="40" w:after="40" w:line="276" w:lineRule="auto"/>
            </w:pPr>
            <w:r>
              <w:rPr>
                <w:b/>
              </w:rPr>
              <w:t>HTML</w:t>
            </w:r>
          </w:p>
        </w:tc>
        <w:tc>
          <w:tcPr>
            <w:tcW w:type="dxa" w:w="6768"/>
          </w:tcPr>
          <w:p>
            <w:pPr>
              <w:spacing w:before="40" w:after="40" w:line="276" w:lineRule="auto"/>
            </w:pPr>
            <w:r>
              <w:t>HyperText Markup Language</w:t>
            </w:r>
          </w:p>
        </w:tc>
      </w:tr>
      <w:tr>
        <w:tc>
          <w:tcPr>
            <w:tcW w:type="dxa" w:w="2592"/>
          </w:tcPr>
          <w:p>
            <w:pPr>
              <w:spacing w:before="40" w:after="40" w:line="276" w:lineRule="auto"/>
            </w:pPr>
            <w:r>
              <w:rPr>
                <w:b/>
              </w:rPr>
              <w:t>HTTP</w:t>
            </w:r>
          </w:p>
        </w:tc>
        <w:tc>
          <w:tcPr>
            <w:tcW w:type="dxa" w:w="6768"/>
          </w:tcPr>
          <w:p>
            <w:pPr>
              <w:spacing w:before="40" w:after="40" w:line="276" w:lineRule="auto"/>
            </w:pPr>
            <w:r>
              <w:t>Hypertext Transfer Protocol</w:t>
            </w:r>
          </w:p>
        </w:tc>
      </w:tr>
      <w:tr>
        <w:tc>
          <w:tcPr>
            <w:tcW w:type="dxa" w:w="2592"/>
          </w:tcPr>
          <w:p>
            <w:pPr>
              <w:spacing w:before="40" w:after="40" w:line="276" w:lineRule="auto"/>
            </w:pPr>
            <w:r>
              <w:rPr>
                <w:b/>
              </w:rPr>
              <w:t>HTTPS</w:t>
            </w:r>
          </w:p>
        </w:tc>
        <w:tc>
          <w:tcPr>
            <w:tcW w:type="dxa" w:w="6768"/>
          </w:tcPr>
          <w:p>
            <w:pPr>
              <w:spacing w:before="40" w:after="40" w:line="276" w:lineRule="auto"/>
            </w:pPr>
            <w:r>
              <w:t>Hypertext Transfer Protocol Secure</w:t>
            </w:r>
          </w:p>
        </w:tc>
      </w:tr>
      <w:tr>
        <w:tc>
          <w:tcPr>
            <w:tcW w:type="dxa" w:w="2592"/>
          </w:tcPr>
          <w:p>
            <w:pPr>
              <w:spacing w:before="40" w:after="40" w:line="276" w:lineRule="auto"/>
            </w:pPr>
            <w:r>
              <w:rPr>
                <w:b/>
              </w:rPr>
              <w:t>IG</w:t>
            </w:r>
          </w:p>
        </w:tc>
        <w:tc>
          <w:tcPr>
            <w:tcW w:type="dxa" w:w="6768"/>
          </w:tcPr>
          <w:p>
            <w:pPr>
              <w:spacing w:before="40" w:after="40" w:line="276" w:lineRule="auto"/>
            </w:pPr>
            <w:r>
              <w:t>Integrated Gradients</w:t>
            </w:r>
          </w:p>
        </w:tc>
      </w:tr>
      <w:tr>
        <w:tc>
          <w:tcPr>
            <w:tcW w:type="dxa" w:w="2592"/>
          </w:tcPr>
          <w:p>
            <w:pPr>
              <w:spacing w:before="40" w:after="40" w:line="276" w:lineRule="auto"/>
            </w:pPr>
            <w:r>
              <w:rPr>
                <w:b/>
              </w:rPr>
              <w:t>IP</w:t>
            </w:r>
          </w:p>
        </w:tc>
        <w:tc>
          <w:tcPr>
            <w:tcW w:type="dxa" w:w="6768"/>
          </w:tcPr>
          <w:p>
            <w:pPr>
              <w:spacing w:before="40" w:after="40" w:line="276" w:lineRule="auto"/>
            </w:pPr>
            <w:r>
              <w:t>Internet Protocol</w:t>
            </w:r>
          </w:p>
        </w:tc>
      </w:tr>
      <w:tr>
        <w:tc>
          <w:tcPr>
            <w:tcW w:type="dxa" w:w="2592"/>
          </w:tcPr>
          <w:p>
            <w:pPr>
              <w:spacing w:before="40" w:after="40" w:line="276" w:lineRule="auto"/>
            </w:pPr>
            <w:r>
              <w:rPr>
                <w:b/>
              </w:rPr>
              <w:t>LLM</w:t>
            </w:r>
          </w:p>
        </w:tc>
        <w:tc>
          <w:tcPr>
            <w:tcW w:type="dxa" w:w="6768"/>
          </w:tcPr>
          <w:p>
            <w:pPr>
              <w:spacing w:before="40" w:after="40" w:line="276" w:lineRule="auto"/>
            </w:pPr>
            <w:r>
              <w:t>Large Language Model</w:t>
            </w:r>
          </w:p>
        </w:tc>
      </w:tr>
      <w:tr>
        <w:tc>
          <w:tcPr>
            <w:tcW w:type="dxa" w:w="2592"/>
          </w:tcPr>
          <w:p>
            <w:pPr>
              <w:spacing w:before="40" w:after="40" w:line="276" w:lineRule="auto"/>
            </w:pPr>
            <w:r>
              <w:rPr>
                <w:b/>
              </w:rPr>
              <w:t>LSTM</w:t>
            </w:r>
          </w:p>
        </w:tc>
        <w:tc>
          <w:tcPr>
            <w:tcW w:type="dxa" w:w="6768"/>
          </w:tcPr>
          <w:p>
            <w:pPr>
              <w:spacing w:before="40" w:after="40" w:line="276" w:lineRule="auto"/>
            </w:pPr>
            <w:r>
              <w:t>Long Short-Term Memory</w:t>
            </w:r>
          </w:p>
        </w:tc>
      </w:tr>
      <w:tr>
        <w:tc>
          <w:tcPr>
            <w:tcW w:type="dxa" w:w="2592"/>
          </w:tcPr>
          <w:p>
            <w:pPr>
              <w:spacing w:before="40" w:after="40" w:line="276" w:lineRule="auto"/>
            </w:pPr>
            <w:r>
              <w:rPr>
                <w:b/>
              </w:rPr>
              <w:t>MTLP</w:t>
            </w:r>
          </w:p>
        </w:tc>
        <w:tc>
          <w:tcPr>
            <w:tcW w:type="dxa" w:w="6768"/>
          </w:tcPr>
          <w:p>
            <w:pPr>
              <w:spacing w:before="40" w:after="40" w:line="276" w:lineRule="auto"/>
            </w:pPr>
            <w:r>
              <w:t>Multimodal Target Lookup Phishing Dataset</w:t>
            </w:r>
          </w:p>
        </w:tc>
      </w:tr>
      <w:tr>
        <w:tc>
          <w:tcPr>
            <w:tcW w:type="dxa" w:w="2592"/>
          </w:tcPr>
          <w:p>
            <w:pPr>
              <w:spacing w:before="40" w:after="40" w:line="276" w:lineRule="auto"/>
            </w:pPr>
            <w:r>
              <w:rPr>
                <w:b/>
              </w:rPr>
              <w:t>NLP</w:t>
            </w:r>
          </w:p>
        </w:tc>
        <w:tc>
          <w:tcPr>
            <w:tcW w:type="dxa" w:w="6768"/>
          </w:tcPr>
          <w:p>
            <w:pPr>
              <w:spacing w:before="40" w:after="40" w:line="276" w:lineRule="auto"/>
            </w:pPr>
            <w:r>
              <w:t>Natural Language Processing</w:t>
            </w:r>
          </w:p>
        </w:tc>
      </w:tr>
      <w:tr>
        <w:tc>
          <w:tcPr>
            <w:tcW w:type="dxa" w:w="2592"/>
          </w:tcPr>
          <w:p>
            <w:pPr>
              <w:spacing w:before="40" w:after="40" w:line="276" w:lineRule="auto"/>
            </w:pPr>
            <w:r>
              <w:rPr>
                <w:b/>
              </w:rPr>
              <w:t>PaaS</w:t>
            </w:r>
          </w:p>
        </w:tc>
        <w:tc>
          <w:tcPr>
            <w:tcW w:type="dxa" w:w="6768"/>
          </w:tcPr>
          <w:p>
            <w:pPr>
              <w:spacing w:before="40" w:after="40" w:line="276" w:lineRule="auto"/>
            </w:pPr>
            <w:r>
              <w:t>Phishing-as-a-Service</w:t>
            </w:r>
          </w:p>
        </w:tc>
      </w:tr>
      <w:tr>
        <w:tc>
          <w:tcPr>
            <w:tcW w:type="dxa" w:w="2592"/>
          </w:tcPr>
          <w:p>
            <w:pPr>
              <w:spacing w:before="40" w:after="40" w:line="276" w:lineRule="auto"/>
            </w:pPr>
            <w:r>
              <w:rPr>
                <w:b/>
              </w:rPr>
              <w:t>RAG</w:t>
            </w:r>
          </w:p>
        </w:tc>
        <w:tc>
          <w:tcPr>
            <w:tcW w:type="dxa" w:w="6768"/>
          </w:tcPr>
          <w:p>
            <w:pPr>
              <w:spacing w:before="40" w:after="40" w:line="276" w:lineRule="auto"/>
            </w:pPr>
            <w:r>
              <w:t>Retrieval-Augmented Generation</w:t>
            </w:r>
          </w:p>
        </w:tc>
      </w:tr>
      <w:tr>
        <w:tc>
          <w:tcPr>
            <w:tcW w:type="dxa" w:w="2592"/>
          </w:tcPr>
          <w:p>
            <w:pPr>
              <w:spacing w:before="40" w:after="40" w:line="276" w:lineRule="auto"/>
            </w:pPr>
            <w:r>
              <w:rPr>
                <w:b/>
              </w:rPr>
              <w:t>ROC-AUC</w:t>
            </w:r>
          </w:p>
        </w:tc>
        <w:tc>
          <w:tcPr>
            <w:tcW w:type="dxa" w:w="6768"/>
          </w:tcPr>
          <w:p>
            <w:pPr>
              <w:spacing w:before="40" w:after="40" w:line="276" w:lineRule="auto"/>
            </w:pPr>
            <w:r>
              <w:t>Receiver Operating Characteristic -- Area Under Curve</w:t>
            </w:r>
          </w:p>
        </w:tc>
      </w:tr>
      <w:tr>
        <w:tc>
          <w:tcPr>
            <w:tcW w:type="dxa" w:w="2592"/>
          </w:tcPr>
          <w:p>
            <w:pPr>
              <w:spacing w:before="40" w:after="40" w:line="276" w:lineRule="auto"/>
            </w:pPr>
            <w:r>
              <w:rPr>
                <w:b/>
              </w:rPr>
              <w:t>SHAP</w:t>
            </w:r>
          </w:p>
        </w:tc>
        <w:tc>
          <w:tcPr>
            <w:tcW w:type="dxa" w:w="6768"/>
          </w:tcPr>
          <w:p>
            <w:pPr>
              <w:spacing w:before="40" w:after="40" w:line="276" w:lineRule="auto"/>
            </w:pPr>
            <w:r>
              <w:t>SHapley Additive exPlanations</w:t>
            </w:r>
          </w:p>
        </w:tc>
      </w:tr>
      <w:tr>
        <w:tc>
          <w:tcPr>
            <w:tcW w:type="dxa" w:w="2592"/>
          </w:tcPr>
          <w:p>
            <w:pPr>
              <w:spacing w:before="40" w:after="40" w:line="276" w:lineRule="auto"/>
            </w:pPr>
            <w:r>
              <w:rPr>
                <w:b/>
              </w:rPr>
              <w:t>SIEM</w:t>
            </w:r>
          </w:p>
        </w:tc>
        <w:tc>
          <w:tcPr>
            <w:tcW w:type="dxa" w:w="6768"/>
          </w:tcPr>
          <w:p>
            <w:pPr>
              <w:spacing w:before="40" w:after="40" w:line="276" w:lineRule="auto"/>
            </w:pPr>
            <w:r>
              <w:t>Security Information and Event Management</w:t>
            </w:r>
          </w:p>
        </w:tc>
      </w:tr>
      <w:tr>
        <w:tc>
          <w:tcPr>
            <w:tcW w:type="dxa" w:w="2592"/>
          </w:tcPr>
          <w:p>
            <w:pPr>
              <w:spacing w:before="40" w:after="40" w:line="276" w:lineRule="auto"/>
            </w:pPr>
            <w:r>
              <w:rPr>
                <w:b/>
              </w:rPr>
              <w:t>SOC</w:t>
            </w:r>
          </w:p>
        </w:tc>
        <w:tc>
          <w:tcPr>
            <w:tcW w:type="dxa" w:w="6768"/>
          </w:tcPr>
          <w:p>
            <w:pPr>
              <w:spacing w:before="40" w:after="40" w:line="276" w:lineRule="auto"/>
            </w:pPr>
            <w:r>
              <w:t>Security Operations Center</w:t>
            </w:r>
          </w:p>
        </w:tc>
      </w:tr>
      <w:tr>
        <w:tc>
          <w:tcPr>
            <w:tcW w:type="dxa" w:w="2592"/>
          </w:tcPr>
          <w:p>
            <w:pPr>
              <w:spacing w:before="40" w:after="40" w:line="276" w:lineRule="auto"/>
            </w:pPr>
            <w:r>
              <w:rPr>
                <w:b/>
              </w:rPr>
              <w:t>SPCA</w:t>
            </w:r>
          </w:p>
        </w:tc>
        <w:tc>
          <w:tcPr>
            <w:tcW w:type="dxa" w:w="6768"/>
          </w:tcPr>
          <w:p>
            <w:pPr>
              <w:spacing w:before="40" w:after="40" w:line="276" w:lineRule="auto"/>
            </w:pPr>
            <w:r>
              <w:t>Sparse Principal Component Analysis</w:t>
            </w:r>
          </w:p>
        </w:tc>
      </w:tr>
      <w:tr>
        <w:tc>
          <w:tcPr>
            <w:tcW w:type="dxa" w:w="2592"/>
          </w:tcPr>
          <w:p>
            <w:pPr>
              <w:spacing w:before="40" w:after="40" w:line="276" w:lineRule="auto"/>
            </w:pPr>
            <w:r>
              <w:rPr>
                <w:b/>
              </w:rPr>
              <w:t>SSL</w:t>
            </w:r>
          </w:p>
        </w:tc>
        <w:tc>
          <w:tcPr>
            <w:tcW w:type="dxa" w:w="6768"/>
          </w:tcPr>
          <w:p>
            <w:pPr>
              <w:spacing w:before="40" w:after="40" w:line="276" w:lineRule="auto"/>
            </w:pPr>
            <w:r>
              <w:t>Secure Sockets Layer</w:t>
            </w:r>
          </w:p>
        </w:tc>
      </w:tr>
      <w:tr>
        <w:tc>
          <w:tcPr>
            <w:tcW w:type="dxa" w:w="2592"/>
          </w:tcPr>
          <w:p>
            <w:pPr>
              <w:spacing w:before="40" w:after="40" w:line="276" w:lineRule="auto"/>
            </w:pPr>
            <w:r>
              <w:rPr>
                <w:b/>
              </w:rPr>
              <w:t>TLS</w:t>
            </w:r>
          </w:p>
        </w:tc>
        <w:tc>
          <w:tcPr>
            <w:tcW w:type="dxa" w:w="6768"/>
          </w:tcPr>
          <w:p>
            <w:pPr>
              <w:spacing w:before="40" w:after="40" w:line="276" w:lineRule="auto"/>
            </w:pPr>
            <w:r>
              <w:t>Transport Layer Security</w:t>
            </w:r>
          </w:p>
        </w:tc>
      </w:tr>
      <w:tr>
        <w:tc>
          <w:tcPr>
            <w:tcW w:type="dxa" w:w="2592"/>
          </w:tcPr>
          <w:p>
            <w:pPr>
              <w:spacing w:before="40" w:after="40" w:line="276" w:lineRule="auto"/>
            </w:pPr>
            <w:r>
              <w:rPr>
                <w:b/>
              </w:rPr>
              <w:t>TLD</w:t>
            </w:r>
          </w:p>
        </w:tc>
        <w:tc>
          <w:tcPr>
            <w:tcW w:type="dxa" w:w="6768"/>
          </w:tcPr>
          <w:p>
            <w:pPr>
              <w:spacing w:before="40" w:after="40" w:line="276" w:lineRule="auto"/>
            </w:pPr>
            <w:r>
              <w:t>Top-Level Domain</w:t>
            </w:r>
          </w:p>
        </w:tc>
      </w:tr>
      <w:tr>
        <w:tc>
          <w:tcPr>
            <w:tcW w:type="dxa" w:w="2592"/>
          </w:tcPr>
          <w:p>
            <w:pPr>
              <w:spacing w:before="40" w:after="40" w:line="276" w:lineRule="auto"/>
            </w:pPr>
            <w:r>
              <w:rPr>
                <w:b/>
              </w:rPr>
              <w:t>URL</w:t>
            </w:r>
          </w:p>
        </w:tc>
        <w:tc>
          <w:tcPr>
            <w:tcW w:type="dxa" w:w="6768"/>
          </w:tcPr>
          <w:p>
            <w:pPr>
              <w:spacing w:before="40" w:after="40" w:line="276" w:lineRule="auto"/>
            </w:pPr>
            <w:r>
              <w:t>Uniform Resource Locator</w:t>
            </w:r>
          </w:p>
        </w:tc>
      </w:tr>
      <w:tr>
        <w:tc>
          <w:tcPr>
            <w:tcW w:type="dxa" w:w="2592"/>
          </w:tcPr>
          <w:p>
            <w:pPr>
              <w:spacing w:before="40" w:after="40" w:line="276" w:lineRule="auto"/>
            </w:pPr>
            <w:r>
              <w:rPr>
                <w:b/>
              </w:rPr>
              <w:t>WHOIS</w:t>
            </w:r>
          </w:p>
        </w:tc>
        <w:tc>
          <w:tcPr>
            <w:tcW w:type="dxa" w:w="6768"/>
          </w:tcPr>
          <w:p>
            <w:pPr>
              <w:spacing w:before="40" w:after="40" w:line="276" w:lineRule="auto"/>
            </w:pPr>
            <w:r>
              <w:t>Protocol for Domain Registration Database Querying</w:t>
            </w:r>
          </w:p>
        </w:tc>
      </w:tr>
      <w:tr>
        <w:tc>
          <w:tcPr>
            <w:tcW w:type="dxa" w:w="2592"/>
          </w:tcPr>
          <w:p>
            <w:pPr>
              <w:spacing w:before="40" w:after="40" w:line="276" w:lineRule="auto"/>
            </w:pPr>
            <w:r>
              <w:rPr>
                <w:b/>
              </w:rPr>
              <w:t>XAI</w:t>
            </w:r>
          </w:p>
        </w:tc>
        <w:tc>
          <w:tcPr>
            <w:tcW w:type="dxa" w:w="6768"/>
          </w:tcPr>
          <w:p>
            <w:pPr>
              <w:spacing w:before="40" w:after="40" w:line="276" w:lineRule="auto"/>
            </w:pPr>
            <w:r>
              <w:t>Explainable Artificial Intelligence</w:t>
            </w:r>
          </w:p>
        </w:tc>
      </w:tr>
    </w:tbl>
    <w:p>
      <w:r>
        <w:br w:type="page"/>
      </w:r>
    </w:p>
    <w:p>
      <w:pPr>
        <w:spacing w:before="360" w:after="120"/>
        <w:jc w:val="center"/>
      </w:pPr>
      <w:r>
        <w:rPr>
          <w:b/>
          <w:sz w:val="28"/>
        </w:rPr>
        <w:t>CHAPTER 1</w:t>
        <w:br/>
      </w:r>
      <w:r>
        <w:rPr>
          <w:b/>
          <w:sz w:val="30"/>
        </w:rPr>
        <w:t>INTRODUCTION</w:t>
      </w:r>
    </w:p>
    <w:p>
      <w:pPr>
        <w:spacing w:before="280" w:after="120"/>
        <w:jc w:val="left"/>
      </w:pPr>
      <w:r>
        <w:rPr>
          <w:b/>
          <w:sz w:val="26"/>
        </w:rPr>
        <w:t>1.1  Overview</w:t>
      </w:r>
    </w:p>
    <w:p>
      <w:pPr>
        <w:spacing w:line="360" w:lineRule="auto" w:after="120"/>
        <w:jc w:val="both"/>
      </w:pPr>
      <w:r>
        <w:t>Phishing attacks constitute one of the most pervasive, destructive, and economically debilitating attack vectors across modern cyberspace. According to global cybersecurity intelligence reports, social engineering and credential harvesting attacks account for more than 80% of reported security incidents and serve as the primary initial access vector for ransomware deployment, data exfiltration, and advanced persistent threat (APT) campaigns.</w:t>
      </w:r>
    </w:p>
    <w:p>
      <w:pPr>
        <w:spacing w:line="360" w:lineRule="auto" w:after="120"/>
        <w:jc w:val="both"/>
      </w:pPr>
      <w:r>
        <w:t>In its most common manifestation, phishing involves an adversary designing a deceptive communication channel or web application that deceptively mimics a legitimate entity—such as a commercial banking portal, enterprise single-sign-on (SSO) gateway, or software-as-a-service (SaaS) provider. The fundamental objective is to deceive human end-users into voluntarily disclosing sensitive credentials, private cryptographic keys, personal identification numbers, or corporate intellectual property.</w:t>
      </w:r>
    </w:p>
    <w:p>
      <w:pPr>
        <w:spacing w:line="360" w:lineRule="auto" w:after="120"/>
        <w:jc w:val="both"/>
      </w:pPr>
      <w:r>
        <w:t>Historically, organizations relied heavily on signature-based defenses, primarily centralized blacklists such as Google Safe Browsing and PhishTank. These repositories catalog reported malicious domains and distribute hash-based blocklists to client browsers and secure web gateways. However, signature-based approaches exhibit severe defensive latency, typically requiring hours or days to identify, verify, and propagate signatures for newly registered malicious infrastructure.</w:t>
      </w:r>
    </w:p>
    <w:p>
      <w:pPr>
        <w:spacing w:line="360" w:lineRule="auto" w:after="120"/>
        <w:jc w:val="both"/>
      </w:pPr>
      <w:r>
        <w:t>To circumvent these static lists, threat actors operate automated toolkits that rapidly generate ephemeral domains, leverage Fast Flux DNS, employ dynamic Content Delivery Networks (CDNs), and utilize legitimate cloud hosting services. Machine learning algorithms analyzing tabular lexical features of Uniform Resource Locators (URLs) were subsequently introduced to predict maliciousness dynamically without relying on prior blacklisting.</w:t>
      </w:r>
    </w:p>
    <w:p>
      <w:pPr>
        <w:spacing w:line="360" w:lineRule="auto" w:after="120"/>
        <w:jc w:val="both"/>
      </w:pPr>
      <w:r>
        <w:t>Nonetheless, adversaries quickly developed evasion tactics specifically tailored against lexical classifiers, including character replacement, homograph domain spoofing, and excessive subdomain chaining. Consequently, defending modern digital infrastructure requires an agile paradigm shift from single-channel lexical checks toward holistic, multi-perspective systems that inspect the full attack surface—incorporating network metadata, character-level syntax, Document Object Model (DOM) semantics, and visual layout geometry simultaneously.</w:t>
      </w:r>
    </w:p>
    <w:p>
      <w:pPr>
        <w:spacing w:before="280" w:after="120"/>
        <w:jc w:val="left"/>
      </w:pPr>
      <w:r>
        <w:rPr>
          <w:b/>
          <w:sz w:val="26"/>
        </w:rPr>
        <w:t>1.2  Motivation and Problem Statement</w:t>
      </w:r>
    </w:p>
    <w:p>
      <w:pPr>
        <w:spacing w:line="360" w:lineRule="auto" w:after="120"/>
        <w:jc w:val="both"/>
      </w:pPr>
      <w:r>
        <w:t>Despite the deployment of various machine-learning-based intrusion detection and web filtering mechanisms, modern phishing campaigns continue to experience high operational success rates. This alarming persistence stems from three structural vulnerabilities in existing defensive paradigms:</w:t>
      </w:r>
    </w:p>
    <w:p>
      <w:pPr>
        <w:pStyle w:val="ListNumber"/>
        <w:spacing w:line="360" w:lineRule="auto" w:after="80"/>
        <w:jc w:val="both"/>
      </w:pPr>
      <w:r>
        <w:rPr>
          <w:b/>
        </w:rPr>
        <w:t>Single-Modality Blind Spots:</w:t>
      </w:r>
      <w:r>
        <w:t xml:space="preserve"> A classifier evaluating only URL strings remains blind to brand impersonation occurring within visual rendered page layouts or obfuscated JavaScript DOM routines. Conversely, a purely visual computer-vision detector is blind to redirection chains, DNS registration anomalies, and backend Autonomous System Number (ASN) reputations.</w:t>
      </w:r>
    </w:p>
    <w:p>
      <w:pPr>
        <w:pStyle w:val="ListNumber"/>
        <w:spacing w:line="360" w:lineRule="auto" w:after="80"/>
        <w:jc w:val="both"/>
      </w:pPr>
      <w:r>
        <w:rPr>
          <w:b/>
        </w:rPr>
        <w:t>Vulnerability to Adversarial Evasions:</w:t>
      </w:r>
      <w:r>
        <w:t xml:space="preserve"> Attackers systematically perturb individual input features—for instance, inserting invisible zero-width unicode characters in HTML code, utilizing CSS overlays to mask login input fields from standard crawlers, or deploying server-side user-agent filtering to serve benign decoy pages to automated scrapers while delivering malicious payloads exclusively to human targets.</w:t>
      </w:r>
    </w:p>
    <w:p>
      <w:pPr>
        <w:pStyle w:val="ListNumber"/>
        <w:spacing w:line="360" w:lineRule="auto" w:after="80"/>
        <w:jc w:val="both"/>
      </w:pPr>
      <w:r>
        <w:rPr>
          <w:b/>
        </w:rPr>
        <w:t>The Interpretability Deficit and SOC Latency:</w:t>
      </w:r>
      <w:r>
        <w:t xml:space="preserve"> Contemporary deep learning models operate as opaque 'black boxes'. When an end-to-end convolutional or Transformer network flags an enterprise URL as malicious, it provides an abstract probability score devoid of contextual reasoning. In Security Operations Centers (SOCs), human tier-1 and tier-2 incident analysts must rapidly triage thousands of daily alerts. Lacking transparent explanations regarding why a website was flagged, analysts are forced to spend critical minutes manually navigating sandboxes, inspecting source code, and correlating threat feeds. This manual overhead creates severe alert fatigue, increases triage latency, and allows undetected breaches to linger within enterprise networks.</w:t>
      </w:r>
    </w:p>
    <w:p>
      <w:pPr>
        <w:spacing w:line="360" w:lineRule="auto" w:after="120"/>
        <w:jc w:val="both"/>
      </w:pPr>
      <w:r>
        <w:t>These pressing challenges establish the core problem statement addressed in this seminar: How can we engineer an autonomous, multimodal detection system that simultaneously aggregates heterogeneous web modalities (lexical, behavioral, syntactic, visual) to defeat modern adversarial evasions, while concurrently generating high-fidelity, human-interpretable explanations and incident summaries that empower SOC analysts to make immediate, confident triage decisions?</w:t>
      </w:r>
    </w:p>
    <w:p>
      <w:pPr>
        <w:spacing w:before="280" w:after="120"/>
        <w:jc w:val="left"/>
      </w:pPr>
      <w:r>
        <w:rPr>
          <w:b/>
          <w:sz w:val="26"/>
        </w:rPr>
        <w:t>1.3  Objectives of the Seminar Study</w:t>
      </w:r>
    </w:p>
    <w:p>
      <w:pPr>
        <w:spacing w:line="360" w:lineRule="auto" w:after="120"/>
        <w:jc w:val="both"/>
      </w:pPr>
      <w:r>
        <w:t>The primary objectives of this seminar study are systematically defined as follows:</w:t>
      </w:r>
    </w:p>
    <w:p>
      <w:pPr>
        <w:pStyle w:val="ListBullet"/>
        <w:spacing w:line="360" w:lineRule="auto" w:after="80"/>
        <w:jc w:val="both"/>
      </w:pPr>
      <w:r>
        <w:rPr>
          <w:b/>
        </w:rPr>
        <w:t>Comprehensive Literature Analysis:</w:t>
      </w:r>
      <w:r>
        <w:t xml:space="preserve"> Critically investigate the architectural evolution, state-of-the-art benchmarks, and empirical limitations of contemporary phishing detection literature, spanning statistical machine learning, deep representation learning, and multimodality.</w:t>
      </w:r>
    </w:p>
    <w:p>
      <w:pPr>
        <w:pStyle w:val="ListBullet"/>
        <w:spacing w:line="360" w:lineRule="auto" w:after="80"/>
        <w:jc w:val="both"/>
      </w:pPr>
      <w:r>
        <w:rPr>
          <w:b/>
        </w:rPr>
        <w:t>Architectural Formulation:</w:t>
      </w:r>
      <w:r>
        <w:t xml:space="preserve"> Formulate a robust, multimodal late-fusion detection pipeline that synchronously ingests and processes four orthogonal website modalities: (1) Tabular URL and network metadata via CatBoost; (2) Character-level symbolic syntax via 1D-CNN; (3) HTML DOM source code via fine-tuned CodeBERT; and (4) Rendered visual layout screenshots via EfficientNet-B7.</w:t>
      </w:r>
    </w:p>
    <w:p>
      <w:pPr>
        <w:pStyle w:val="ListBullet"/>
        <w:spacing w:line="360" w:lineRule="auto" w:after="80"/>
        <w:jc w:val="both"/>
      </w:pPr>
      <w:r>
        <w:rPr>
          <w:b/>
        </w:rPr>
        <w:t>Decision Fusion Optimization:</w:t>
      </w:r>
      <w:r>
        <w:t xml:space="preserve"> Formulate a cost-sensitive, trainable late-fusion meta-classifier that dynamically weights intermediate branch predictions, penalizing catastrophic false negatives to maximize enterprise detection resilience.</w:t>
      </w:r>
    </w:p>
    <w:p>
      <w:pPr>
        <w:pStyle w:val="ListBullet"/>
        <w:spacing w:line="360" w:lineRule="auto" w:after="80"/>
        <w:jc w:val="both"/>
      </w:pPr>
      <w:r>
        <w:rPr>
          <w:b/>
        </w:rPr>
        <w:t>Explainability Framework Integration:</w:t>
      </w:r>
      <w:r>
        <w:t xml:space="preserve"> Develop a multimodal Explainable AI (XAI) suite utilizing SHAP, Integrated Gradients, Attention Rollout, and Grad-CAM to render human-interpretable rationales across every feature dimension.</w:t>
      </w:r>
    </w:p>
    <w:p>
      <w:pPr>
        <w:pStyle w:val="ListBullet"/>
        <w:spacing w:line="360" w:lineRule="auto" w:after="80"/>
        <w:jc w:val="both"/>
      </w:pPr>
      <w:r>
        <w:rPr>
          <w:b/>
        </w:rPr>
        <w:t>Automated SOC Incident Response Pipeline:</w:t>
      </w:r>
      <w:r>
        <w:t xml:space="preserve"> Design and integrate an autonomous local Large Language Model (LLM) agent powered by Retrieval-Augmented Generation (RAG) that ingests quantitative XAI attributions and automatically synthesizes human-readable incident briefs mapped to MITRE ATT&amp;CK techniques.</w:t>
      </w:r>
    </w:p>
    <w:p>
      <w:pPr>
        <w:pStyle w:val="ListBullet"/>
        <w:spacing w:line="360" w:lineRule="auto" w:after="80"/>
        <w:jc w:val="both"/>
      </w:pPr>
      <w:r>
        <w:rPr>
          <w:b/>
        </w:rPr>
        <w:t>Empirical Benchmark and Usability Validation:</w:t>
      </w:r>
      <w:r>
        <w:t xml:space="preserve"> Perform comprehensive empirical evaluations across large-scale historical datasets and live zero-day honeypot feeds, benchmarking classification accuracy, latency overhead, and qualitative usability gains in real-world SOC workflows.</w:t>
      </w:r>
    </w:p>
    <w:p>
      <w:pPr>
        <w:spacing w:before="280" w:after="120"/>
        <w:jc w:val="left"/>
      </w:pPr>
      <w:r>
        <w:rPr>
          <w:b/>
          <w:sz w:val="26"/>
        </w:rPr>
        <w:t>1.4  Report Organization</w:t>
      </w:r>
    </w:p>
    <w:p>
      <w:pPr>
        <w:spacing w:line="360" w:lineRule="auto" w:after="120"/>
        <w:jc w:val="both"/>
      </w:pPr>
      <w:r>
        <w:t>The remainder of this seminar report is systematically organized as follows:</w:t>
      </w:r>
    </w:p>
    <w:p>
      <w:pPr>
        <w:pStyle w:val="ListBullet"/>
        <w:spacing w:line="360" w:lineRule="auto" w:after="80"/>
        <w:jc w:val="both"/>
      </w:pPr>
      <w:r>
        <w:rPr>
          <w:b/>
        </w:rPr>
        <w:t>Chapter 2 (Literature Survey):</w:t>
      </w:r>
      <w:r>
        <w:t xml:space="preserve"> Presents an exhaustive review of contemporary academic literature, contrasting traditional lexical heuristics, deep learning architectures, multimodal fusion paradigms, and explainability frameworks, concluding with an analytical comparison matrix.</w:t>
      </w:r>
    </w:p>
    <w:p>
      <w:pPr>
        <w:pStyle w:val="ListBullet"/>
        <w:spacing w:line="360" w:lineRule="auto" w:after="80"/>
        <w:jc w:val="both"/>
      </w:pPr>
      <w:r>
        <w:rPr>
          <w:b/>
        </w:rPr>
        <w:t>Chapter 3 (Proposed Methodology):</w:t>
      </w:r>
      <w:r>
        <w:t xml:space="preserve"> Details the architectural blueprint of the multimodal late-fusion framework, documenting each modality's preprocessing and feature representation pipeline, the cost-sensitive meta-classifier, the multimodal XAI suite, and the local LLM agent integration.</w:t>
      </w:r>
    </w:p>
    <w:p>
      <w:pPr>
        <w:pStyle w:val="ListBullet"/>
        <w:spacing w:line="360" w:lineRule="auto" w:after="80"/>
        <w:jc w:val="both"/>
      </w:pPr>
      <w:r>
        <w:rPr>
          <w:b/>
        </w:rPr>
        <w:t>Chapter 4 (Results and Discussions):</w:t>
      </w:r>
      <w:r>
        <w:t xml:space="preserve"> Presents empirical classification benchmarks, zero-day threat evaluations against commercial feeds (Google Safe Browsing and OpenPhish), ablation studies, system latency profiles, and human-in-the-loop SOC analyst usability studies.</w:t>
      </w:r>
    </w:p>
    <w:p>
      <w:pPr>
        <w:pStyle w:val="ListBullet"/>
        <w:spacing w:line="360" w:lineRule="auto" w:after="80"/>
        <w:jc w:val="both"/>
      </w:pPr>
      <w:r>
        <w:rPr>
          <w:b/>
        </w:rPr>
        <w:t>Chapter 5 (Conclusion and Future Work):</w:t>
      </w:r>
      <w:r>
        <w:t xml:space="preserve"> Summarizes the research findings, highlights key technological contributions, outlines operational limitations, and identifies promising avenues for future investigation.</w:t>
      </w:r>
    </w:p>
    <w:p>
      <w:pPr>
        <w:pStyle w:val="ListBullet"/>
        <w:spacing w:line="360" w:lineRule="auto" w:after="80"/>
        <w:jc w:val="both"/>
      </w:pPr>
      <w:r>
        <w:rPr>
          <w:b/>
        </w:rPr>
        <w:t>References and Appendices:</w:t>
      </w:r>
      <w:r>
        <w:t xml:space="preserve"> Provide complete academic citations in IEEE format and reproducible source code listings alongside a sample synthesized SOC incident triage report.</w:t>
      </w:r>
    </w:p>
    <w:p>
      <w:r>
        <w:br w:type="page"/>
      </w:r>
    </w:p>
    <w:p>
      <w:pPr>
        <w:spacing w:before="360" w:after="120"/>
        <w:jc w:val="center"/>
      </w:pPr>
      <w:r>
        <w:rPr>
          <w:b/>
          <w:sz w:val="28"/>
        </w:rPr>
        <w:t>CHAPTER 2</w:t>
        <w:br/>
      </w:r>
      <w:r>
        <w:rPr>
          <w:b/>
          <w:sz w:val="30"/>
        </w:rPr>
        <w:t>LITERATURE SURVEY</w:t>
      </w:r>
    </w:p>
    <w:p>
      <w:pPr>
        <w:spacing w:before="280" w:after="120"/>
        <w:jc w:val="left"/>
      </w:pPr>
      <w:r>
        <w:rPr>
          <w:b/>
          <w:sz w:val="26"/>
        </w:rPr>
        <w:t>2.1  Evolution of Phishing Detection Systems</w:t>
      </w:r>
    </w:p>
    <w:p>
      <w:pPr>
        <w:spacing w:line="360" w:lineRule="auto" w:after="120"/>
        <w:jc w:val="both"/>
      </w:pPr>
      <w:r>
        <w:t>The academic literature surrounding automated phishing detection has transitioned through three distinct evolutionary paradigms over the past two decades: heuristic rule-based systems, classical feature-engineered machine learning, and deep representation learning. Initial defensive methodologies centered on heuristic matching of known malicious patterns—such as detecting excessive IP-address usage within the domain name, suspicious port allocations, and basic string length thresholds. While computationally negligible, these heuristic rules proved exceedingly brittle, failing to adapt to benign web structural transformations and yielding unacceptable false positive rates.</w:t>
      </w:r>
    </w:p>
    <w:p>
      <w:pPr>
        <w:spacing w:line="360" w:lineRule="auto" w:after="120"/>
        <w:jc w:val="both"/>
      </w:pPr>
      <w:r>
        <w:t>With the emergence of statistical machine learning in the early 2010s, researchers formulated feature extraction pipelines targeting lexical properties of URLs (e.g., entropy, character count, token frequency) combined with external third-party metadata feeds (WHOIS domain age, DNS time-to-live values, PageRank scores). Classifiers such as Support Vector Machines (SVM), Random Forests, and Logistic Regression demonstrated notable accuracy improvements on static academic benchmark corpora. However, these systems remained critically dependent on heavy manual feature engineering and suffered from external lookup latency during real-time client browsing.</w:t>
      </w:r>
    </w:p>
    <w:p>
      <w:pPr>
        <w:spacing w:before="280" w:after="120"/>
        <w:jc w:val="left"/>
      </w:pPr>
      <w:r>
        <w:rPr>
          <w:b/>
          <w:sz w:val="26"/>
        </w:rPr>
        <w:t>2.2  Behavior-Based Multichannel Phishing Detection via EM-BERT and SPCA</w:t>
      </w:r>
    </w:p>
    <w:p>
      <w:pPr>
        <w:spacing w:line="360" w:lineRule="auto" w:after="120"/>
        <w:jc w:val="both"/>
      </w:pPr>
      <w:r>
        <w:t>A prominent milestone in linguistic and behavioral phishing identification was established by Chen et al. [2], who introduced an end-to-end multichannel architecture coupling an Expectation-Maximization fine-tuned BERT model (EM-BERT) with Sparse Principal Component Analysis (SPCA). The primary insight of this work was that phishing actors exhibit structured psychological persuasion patterns within text headers and DOM content.</w:t>
      </w:r>
    </w:p>
    <w:p>
      <w:pPr>
        <w:spacing w:line="360" w:lineRule="auto" w:after="120"/>
        <w:jc w:val="both"/>
      </w:pPr>
      <w:r>
        <w:t>By fine-tuning transformer embeddings specifically on security corpora and applying SPCA to reduce high-dimensional token spaces, the authors achieved an outstanding accuracy of 99.4% on curated text corpora. However, the operational limitation of the EM-BERT framework lies in its vulnerability to non-textual evasion: modern phishing portals frequently replace textual DOM nodes with pre-rendered graphical images, canvas elements, or external iframe containers, rendering pure natural language processing architectures completely ineffective.</w:t>
      </w:r>
    </w:p>
    <w:p>
      <w:pPr>
        <w:spacing w:before="280" w:after="120"/>
        <w:jc w:val="left"/>
      </w:pPr>
      <w:r>
        <w:rPr>
          <w:b/>
          <w:sz w:val="26"/>
        </w:rPr>
        <w:t>2.3  Dynamic Optimization for Symbolic URL Analysis in Cloud Environments (DAOA-DLPC)</w:t>
      </w:r>
    </w:p>
    <w:p>
      <w:pPr>
        <w:spacing w:line="360" w:lineRule="auto" w:after="120"/>
        <w:jc w:val="both"/>
      </w:pPr>
      <w:r>
        <w:t>Addressing the challenge of high-throughput symbolic URL analysis within cloud proxy environments, Samuel et al. [3] proposed the DAOA-DLPC framework. This approach combines a Dynamic Arithmetic Optimization Algorithm (DAOA) with Deep Learning for Phishing Classification (DLPC). The DAOA metaheuristic actively optimizes hyperparameter selection and feature subset reduction from raw character-level URL representations.</w:t>
      </w:r>
    </w:p>
    <w:p>
      <w:pPr>
        <w:spacing w:line="360" w:lineRule="auto" w:after="120"/>
        <w:jc w:val="both"/>
      </w:pPr>
      <w:r>
        <w:t>The authors evaluated their model across extensive enterprise telemetry, demonstrating 97.6% accuracy with sub-50ms inference latency. Nevertheless, the study highlighted that purely symbolic URL analysis cannot identify advanced attacks where adversaries compromise legitimate, highly reputable domains (e.g., compromised WordPress installations or Microsoft SharePoint document shares) to host malicious credential forms.</w:t>
      </w:r>
    </w:p>
    <w:p>
      <w:pPr>
        <w:spacing w:before="280" w:after="120"/>
        <w:jc w:val="left"/>
      </w:pPr>
      <w:r>
        <w:rPr>
          <w:b/>
          <w:sz w:val="26"/>
        </w:rPr>
        <w:t>2.4  Comparative Evaluation of Convolutional and Recurrent Architectures</w:t>
      </w:r>
    </w:p>
    <w:p>
      <w:pPr>
        <w:spacing w:line="360" w:lineRule="auto" w:after="120"/>
        <w:jc w:val="both"/>
      </w:pPr>
      <w:r>
        <w:t>To determine the optimal neural backbone for processing sequential web telemetry, several comparative studies have benchmarked 1D Convolutional Neural Networks (1D-CNN) against Recurrent Neural Networks (RNN), including Long Short-Term Memory (LSTM) and Gated Recurrent Units (GRU) [4].</w:t>
      </w:r>
    </w:p>
    <w:p>
      <w:pPr>
        <w:spacing w:line="360" w:lineRule="auto" w:after="120"/>
        <w:jc w:val="both"/>
      </w:pPr>
      <w:r>
        <w:t>Empirical findings uniformly reveal that 1D-CNNs with dilated convolutions capture local spatial character n-grams (such as typosquatted brand tokens) with superior computational efficiency compared to LSTMs, which suffer from vanishing gradients across exceptionally long URL strings and high sequential training latency. Conversely, Transformer-based backbones such as CodeBERT [6] demonstrate unparalleled capacity in modeling the hierarchical structural dependencies of raw HTML and JavaScript DOM trees.</w:t>
      </w:r>
    </w:p>
    <w:p>
      <w:pPr>
        <w:spacing w:before="280" w:after="120"/>
        <w:jc w:val="left"/>
      </w:pPr>
      <w:r>
        <w:rPr>
          <w:b/>
          <w:sz w:val="26"/>
        </w:rPr>
        <w:t>2.5  Paradigm Shift: Multimodal Late Fusion and Explainability</w:t>
      </w:r>
    </w:p>
    <w:p>
      <w:pPr>
        <w:spacing w:line="360" w:lineRule="auto" w:after="120"/>
        <w:jc w:val="both"/>
      </w:pPr>
      <w:r>
        <w:t>Recent breakthroughs in multimodal deep learning have catalyzed a paradigm shift toward multi-perspective defensive frameworks. Lin et al. [5] demonstrated that integrating visual screenshots, HTML source code, and lexical URLs into a unified classifier eliminates the single-point-of-failure inherent to individual modalities. By capturing cross-modality correlations, multimodal models maintain high detection efficacy even when one or two channels are intentionally obfuscated by adversarial perturbations.</w:t>
      </w:r>
    </w:p>
    <w:p>
      <w:pPr>
        <w:spacing w:line="360" w:lineRule="auto" w:after="120"/>
        <w:jc w:val="both"/>
      </w:pPr>
      <w:r>
        <w:t>Simultaneously, the integration of Explainable Artificial Intelligence (XAI) frameworks—such as SHAP (SHapley Additive exPlanations) [7], Integrated Gradients [8], and Grad-CAM (Gradient-weighted Class Activation Mapping) [9]—has emerged as a mandatory operational requirement. Without verifiable attributions, enterprise SOC teams cannot validate whether deep neural networks are identifying genuine indicators of compromise (IoCs) or merely latching onto spurious dataset artifacts. Table 2.1 provides a structured comparative synthesis of the key literature reviewed in this study.</w:t>
      </w:r>
    </w:p>
    <w:tbl>
      <w:tblPr>
        <w:tblW w:type="auto" w:w="0"/>
        <w:jc w:val="center"/>
        <w:tblLook w:firstColumn="1" w:firstRow="1" w:lastColumn="0" w:lastRow="0" w:noHBand="0" w:noVBand="1" w:val="04A0"/>
      </w:tblPr>
      <w:tblGrid>
        <w:gridCol w:w="1760"/>
        <w:gridCol w:w="1760"/>
        <w:gridCol w:w="1760"/>
        <w:gridCol w:w="1760"/>
        <w:gridCol w:w="1760"/>
      </w:tblGrid>
      <w:tr>
        <w:tc>
          <w:tcPr>
            <w:tcW w:type="dxa" w:w="1728"/>
            <w:shd w:fill="F0F4F8"/>
            <w:tcBorders>
              <w:top w:val="single" w:sz="6" w:color="000000"/>
              <w:left w:val="single" w:sz="4" w:color="CCCCCC"/>
              <w:bottom w:val="single" w:sz="6" w:color="000000"/>
              <w:right w:val="single" w:sz="4" w:color="CCCCCC"/>
            </w:tcBorders>
          </w:tcPr>
          <w:p>
            <w:pPr>
              <w:spacing w:before="80" w:after="80" w:line="240" w:lineRule="auto"/>
              <w:jc w:val="center"/>
            </w:pPr>
            <w:r>
              <w:rPr>
                <w:rFonts w:ascii="Times New Roman" w:hAnsi="Times New Roman"/>
                <w:b/>
                <w:sz w:val="20"/>
              </w:rPr>
              <w:t>Study / Reference</w:t>
            </w:r>
          </w:p>
        </w:tc>
        <w:tc>
          <w:tcPr>
            <w:tcW w:type="dxa" w:w="1584"/>
            <w:shd w:fill="F0F4F8"/>
            <w:tcBorders>
              <w:top w:val="single" w:sz="6" w:color="000000"/>
              <w:left w:val="single" w:sz="4" w:color="CCCCCC"/>
              <w:bottom w:val="single" w:sz="6" w:color="000000"/>
              <w:right w:val="single" w:sz="4" w:color="CCCCCC"/>
            </w:tcBorders>
          </w:tcPr>
          <w:p>
            <w:pPr>
              <w:spacing w:before="80" w:after="80" w:line="240" w:lineRule="auto"/>
              <w:jc w:val="center"/>
            </w:pPr>
            <w:r>
              <w:rPr>
                <w:rFonts w:ascii="Times New Roman" w:hAnsi="Times New Roman"/>
                <w:b/>
                <w:sz w:val="20"/>
              </w:rPr>
              <w:t>Modality Inspected</w:t>
            </w:r>
          </w:p>
        </w:tc>
        <w:tc>
          <w:tcPr>
            <w:tcW w:type="dxa" w:w="1728"/>
            <w:shd w:fill="F0F4F8"/>
            <w:tcBorders>
              <w:top w:val="single" w:sz="6" w:color="000000"/>
              <w:left w:val="single" w:sz="4" w:color="CCCCCC"/>
              <w:bottom w:val="single" w:sz="6" w:color="000000"/>
              <w:right w:val="single" w:sz="4" w:color="CCCCCC"/>
            </w:tcBorders>
          </w:tcPr>
          <w:p>
            <w:pPr>
              <w:spacing w:before="80" w:after="80" w:line="240" w:lineRule="auto"/>
              <w:jc w:val="center"/>
            </w:pPr>
            <w:r>
              <w:rPr>
                <w:rFonts w:ascii="Times New Roman" w:hAnsi="Times New Roman"/>
                <w:b/>
                <w:sz w:val="20"/>
              </w:rPr>
              <w:t>Core Architecture</w:t>
            </w:r>
          </w:p>
        </w:tc>
        <w:tc>
          <w:tcPr>
            <w:tcW w:type="dxa" w:w="2160"/>
            <w:shd w:fill="F0F4F8"/>
            <w:tcBorders>
              <w:top w:val="single" w:sz="6" w:color="000000"/>
              <w:left w:val="single" w:sz="4" w:color="CCCCCC"/>
              <w:bottom w:val="single" w:sz="6" w:color="000000"/>
              <w:right w:val="single" w:sz="4" w:color="CCCCCC"/>
            </w:tcBorders>
          </w:tcPr>
          <w:p>
            <w:pPr>
              <w:spacing w:before="80" w:after="80" w:line="240" w:lineRule="auto"/>
              <w:jc w:val="center"/>
            </w:pPr>
            <w:r>
              <w:rPr>
                <w:rFonts w:ascii="Times New Roman" w:hAnsi="Times New Roman"/>
                <w:b/>
                <w:sz w:val="20"/>
              </w:rPr>
              <w:t>Key Strengths</w:t>
            </w:r>
          </w:p>
        </w:tc>
        <w:tc>
          <w:tcPr>
            <w:tcW w:type="dxa" w:w="2160"/>
            <w:shd w:fill="F0F4F8"/>
            <w:tcBorders>
              <w:top w:val="single" w:sz="6" w:color="000000"/>
              <w:left w:val="single" w:sz="4" w:color="CCCCCC"/>
              <w:bottom w:val="single" w:sz="6" w:color="000000"/>
              <w:right w:val="single" w:sz="4" w:color="CCCCCC"/>
            </w:tcBorders>
          </w:tcPr>
          <w:p>
            <w:pPr>
              <w:spacing w:before="80" w:after="80" w:line="240" w:lineRule="auto"/>
              <w:jc w:val="center"/>
            </w:pPr>
            <w:r>
              <w:rPr>
                <w:rFonts w:ascii="Times New Roman" w:hAnsi="Times New Roman"/>
                <w:b/>
                <w:sz w:val="20"/>
              </w:rPr>
              <w:t>Primary Limitations</w:t>
            </w:r>
          </w:p>
        </w:tc>
      </w:tr>
      <w:tr>
        <w:tc>
          <w:tcPr>
            <w:tcW w:type="dxa" w:w="1728"/>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Chen et al. (2024) [2]</w:t>
            </w:r>
          </w:p>
        </w:tc>
        <w:tc>
          <w:tcPr>
            <w:tcW w:type="dxa" w:w="1584"/>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Text / DOM Content</w:t>
            </w:r>
          </w:p>
        </w:tc>
        <w:tc>
          <w:tcPr>
            <w:tcW w:type="dxa" w:w="1728"/>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EM-BERT + SPCA</w:t>
            </w:r>
          </w:p>
        </w:tc>
        <w:tc>
          <w:tcPr>
            <w:tcW w:type="dxa" w:w="2160"/>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High semantic sensitivity (99.4% Acc)</w:t>
            </w:r>
          </w:p>
        </w:tc>
        <w:tc>
          <w:tcPr>
            <w:tcW w:type="dxa" w:w="2160"/>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Fails on image-only &amp; canvas portals</w:t>
            </w:r>
          </w:p>
        </w:tc>
      </w:tr>
      <w:tr>
        <w:tc>
          <w:tcPr>
            <w:tcW w:type="dxa" w:w="1728"/>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Samuel et al. (2024) [3]</w:t>
            </w:r>
          </w:p>
        </w:tc>
        <w:tc>
          <w:tcPr>
            <w:tcW w:type="dxa" w:w="1584"/>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Symbolic URL Tokens</w:t>
            </w:r>
          </w:p>
        </w:tc>
        <w:tc>
          <w:tcPr>
            <w:tcW w:type="dxa" w:w="1728"/>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DAOA + Deep CNN</w:t>
            </w:r>
          </w:p>
        </w:tc>
        <w:tc>
          <w:tcPr>
            <w:tcW w:type="dxa" w:w="2160"/>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High throughput, sub-50ms latency</w:t>
            </w:r>
          </w:p>
        </w:tc>
        <w:tc>
          <w:tcPr>
            <w:tcW w:type="dxa" w:w="2160"/>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Blind to compromised legitimate domains</w:t>
            </w:r>
          </w:p>
        </w:tc>
      </w:tr>
      <w:tr>
        <w:tc>
          <w:tcPr>
            <w:tcW w:type="dxa" w:w="1728"/>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Lin et al. (2023) [5]</w:t>
            </w:r>
          </w:p>
        </w:tc>
        <w:tc>
          <w:tcPr>
            <w:tcW w:type="dxa" w:w="1584"/>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URL + HTML + Visual</w:t>
            </w:r>
          </w:p>
        </w:tc>
        <w:tc>
          <w:tcPr>
            <w:tcW w:type="dxa" w:w="1728"/>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Early Feature Fusion</w:t>
            </w:r>
          </w:p>
        </w:tc>
        <w:tc>
          <w:tcPr>
            <w:tcW w:type="dxa" w:w="2160"/>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Multi-angle coverage, robust to evasions</w:t>
            </w:r>
          </w:p>
        </w:tc>
        <w:tc>
          <w:tcPr>
            <w:tcW w:type="dxa" w:w="2160"/>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High latency, monolithic black-box</w:t>
            </w:r>
          </w:p>
        </w:tc>
      </w:tr>
      <w:tr>
        <w:tc>
          <w:tcPr>
            <w:tcW w:type="dxa" w:w="1728"/>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Adebowale et al. (2023) [4]</w:t>
            </w:r>
          </w:p>
        </w:tc>
        <w:tc>
          <w:tcPr>
            <w:tcW w:type="dxa" w:w="1584"/>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URL + Network Meta</w:t>
            </w:r>
          </w:p>
        </w:tc>
        <w:tc>
          <w:tcPr>
            <w:tcW w:type="dxa" w:w="1728"/>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Hybrid CNN-LSTM</w:t>
            </w:r>
          </w:p>
        </w:tc>
        <w:tc>
          <w:tcPr>
            <w:tcW w:type="dxa" w:w="2160"/>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Captures temporal &amp; spatial n-grams</w:t>
            </w:r>
          </w:p>
        </w:tc>
        <w:tc>
          <w:tcPr>
            <w:tcW w:type="dxa" w:w="2160"/>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Heavy compute, no visual verification</w:t>
            </w:r>
          </w:p>
        </w:tc>
      </w:tr>
      <w:tr>
        <w:tc>
          <w:tcPr>
            <w:tcW w:type="dxa" w:w="1728"/>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Feng et al. (2022) [6]</w:t>
            </w:r>
          </w:p>
        </w:tc>
        <w:tc>
          <w:tcPr>
            <w:tcW w:type="dxa" w:w="1584"/>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Source Code DOM</w:t>
            </w:r>
          </w:p>
        </w:tc>
        <w:tc>
          <w:tcPr>
            <w:tcW w:type="dxa" w:w="1728"/>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CodeBERT Transformer</w:t>
            </w:r>
          </w:p>
        </w:tc>
        <w:tc>
          <w:tcPr>
            <w:tcW w:type="dxa" w:w="2160"/>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Deep structural syntax understanding</w:t>
            </w:r>
          </w:p>
        </w:tc>
        <w:tc>
          <w:tcPr>
            <w:tcW w:type="dxa" w:w="2160"/>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Vulnerable to JS dynamic obfuscation</w:t>
            </w:r>
          </w:p>
        </w:tc>
      </w:tr>
      <w:tr>
        <w:tc>
          <w:tcPr>
            <w:tcW w:type="dxa" w:w="1728"/>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Proposed Architecture [1]</w:t>
            </w:r>
          </w:p>
        </w:tc>
        <w:tc>
          <w:tcPr>
            <w:tcW w:type="dxa" w:w="1584"/>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URL + Meta + DOM + Visual</w:t>
            </w:r>
          </w:p>
        </w:tc>
        <w:tc>
          <w:tcPr>
            <w:tcW w:type="dxa" w:w="1728"/>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Multimodal Late Fusion + XAI + LLM</w:t>
            </w:r>
          </w:p>
        </w:tc>
        <w:tc>
          <w:tcPr>
            <w:tcW w:type="dxa" w:w="2160"/>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Zero-day resilient (92%), full XAI attribution, sub-110ms latency</w:t>
            </w:r>
          </w:p>
        </w:tc>
        <w:tc>
          <w:tcPr>
            <w:tcW w:type="dxa" w:w="2160"/>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Increased memory footprint during multi-branch inference</w:t>
            </w:r>
          </w:p>
        </w:tc>
      </w:tr>
    </w:tbl>
    <w:p>
      <w:pPr>
        <w:spacing w:before="80" w:after="240"/>
        <w:jc w:val="center"/>
      </w:pPr>
      <w:r>
        <w:rPr>
          <w:b/>
        </w:rPr>
        <w:t>Table 2.1: Comparison of Existing State-of-the-Art Phishing Detection Literature</w:t>
      </w:r>
    </w:p>
    <w:p>
      <w:r>
        <w:br w:type="page"/>
      </w:r>
    </w:p>
    <w:p>
      <w:pPr>
        <w:spacing w:before="360" w:after="120"/>
        <w:jc w:val="center"/>
      </w:pPr>
      <w:r>
        <w:rPr>
          <w:b/>
          <w:sz w:val="28"/>
        </w:rPr>
        <w:t>CHAPTER 3</w:t>
        <w:br/>
      </w:r>
      <w:r>
        <w:rPr>
          <w:b/>
          <w:sz w:val="30"/>
        </w:rPr>
        <w:t>PROPOSED METHODOLOGY</w:t>
      </w:r>
    </w:p>
    <w:p>
      <w:pPr>
        <w:spacing w:before="280" w:after="120"/>
        <w:jc w:val="left"/>
      </w:pPr>
      <w:r>
        <w:rPr>
          <w:b/>
          <w:sz w:val="26"/>
        </w:rPr>
        <w:t>3.1  System Architecture Overview</w:t>
      </w:r>
    </w:p>
    <w:p>
      <w:pPr>
        <w:spacing w:line="360" w:lineRule="auto" w:after="120"/>
        <w:jc w:val="both"/>
      </w:pPr>
      <w:r>
        <w:t>The proposed Multimodal Phishing Detection and Incident Response Architecture operates as a synchronized, multi-tier defense mesh. As illustrated in the schematic pipeline in Figure 3.1, the system ingests a target URL and initiates parallel asynchronous feature extraction workers across four orthogonal data channels: (1) tabular lexical and network metadata; (2) character-level symbolic URL sequence; (3) raw HTML DOM source code; and (4) rendered visual interface screenshots. Each modality is processed by a specialized, decoupled neural backbone. Their intermediate continuous confidence scores are concatenated into an ensemble representation vector and classified by a cost-sensitive late-fusion meta-classifier. Concurrently, a multimodal explainability suite generates fine-grained attributions that are summarized by an autonomous local LLM agent for enterprise SOC triage.</w:t>
      </w:r>
    </w:p>
    <w:p>
      <w:pPr>
        <w:spacing w:before="160" w:after="80"/>
        <w:jc w:val="center"/>
      </w:pPr>
      <w:r>
        <w:drawing>
          <wp:inline xmlns:a="http://schemas.openxmlformats.org/drawingml/2006/main" xmlns:pic="http://schemas.openxmlformats.org/drawingml/2006/picture">
            <wp:extent cx="5486400" cy="3157767"/>
            <wp:docPr id="3" name="Picture 3"/>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486400" cy="3157767"/>
                    </a:xfrm>
                    <a:prstGeom prst="rect"/>
                  </pic:spPr>
                </pic:pic>
              </a:graphicData>
            </a:graphic>
          </wp:inline>
        </w:drawing>
      </w:r>
    </w:p>
    <w:p>
      <w:pPr>
        <w:spacing w:after="240"/>
        <w:jc w:val="center"/>
      </w:pPr>
      <w:r>
        <w:rPr>
          <w:b/>
          <w:sz w:val="22"/>
        </w:rPr>
        <w:t>Figure 3.1: End-to-End Multimodal Late-Fusion Architecture with Explainable AI</w:t>
      </w:r>
    </w:p>
    <w:p>
      <w:pPr>
        <w:spacing w:before="280" w:after="120"/>
        <w:jc w:val="left"/>
      </w:pPr>
      <w:r>
        <w:rPr>
          <w:b/>
          <w:sz w:val="26"/>
        </w:rPr>
        <w:t>3.2  Modality 1: Tabular URL Features and Metadata via CatBoost</w:t>
      </w:r>
    </w:p>
    <w:p>
      <w:pPr>
        <w:spacing w:before="200" w:after="80"/>
        <w:jc w:val="left"/>
      </w:pPr>
      <w:r>
        <w:rPr>
          <w:b/>
          <w:sz w:val="24"/>
        </w:rPr>
        <w:t>3.2.1  Feature Engineering Pipeline</w:t>
      </w:r>
    </w:p>
    <w:p>
      <w:pPr>
        <w:spacing w:line="360" w:lineRule="auto" w:after="120"/>
        <w:jc w:val="both"/>
      </w:pPr>
      <w:r>
        <w:t>The tabular branch extracts a comprehensive vector of 38 engineered features spanning structural, lexical, and live network telemetry dimensions. Lexical features include total URL length, domain length, path depth, token entropy, and frequency counts of high-risk characters ('@', '//', '-', '_', '=', '%'). Network metadata features encompass WHOIS domain registration age, SSL/TLS certificate validity lifespan, issuing certificate authority reputation, DNS MX (Mail Exchange) records, and Autonomous System Number (ASN) reputation scores.</w:t>
      </w:r>
    </w:p>
    <w:p>
      <w:pPr>
        <w:spacing w:before="200" w:after="80"/>
        <w:jc w:val="left"/>
      </w:pPr>
      <w:r>
        <w:rPr>
          <w:b/>
          <w:sz w:val="24"/>
        </w:rPr>
        <w:t>3.2.2  CatBoost Classification Model</w:t>
      </w:r>
    </w:p>
    <w:p>
      <w:pPr>
        <w:spacing w:line="360" w:lineRule="auto" w:after="120"/>
        <w:jc w:val="both"/>
      </w:pPr>
      <w:r>
        <w:t>To process tabular features containing both continuous values (entropy, age) and high-cardinality categorical variables (TLD, ASN, registrar), we deploy CatBoost (Categorical Boosting). CatBoost utilizes ordered target statistics to encode categorical variables without introducing target leakage, outperforming classical XGBoost and LightGBM models on cybersecurity telemetry:</w:t>
      </w:r>
    </w:p>
    <w:p>
      <w:pPr>
        <w:spacing w:line="360" w:lineRule="auto" w:after="120"/>
        <w:jc w:val="both"/>
      </w:pPr>
      <w:r>
        <w:t>h(x) = sum_{m=1}^{M} alpha_m * f_m(x; theta_m)</w:t>
      </w:r>
    </w:p>
    <w:p>
      <w:pPr>
        <w:spacing w:line="360" w:lineRule="auto" w:after="120"/>
        <w:jc w:val="both"/>
      </w:pPr>
      <w:r>
        <w:t>where each f_m represents an oblivious decision tree whose split criteria are identical across all tree depths, providing intrinsic resistance against overfitting on noisy web traffic.</w:t>
      </w:r>
    </w:p>
    <w:p>
      <w:pPr>
        <w:spacing w:before="280" w:after="120"/>
        <w:jc w:val="left"/>
      </w:pPr>
      <w:r>
        <w:rPr>
          <w:b/>
          <w:sz w:val="26"/>
        </w:rPr>
        <w:t>3.3  Modality 2: Character-Level Symbolic URL via 1D-CNN</w:t>
      </w:r>
    </w:p>
    <w:p>
      <w:pPr>
        <w:spacing w:before="200" w:after="80"/>
        <w:jc w:val="left"/>
      </w:pPr>
      <w:r>
        <w:rPr>
          <w:b/>
          <w:sz w:val="24"/>
        </w:rPr>
        <w:t>3.3.1  Character Representation</w:t>
      </w:r>
    </w:p>
    <w:p>
      <w:pPr>
        <w:spacing w:line="360" w:lineRule="auto" w:after="120"/>
        <w:jc w:val="both"/>
      </w:pPr>
      <w:r>
        <w:t>While tabular features capture macro-level statistics, adversaries frequently evade them through subtle typographic substitutions (e.g., 'paypa1.com' or 'amaz0n-security.net'). To capture raw spatial token dependencies, the URL string is converted into a 1D character sequence. We define an alphabet vocabulary Lambda containing 96 printable ASCII characters. Each character in the input URL is mapped to an index and transformed into a 64-dimensional dense trainable embedding vector:</w:t>
      </w:r>
    </w:p>
    <w:p>
      <w:pPr>
        <w:spacing w:line="360" w:lineRule="auto" w:after="120"/>
        <w:jc w:val="both"/>
      </w:pPr>
      <w:r>
        <w:t>E = [e_1, e_2, ..., e_L] in R^{L x d}</w:t>
      </w:r>
    </w:p>
    <w:p>
      <w:pPr>
        <w:spacing w:line="360" w:lineRule="auto" w:after="120"/>
        <w:jc w:val="both"/>
      </w:pPr>
      <w:r>
        <w:t>where L = 256 is the fixed maximum sequence length and d = 64 represents embedding dimensionality.</w:t>
      </w:r>
    </w:p>
    <w:p>
      <w:pPr>
        <w:spacing w:before="200" w:after="80"/>
        <w:jc w:val="left"/>
      </w:pPr>
      <w:r>
        <w:rPr>
          <w:b/>
          <w:sz w:val="24"/>
        </w:rPr>
        <w:t>3.3.2  Convolutional Feature Extraction</w:t>
      </w:r>
    </w:p>
    <w:p>
      <w:pPr>
        <w:spacing w:line="360" w:lineRule="auto" w:after="120"/>
        <w:jc w:val="both"/>
      </w:pPr>
      <w:r>
        <w:t>The embedding tensor is processed by three parallel 1D convolutional layers utilizing filter kernel sizes k in {3, 5, 7}. Each convolution applies a rectified linear unit (ReLU) activation followed by temporal max-pooling:</w:t>
      </w:r>
    </w:p>
    <w:p>
      <w:pPr>
        <w:spacing w:line="360" w:lineRule="auto" w:after="120"/>
        <w:jc w:val="both"/>
      </w:pPr>
      <w:r>
        <w:t>c_i = ReLU(W * E_{i:i+k-1} + b)</w:t>
      </w:r>
    </w:p>
    <w:p>
      <w:pPr>
        <w:spacing w:line="360" w:lineRule="auto" w:after="120"/>
        <w:jc w:val="both"/>
      </w:pPr>
      <w:r>
        <w:t>The pooled feature maps are concatenated into a global latent vector and passed through a dense layer with dropout (p = 0.5) to produce the character-level prediction probability p_{URL}.</w:t>
      </w:r>
    </w:p>
    <w:p>
      <w:pPr>
        <w:spacing w:before="280" w:after="120"/>
        <w:jc w:val="left"/>
      </w:pPr>
      <w:r>
        <w:rPr>
          <w:b/>
          <w:sz w:val="26"/>
        </w:rPr>
        <w:t>3.4  Modality 3: HTML Source Code Representation via Fine-Tuned CodeBERT</w:t>
      </w:r>
    </w:p>
    <w:p>
      <w:pPr>
        <w:spacing w:before="200" w:after="80"/>
        <w:jc w:val="left"/>
      </w:pPr>
      <w:r>
        <w:rPr>
          <w:b/>
          <w:sz w:val="24"/>
        </w:rPr>
        <w:t>3.4.1  Transformer Architecture and Pre-training</w:t>
      </w:r>
    </w:p>
    <w:p>
      <w:pPr>
        <w:spacing w:line="360" w:lineRule="auto" w:after="120"/>
        <w:jc w:val="both"/>
      </w:pPr>
      <w:r>
        <w:t>The Document Object Model (DOM) source code encapsulates an attacker's functional intent—including hidden form actions, external script imports, and polymorphic JavaScript payloads. To analyze this complex code syntax, we utilize CodeBERT, a multi-layer bidirectional Transformer pre-trained on both natural language documentation and programming code (Python, Java, JavaScript, HTML).</w:t>
      </w:r>
    </w:p>
    <w:p>
      <w:pPr>
        <w:spacing w:before="200" w:after="80"/>
        <w:jc w:val="left"/>
      </w:pPr>
      <w:r>
        <w:rPr>
          <w:b/>
          <w:sz w:val="24"/>
        </w:rPr>
        <w:t>3.4.2  DOM Preprocessing and Tokenization</w:t>
      </w:r>
    </w:p>
    <w:p>
      <w:pPr>
        <w:spacing w:line="360" w:lineRule="auto" w:after="120"/>
        <w:jc w:val="both"/>
      </w:pPr>
      <w:r>
        <w:t>Raw web source code frequently exceeds hundreds of kilobytes, far surpassing Transformer input limits. We implement an intelligent DOM parser that strips boilerplate comments and large inline base64 assets while preserving security-critical tags: &lt;form&gt;, &lt;input&gt;, &lt;script&gt;, &lt;iframe&gt;, and &lt;a&gt;. The cleaned HTML sequence is tokenized using Byte-Pair Encoding (BPE) with a maximum sequence length of 512 tokens. The [CLS] token representation is fed through a multi-layer perceptron (MLP) classification head:</w:t>
      </w:r>
    </w:p>
    <w:p>
      <w:pPr>
        <w:spacing w:line="360" w:lineRule="auto" w:after="120"/>
        <w:jc w:val="both"/>
      </w:pPr>
      <w:r>
        <w:t>h_{DOM} = Transformer([CLS], t_1, t_2, ..., t_{511})</w:t>
      </w:r>
    </w:p>
    <w:p>
      <w:pPr>
        <w:spacing w:line="360" w:lineRule="auto" w:after="120"/>
        <w:jc w:val="both"/>
      </w:pPr>
      <w:r>
        <w:t>p_{DOM} = sigma(W_{head} * h_{DOM}^{[CLS]} + b_{head})</w:t>
      </w:r>
    </w:p>
    <w:p>
      <w:pPr>
        <w:spacing w:before="280" w:after="120"/>
        <w:jc w:val="left"/>
      </w:pPr>
      <w:r>
        <w:rPr>
          <w:b/>
          <w:sz w:val="26"/>
        </w:rPr>
        <w:t>3.5  Modality 4: Screenshot-Based Visual Analysis via EfficientNet-B7</w:t>
      </w:r>
    </w:p>
    <w:p>
      <w:pPr>
        <w:spacing w:before="200" w:after="80"/>
        <w:jc w:val="left"/>
      </w:pPr>
      <w:r>
        <w:rPr>
          <w:b/>
          <w:sz w:val="24"/>
        </w:rPr>
        <w:t>3.5.1  Image Capture and Normalization</w:t>
      </w:r>
    </w:p>
    <w:p>
      <w:pPr>
        <w:spacing w:line="360" w:lineRule="auto" w:after="120"/>
        <w:jc w:val="both"/>
      </w:pPr>
      <w:r>
        <w:t>Modern phishing kits increasingly utilize zero-code graphical rendering or iframe injection to bypass textual DOM scrapers entirely. To eliminate this blind spot, a headless Chromium browser instance navigates to the target URL within an isolated sandbox and renders a full-page desktop screenshot (1920 x 1080 resolution) after allowing dynamic JavaScript execution to settle (2.0-second delay).</w:t>
      </w:r>
    </w:p>
    <w:p>
      <w:pPr>
        <w:spacing w:before="200" w:after="80"/>
        <w:jc w:val="left"/>
      </w:pPr>
      <w:r>
        <w:rPr>
          <w:b/>
          <w:sz w:val="24"/>
        </w:rPr>
        <w:t>3.5.2  EfficientNet-B7 Backbone</w:t>
      </w:r>
    </w:p>
    <w:p>
      <w:pPr>
        <w:spacing w:line="360" w:lineRule="auto" w:after="120"/>
        <w:jc w:val="both"/>
      </w:pPr>
      <w:r>
        <w:t>The rendered screenshot is resized to 600 x 600 pixels and normalized. Feature extraction is performed via EfficientNet-B7, which utilizes compound scaling to balance network depth, width, and image resolution uniformly. The extracted visual feature vector is mapped through dense layers to output the visual brand mimicry probability p_{VIS}.</w:t>
      </w:r>
    </w:p>
    <w:p>
      <w:pPr>
        <w:spacing w:before="280" w:after="120"/>
        <w:jc w:val="left"/>
      </w:pPr>
      <w:r>
        <w:rPr>
          <w:b/>
          <w:sz w:val="26"/>
        </w:rPr>
        <w:t>3.6  Late-Fusion Trainable Meta-Classifier</w:t>
      </w:r>
    </w:p>
    <w:p>
      <w:pPr>
        <w:spacing w:before="200" w:after="80"/>
        <w:jc w:val="left"/>
      </w:pPr>
      <w:r>
        <w:rPr>
          <w:b/>
          <w:sz w:val="24"/>
        </w:rPr>
        <w:t>3.6.1  Cost-Sensitive Optimization</w:t>
      </w:r>
    </w:p>
    <w:p>
      <w:pPr>
        <w:spacing w:line="360" w:lineRule="auto" w:after="120"/>
        <w:jc w:val="both"/>
      </w:pPr>
      <w:r>
        <w:t>Rather than utilizing simplistic majority voting or arithmetic averaging, the four intermediate branch probabilities are concatenated into an ensemble representation vector:</w:t>
      </w:r>
    </w:p>
    <w:p>
      <w:pPr>
        <w:spacing w:line="360" w:lineRule="auto" w:after="120"/>
        <w:jc w:val="both"/>
      </w:pPr>
      <w:r>
        <w:t>P = [p_{TAB}, p_{URL}, p_{DOM}, p_{VIS}]^T in [0, 1]^4</w:t>
      </w:r>
    </w:p>
    <w:p>
      <w:pPr>
        <w:spacing w:line="360" w:lineRule="auto" w:after="120"/>
        <w:jc w:val="both"/>
      </w:pPr>
      <w:r>
        <w:t>A lightweight Multi-Layer Perceptron meta-classifier optimizes the final fusion decision. To reflect the severe operational asymmetry in cybersecurity—where a False Negative (allowing a phishing attack to reach an executive inbox) is vastly more damaging than a False Positive (temporarily quarantining a benign site)—we formulate a cost-sensitive weighted cross-entropy loss:</w:t>
      </w:r>
    </w:p>
    <w:p>
      <w:pPr>
        <w:spacing w:line="360" w:lineRule="auto" w:after="120"/>
        <w:jc w:val="both"/>
      </w:pPr>
      <w:r>
        <w:t>L_{cost} = - [ w_{phish} * y * log(p_hat) + (1 - y) * log(1 - p_hat) ]</w:t>
      </w:r>
    </w:p>
    <w:p>
      <w:pPr>
        <w:spacing w:line="360" w:lineRule="auto" w:after="120"/>
        <w:jc w:val="both"/>
      </w:pPr>
      <w:r>
        <w:t>with w_{phish} set to 5.0, forcing the meta-learner to heavily prioritize phishing recall.</w:t>
      </w:r>
    </w:p>
    <w:p>
      <w:pPr>
        <w:spacing w:before="280" w:after="120"/>
        <w:jc w:val="left"/>
      </w:pPr>
      <w:r>
        <w:rPr>
          <w:b/>
          <w:sz w:val="26"/>
        </w:rPr>
        <w:t>3.7  Multimodal Explainable AI (XAI) Suite</w:t>
      </w:r>
    </w:p>
    <w:p>
      <w:pPr>
        <w:spacing w:line="360" w:lineRule="auto" w:after="120"/>
        <w:jc w:val="both"/>
      </w:pPr>
      <w:r>
        <w:t>To transform black-box neural decisions into actionable defensive intelligence, our architecture incorporates a dedicated XAI suite across every branch:</w:t>
      </w:r>
    </w:p>
    <w:p>
      <w:pPr>
        <w:pStyle w:val="ListBullet"/>
        <w:spacing w:line="360" w:lineRule="auto" w:after="80"/>
        <w:jc w:val="both"/>
      </w:pPr>
      <w:r>
        <w:rPr>
          <w:b/>
        </w:rPr>
        <w:t>SHAP for Tabular Telemetry:</w:t>
      </w:r>
      <w:r>
        <w:t xml:space="preserve"> Computes Shapley values based on cooperative game theory, quantifying exactly how each feature (e.g., domain age &lt; 3 days) shifts the risk score relative to baseline.</w:t>
      </w:r>
    </w:p>
    <w:p>
      <w:pPr>
        <w:pStyle w:val="ListBullet"/>
        <w:spacing w:line="360" w:lineRule="auto" w:after="80"/>
        <w:jc w:val="both"/>
      </w:pPr>
      <w:r>
        <w:rPr>
          <w:b/>
        </w:rPr>
        <w:t>Integrated Gradients for Character URLs:</w:t>
      </w:r>
      <w:r>
        <w:t xml:space="preserve"> Calculates the path integral of gradients along the straight line from a baseline neutral URL string to the target URL, pinpointing specific typosquatted characters.</w:t>
      </w:r>
    </w:p>
    <w:p>
      <w:pPr>
        <w:pStyle w:val="ListBullet"/>
        <w:spacing w:line="360" w:lineRule="auto" w:after="80"/>
        <w:jc w:val="both"/>
      </w:pPr>
      <w:r>
        <w:rPr>
          <w:b/>
        </w:rPr>
        <w:t>Attention Rollout for HTML DOM:</w:t>
      </w:r>
      <w:r>
        <w:t xml:space="preserve"> Aggregates multi-head self-attention weights across CodeBERT layers, highlighting deceptive &lt;form action&gt; endpoints or concealed password inputs.</w:t>
      </w:r>
    </w:p>
    <w:p>
      <w:pPr>
        <w:pStyle w:val="ListBullet"/>
        <w:spacing w:line="360" w:lineRule="auto" w:after="80"/>
        <w:jc w:val="both"/>
      </w:pPr>
      <w:r>
        <w:rPr>
          <w:b/>
        </w:rPr>
        <w:t>Grad-CAM for Visual Layouts:</w:t>
      </w:r>
      <w:r>
        <w:t xml:space="preserve"> Backpropagates classification gradients to the final convolutional layer of EfficientNet-B7, producing a 2D spatial heatmap that visually highlights forged brand logos and credential input dialogs.</w:t>
      </w:r>
    </w:p>
    <w:p>
      <w:pPr>
        <w:spacing w:before="280" w:after="120"/>
        <w:jc w:val="left"/>
      </w:pPr>
      <w:r>
        <w:rPr>
          <w:b/>
          <w:sz w:val="26"/>
        </w:rPr>
        <w:t>3.8  Local LLM Agent for Consolidated Incident Reporting</w:t>
      </w:r>
    </w:p>
    <w:p>
      <w:pPr>
        <w:spacing w:line="360" w:lineRule="auto" w:after="120"/>
        <w:jc w:val="both"/>
      </w:pPr>
      <w:r>
        <w:t>To bridge the gap between mathematical XAI attributions and human SOC analysts, we integrate a local Large Language Model (Llama-3-8B-Instruct, 4-bit quantized). Powered by Retrieval-Augmented Generation (RAG) connected to a vector store of the MITRE ATT&amp;CK enterprise knowledge base, the LLM ingests the structured XAI feature dictionary and automatically synthesizes a concise, human-readable incident brief. This report outlines the attack mechanism, identified brand targets, and actionable triage recommendations (block domain, revoke active sessions).</w:t>
      </w:r>
    </w:p>
    <w:p>
      <w:pPr>
        <w:spacing w:before="280" w:after="120"/>
        <w:jc w:val="left"/>
      </w:pPr>
      <w:r>
        <w:rPr>
          <w:b/>
          <w:sz w:val="26"/>
        </w:rPr>
        <w:t>3.9  Microservice Deployment and SIEM Streaming Pipeline</w:t>
      </w:r>
    </w:p>
    <w:p>
      <w:pPr>
        <w:spacing w:line="360" w:lineRule="auto" w:after="120"/>
        <w:jc w:val="both"/>
      </w:pPr>
      <w:r>
        <w:t>The complete system is containerized as asynchronous microservices within Docker and Kubernetes. An enterprise web proxy or email gateway streams incoming target URLs via an Apache Kafka message queue. Decoupled worker pods extract features concurrently, returning classification verdicts and XAI summaries to corporate Security Information and Event Management (SIEM) dashboards via RESTful APIs in under 110 milliseconds.</w:t>
      </w:r>
    </w:p>
    <w:p>
      <w:r>
        <w:br w:type="page"/>
      </w:r>
    </w:p>
    <w:p>
      <w:pPr>
        <w:spacing w:before="360" w:after="120"/>
        <w:jc w:val="center"/>
      </w:pPr>
      <w:r>
        <w:rPr>
          <w:b/>
          <w:sz w:val="28"/>
        </w:rPr>
        <w:t>CHAPTER 4</w:t>
        <w:br/>
      </w:r>
      <w:r>
        <w:rPr>
          <w:b/>
          <w:sz w:val="30"/>
        </w:rPr>
        <w:t>RESULTS AND DISCUSSIONS</w:t>
      </w:r>
    </w:p>
    <w:p>
      <w:pPr>
        <w:spacing w:before="280" w:after="120"/>
        <w:jc w:val="left"/>
      </w:pPr>
      <w:r>
        <w:rPr>
          <w:b/>
          <w:sz w:val="26"/>
        </w:rPr>
        <w:t>4.1  Experimental Setup and Benchmark Datasets</w:t>
      </w:r>
    </w:p>
    <w:p>
      <w:pPr>
        <w:spacing w:before="200" w:after="80"/>
        <w:jc w:val="left"/>
      </w:pPr>
      <w:r>
        <w:rPr>
          <w:b/>
          <w:sz w:val="24"/>
        </w:rPr>
        <w:t>4.1.1  Dataset Profiles</w:t>
      </w:r>
    </w:p>
    <w:p>
      <w:pPr>
        <w:spacing w:line="360" w:lineRule="auto" w:after="120"/>
        <w:jc w:val="both"/>
      </w:pPr>
      <w:r>
        <w:t>To evaluate the efficacy, generalizability, and operational viability of the multimodal late-fusion architecture, extensive empirical experiments were conducted across three primary data sources:</w:t>
      </w:r>
    </w:p>
    <w:p>
      <w:pPr>
        <w:pStyle w:val="ListNumber"/>
        <w:spacing w:line="360" w:lineRule="auto" w:after="80"/>
        <w:jc w:val="both"/>
      </w:pPr>
      <w:r>
        <w:rPr>
          <w:b/>
        </w:rPr>
        <w:t>Proprietary Enterprise Corpus (3.2 Million URLs):</w:t>
      </w:r>
      <w:r>
        <w:t xml:space="preserve"> Compiled from live enterprise proxy logs, security telemetry feeds, and confirmed SOC incident reports over a 12-month period. It comprises 2.8 million verified benign enterprise URLs and 400,000 verified malicious phishing portals.</w:t>
      </w:r>
    </w:p>
    <w:p>
      <w:pPr>
        <w:pStyle w:val="ListNumber"/>
        <w:spacing w:line="360" w:lineRule="auto" w:after="80"/>
        <w:jc w:val="both"/>
      </w:pPr>
      <w:r>
        <w:rPr>
          <w:b/>
        </w:rPr>
        <w:t>Multimodal Target Lookup Phishing Dataset (MTLP) [5]:</w:t>
      </w:r>
      <w:r>
        <w:t xml:space="preserve"> A rigorous, publicly available academic benchmark comprising 60,000 paired multimodal instances (lexical URL, raw HTML DOM tree, and visual page screenshots), balanced across legitimate and phishing samples.</w:t>
      </w:r>
    </w:p>
    <w:p>
      <w:pPr>
        <w:pStyle w:val="ListNumber"/>
        <w:spacing w:line="360" w:lineRule="auto" w:after="80"/>
        <w:jc w:val="both"/>
      </w:pPr>
      <w:r>
        <w:rPr>
          <w:b/>
        </w:rPr>
        <w:t>Live Zero-Day Testbed (100 URLs):</w:t>
      </w:r>
      <w:r>
        <w:t xml:space="preserve"> A curated evaluation set of 100 active, unindexed phishing websites collected from real-time honeypots within their initial 30 minutes of deployment, specifically selected to test evasion resilience against commercial feeds.</w:t>
      </w:r>
    </w:p>
    <w:p>
      <w:pPr>
        <w:spacing w:before="200" w:after="80"/>
        <w:jc w:val="left"/>
      </w:pPr>
      <w:r>
        <w:rPr>
          <w:b/>
          <w:sz w:val="24"/>
        </w:rPr>
        <w:t>4.1.2  Hardware and Computing Environment</w:t>
      </w:r>
    </w:p>
    <w:p>
      <w:pPr>
        <w:spacing w:line="360" w:lineRule="auto" w:after="120"/>
        <w:jc w:val="both"/>
      </w:pPr>
      <w:r>
        <w:t>Model training and distributed inference benchmarking were conducted on an enterprise computing cluster equipped with dual Intel Xeon Platinum processors (64 physical cores, 2.80 GHz), 256 GB of ECC DDR4 RAM, and four NVIDIA A100 Tensor Core GPUs (40 GB VRAM each). The microservice pipeline was deployed within containerized Docker pods managed by a Kubernetes cluster running Ubuntu 22.04 LTS.</w:t>
      </w:r>
    </w:p>
    <w:p>
      <w:pPr>
        <w:spacing w:before="280" w:after="120"/>
        <w:jc w:val="left"/>
      </w:pPr>
      <w:r>
        <w:rPr>
          <w:b/>
          <w:sz w:val="26"/>
        </w:rPr>
        <w:t>4.2  Performance Evaluation Metrics</w:t>
      </w:r>
    </w:p>
    <w:p>
      <w:pPr>
        <w:spacing w:line="360" w:lineRule="auto" w:after="120"/>
        <w:jc w:val="both"/>
      </w:pPr>
      <w:r>
        <w:t>Model efficacy was evaluated using standard statistical classification metrics: Accuracy (ACC), Precision (PREC), Recall (REC), F1-Score, and Area Under the ROC Curve (ROC-AUC). Given the severe operational cost of false negatives in cybersecurity, the F1-score serves as the primary benchmark metric.</w:t>
      </w:r>
    </w:p>
    <w:p>
      <w:pPr>
        <w:spacing w:before="280" w:after="120"/>
        <w:jc w:val="left"/>
      </w:pPr>
      <w:r>
        <w:rPr>
          <w:b/>
          <w:sz w:val="26"/>
        </w:rPr>
        <w:t>4.3  Multimodal Late Fusion vs Individual Modality Branches</w:t>
      </w:r>
    </w:p>
    <w:p>
      <w:pPr>
        <w:spacing w:line="360" w:lineRule="auto" w:after="120"/>
        <w:jc w:val="both"/>
      </w:pPr>
      <w:r>
        <w:t>A critical research inquiry centers on whether combining heterogeneous data modalities provides superior discrimination over individual, specialized models. Table 4.1 presents the comparative evaluation across each standalone branch and the proposed multimodal late-fusion ensemble.</w:t>
      </w:r>
    </w:p>
    <w:tbl>
      <w:tblPr>
        <w:tblW w:type="auto" w:w="0"/>
        <w:jc w:val="center"/>
        <w:tblLook w:firstColumn="1" w:firstRow="1" w:lastColumn="0" w:lastRow="0" w:noHBand="0" w:noVBand="1" w:val="04A0"/>
      </w:tblPr>
      <w:tblGrid>
        <w:gridCol w:w="1466"/>
        <w:gridCol w:w="1466"/>
        <w:gridCol w:w="1466"/>
        <w:gridCol w:w="1466"/>
        <w:gridCol w:w="1466"/>
        <w:gridCol w:w="1466"/>
      </w:tblGrid>
      <w:tr>
        <w:tc>
          <w:tcPr>
            <w:tcW w:type="dxa" w:w="3600"/>
            <w:shd w:fill="F0F4F8"/>
            <w:tcBorders>
              <w:top w:val="single" w:sz="6" w:color="000000"/>
              <w:left w:val="single" w:sz="4" w:color="CCCCCC"/>
              <w:bottom w:val="single" w:sz="6" w:color="000000"/>
              <w:right w:val="single" w:sz="4" w:color="CCCCCC"/>
            </w:tcBorders>
          </w:tcPr>
          <w:p>
            <w:pPr>
              <w:spacing w:before="80" w:after="80" w:line="240" w:lineRule="auto"/>
              <w:jc w:val="center"/>
            </w:pPr>
            <w:r>
              <w:rPr>
                <w:rFonts w:ascii="Times New Roman" w:hAnsi="Times New Roman"/>
                <w:b/>
                <w:sz w:val="20"/>
              </w:rPr>
              <w:t>Model Architecture / Modality</w:t>
            </w:r>
          </w:p>
        </w:tc>
        <w:tc>
          <w:tcPr>
            <w:tcW w:type="dxa" w:w="1296"/>
            <w:shd w:fill="F0F4F8"/>
            <w:tcBorders>
              <w:top w:val="single" w:sz="6" w:color="000000"/>
              <w:left w:val="single" w:sz="4" w:color="CCCCCC"/>
              <w:bottom w:val="single" w:sz="6" w:color="000000"/>
              <w:right w:val="single" w:sz="4" w:color="CCCCCC"/>
            </w:tcBorders>
          </w:tcPr>
          <w:p>
            <w:pPr>
              <w:spacing w:before="80" w:after="80" w:line="240" w:lineRule="auto"/>
              <w:jc w:val="center"/>
            </w:pPr>
            <w:r>
              <w:rPr>
                <w:rFonts w:ascii="Times New Roman" w:hAnsi="Times New Roman"/>
                <w:b/>
                <w:sz w:val="20"/>
              </w:rPr>
              <w:t>Accuracy (%)</w:t>
            </w:r>
          </w:p>
        </w:tc>
        <w:tc>
          <w:tcPr>
            <w:tcW w:type="dxa" w:w="1152"/>
            <w:shd w:fill="F0F4F8"/>
            <w:tcBorders>
              <w:top w:val="single" w:sz="6" w:color="000000"/>
              <w:left w:val="single" w:sz="4" w:color="CCCCCC"/>
              <w:bottom w:val="single" w:sz="6" w:color="000000"/>
              <w:right w:val="single" w:sz="4" w:color="CCCCCC"/>
            </w:tcBorders>
          </w:tcPr>
          <w:p>
            <w:pPr>
              <w:spacing w:before="80" w:after="80" w:line="240" w:lineRule="auto"/>
              <w:jc w:val="center"/>
            </w:pPr>
            <w:r>
              <w:rPr>
                <w:rFonts w:ascii="Times New Roman" w:hAnsi="Times New Roman"/>
                <w:b/>
                <w:sz w:val="20"/>
              </w:rPr>
              <w:t>Precision</w:t>
            </w:r>
          </w:p>
        </w:tc>
        <w:tc>
          <w:tcPr>
            <w:tcW w:type="dxa" w:w="1152"/>
            <w:shd w:fill="F0F4F8"/>
            <w:tcBorders>
              <w:top w:val="single" w:sz="6" w:color="000000"/>
              <w:left w:val="single" w:sz="4" w:color="CCCCCC"/>
              <w:bottom w:val="single" w:sz="6" w:color="000000"/>
              <w:right w:val="single" w:sz="4" w:color="CCCCCC"/>
            </w:tcBorders>
          </w:tcPr>
          <w:p>
            <w:pPr>
              <w:spacing w:before="80" w:after="80" w:line="240" w:lineRule="auto"/>
              <w:jc w:val="center"/>
            </w:pPr>
            <w:r>
              <w:rPr>
                <w:rFonts w:ascii="Times New Roman" w:hAnsi="Times New Roman"/>
                <w:b/>
                <w:sz w:val="20"/>
              </w:rPr>
              <w:t>Recall</w:t>
            </w:r>
          </w:p>
        </w:tc>
        <w:tc>
          <w:tcPr>
            <w:tcW w:type="dxa" w:w="1152"/>
            <w:shd w:fill="F0F4F8"/>
            <w:tcBorders>
              <w:top w:val="single" w:sz="6" w:color="000000"/>
              <w:left w:val="single" w:sz="4" w:color="CCCCCC"/>
              <w:bottom w:val="single" w:sz="6" w:color="000000"/>
              <w:right w:val="single" w:sz="4" w:color="CCCCCC"/>
            </w:tcBorders>
          </w:tcPr>
          <w:p>
            <w:pPr>
              <w:spacing w:before="80" w:after="80" w:line="240" w:lineRule="auto"/>
              <w:jc w:val="center"/>
            </w:pPr>
            <w:r>
              <w:rPr>
                <w:rFonts w:ascii="Times New Roman" w:hAnsi="Times New Roman"/>
                <w:b/>
                <w:sz w:val="20"/>
              </w:rPr>
              <w:t>F1-Score</w:t>
            </w:r>
          </w:p>
        </w:tc>
        <w:tc>
          <w:tcPr>
            <w:tcW w:type="dxa" w:w="1152"/>
            <w:shd w:fill="F0F4F8"/>
            <w:tcBorders>
              <w:top w:val="single" w:sz="6" w:color="000000"/>
              <w:left w:val="single" w:sz="4" w:color="CCCCCC"/>
              <w:bottom w:val="single" w:sz="6" w:color="000000"/>
              <w:right w:val="single" w:sz="4" w:color="CCCCCC"/>
            </w:tcBorders>
          </w:tcPr>
          <w:p>
            <w:pPr>
              <w:spacing w:before="80" w:after="80" w:line="240" w:lineRule="auto"/>
              <w:jc w:val="center"/>
            </w:pPr>
            <w:r>
              <w:rPr>
                <w:rFonts w:ascii="Times New Roman" w:hAnsi="Times New Roman"/>
                <w:b/>
                <w:sz w:val="20"/>
              </w:rPr>
              <w:t>ROC-AUC</w:t>
            </w:r>
          </w:p>
        </w:tc>
      </w:tr>
      <w:tr>
        <w:tc>
          <w:tcPr>
            <w:tcW w:type="dxa" w:w="3600"/>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 Proprietary Enterprise Corpus (3.2 Million URLs) --</w:t>
            </w:r>
          </w:p>
        </w:tc>
        <w:tc>
          <w:tcPr>
            <w:tcW w:type="dxa" w:w="1296"/>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r>
          </w:p>
        </w:tc>
        <w:tc>
          <w:tcPr>
            <w:tcW w:type="dxa" w:w="115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r>
          </w:p>
        </w:tc>
        <w:tc>
          <w:tcPr>
            <w:tcW w:type="dxa" w:w="115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r>
          </w:p>
        </w:tc>
        <w:tc>
          <w:tcPr>
            <w:tcW w:type="dxa" w:w="115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r>
          </w:p>
        </w:tc>
        <w:tc>
          <w:tcPr>
            <w:tcW w:type="dxa" w:w="115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r>
          </w:p>
        </w:tc>
      </w:tr>
      <w:tr>
        <w:tc>
          <w:tcPr>
            <w:tcW w:type="dxa" w:w="3600"/>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CatBoost (Tabular URL &amp; Meta)</w:t>
            </w:r>
          </w:p>
        </w:tc>
        <w:tc>
          <w:tcPr>
            <w:tcW w:type="dxa" w:w="1296"/>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93.8</w:t>
            </w:r>
          </w:p>
        </w:tc>
        <w:tc>
          <w:tcPr>
            <w:tcW w:type="dxa" w:w="1152"/>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0.942</w:t>
            </w:r>
          </w:p>
        </w:tc>
        <w:tc>
          <w:tcPr>
            <w:tcW w:type="dxa" w:w="1152"/>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0.928</w:t>
            </w:r>
          </w:p>
        </w:tc>
        <w:tc>
          <w:tcPr>
            <w:tcW w:type="dxa" w:w="1152"/>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0.935</w:t>
            </w:r>
          </w:p>
        </w:tc>
        <w:tc>
          <w:tcPr>
            <w:tcW w:type="dxa" w:w="1152"/>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0.971</w:t>
            </w:r>
          </w:p>
        </w:tc>
      </w:tr>
      <w:tr>
        <w:tc>
          <w:tcPr>
            <w:tcW w:type="dxa" w:w="3600"/>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1D-CNN (Character-level URL)</w:t>
            </w:r>
          </w:p>
        </w:tc>
        <w:tc>
          <w:tcPr>
            <w:tcW w:type="dxa" w:w="1296"/>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91.2</w:t>
            </w:r>
          </w:p>
        </w:tc>
        <w:tc>
          <w:tcPr>
            <w:tcW w:type="dxa" w:w="115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0.915</w:t>
            </w:r>
          </w:p>
        </w:tc>
        <w:tc>
          <w:tcPr>
            <w:tcW w:type="dxa" w:w="115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0.898</w:t>
            </w:r>
          </w:p>
        </w:tc>
        <w:tc>
          <w:tcPr>
            <w:tcW w:type="dxa" w:w="115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0.906</w:t>
            </w:r>
          </w:p>
        </w:tc>
        <w:tc>
          <w:tcPr>
            <w:tcW w:type="dxa" w:w="115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0.954</w:t>
            </w:r>
          </w:p>
        </w:tc>
      </w:tr>
      <w:tr>
        <w:tc>
          <w:tcPr>
            <w:tcW w:type="dxa" w:w="3600"/>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CodeBERT (HTML Source Code)</w:t>
            </w:r>
          </w:p>
        </w:tc>
        <w:tc>
          <w:tcPr>
            <w:tcW w:type="dxa" w:w="1296"/>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95.1</w:t>
            </w:r>
          </w:p>
        </w:tc>
        <w:tc>
          <w:tcPr>
            <w:tcW w:type="dxa" w:w="1152"/>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0.958</w:t>
            </w:r>
          </w:p>
        </w:tc>
        <w:tc>
          <w:tcPr>
            <w:tcW w:type="dxa" w:w="1152"/>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0.941</w:t>
            </w:r>
          </w:p>
        </w:tc>
        <w:tc>
          <w:tcPr>
            <w:tcW w:type="dxa" w:w="1152"/>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0.949</w:t>
            </w:r>
          </w:p>
        </w:tc>
        <w:tc>
          <w:tcPr>
            <w:tcW w:type="dxa" w:w="1152"/>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0.982</w:t>
            </w:r>
          </w:p>
        </w:tc>
      </w:tr>
      <w:tr>
        <w:tc>
          <w:tcPr>
            <w:tcW w:type="dxa" w:w="3600"/>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EfficientNet-B7 (Visual Screenshot)</w:t>
            </w:r>
          </w:p>
        </w:tc>
        <w:tc>
          <w:tcPr>
            <w:tcW w:type="dxa" w:w="1296"/>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93.2</w:t>
            </w:r>
          </w:p>
        </w:tc>
        <w:tc>
          <w:tcPr>
            <w:tcW w:type="dxa" w:w="115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0.936</w:t>
            </w:r>
          </w:p>
        </w:tc>
        <w:tc>
          <w:tcPr>
            <w:tcW w:type="dxa" w:w="115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0.920</w:t>
            </w:r>
          </w:p>
        </w:tc>
        <w:tc>
          <w:tcPr>
            <w:tcW w:type="dxa" w:w="115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0.928</w:t>
            </w:r>
          </w:p>
        </w:tc>
        <w:tc>
          <w:tcPr>
            <w:tcW w:type="dxa" w:w="115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0.968</w:t>
            </w:r>
          </w:p>
        </w:tc>
      </w:tr>
      <w:tr>
        <w:tc>
          <w:tcPr>
            <w:tcW w:type="dxa" w:w="3600"/>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Multimodal Late Fusion (Proposed)</w:t>
            </w:r>
          </w:p>
        </w:tc>
        <w:tc>
          <w:tcPr>
            <w:tcW w:type="dxa" w:w="1296"/>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99.0</w:t>
            </w:r>
          </w:p>
        </w:tc>
        <w:tc>
          <w:tcPr>
            <w:tcW w:type="dxa" w:w="1152"/>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0.991</w:t>
            </w:r>
          </w:p>
        </w:tc>
        <w:tc>
          <w:tcPr>
            <w:tcW w:type="dxa" w:w="1152"/>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0.987</w:t>
            </w:r>
          </w:p>
        </w:tc>
        <w:tc>
          <w:tcPr>
            <w:tcW w:type="dxa" w:w="1152"/>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0.989</w:t>
            </w:r>
          </w:p>
        </w:tc>
        <w:tc>
          <w:tcPr>
            <w:tcW w:type="dxa" w:w="1152"/>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0.998</w:t>
            </w:r>
          </w:p>
        </w:tc>
      </w:tr>
      <w:tr>
        <w:tc>
          <w:tcPr>
            <w:tcW w:type="dxa" w:w="3600"/>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 Public Benchmark Dataset (MTLP) [5] --</w:t>
            </w:r>
          </w:p>
        </w:tc>
        <w:tc>
          <w:tcPr>
            <w:tcW w:type="dxa" w:w="1296"/>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r>
          </w:p>
        </w:tc>
        <w:tc>
          <w:tcPr>
            <w:tcW w:type="dxa" w:w="115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r>
          </w:p>
        </w:tc>
        <w:tc>
          <w:tcPr>
            <w:tcW w:type="dxa" w:w="115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r>
          </w:p>
        </w:tc>
        <w:tc>
          <w:tcPr>
            <w:tcW w:type="dxa" w:w="115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r>
          </w:p>
        </w:tc>
        <w:tc>
          <w:tcPr>
            <w:tcW w:type="dxa" w:w="115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r>
          </w:p>
        </w:tc>
      </w:tr>
      <w:tr>
        <w:tc>
          <w:tcPr>
            <w:tcW w:type="dxa" w:w="3600"/>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CatBoost (Tabular URL &amp; Meta)</w:t>
            </w:r>
          </w:p>
        </w:tc>
        <w:tc>
          <w:tcPr>
            <w:tcW w:type="dxa" w:w="1296"/>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89.4</w:t>
            </w:r>
          </w:p>
        </w:tc>
        <w:tc>
          <w:tcPr>
            <w:tcW w:type="dxa" w:w="1152"/>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0.898</w:t>
            </w:r>
          </w:p>
        </w:tc>
        <w:tc>
          <w:tcPr>
            <w:tcW w:type="dxa" w:w="1152"/>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0.876</w:t>
            </w:r>
          </w:p>
        </w:tc>
        <w:tc>
          <w:tcPr>
            <w:tcW w:type="dxa" w:w="1152"/>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0.887</w:t>
            </w:r>
          </w:p>
        </w:tc>
        <w:tc>
          <w:tcPr>
            <w:tcW w:type="dxa" w:w="1152"/>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0.938</w:t>
            </w:r>
          </w:p>
        </w:tc>
      </w:tr>
      <w:tr>
        <w:tc>
          <w:tcPr>
            <w:tcW w:type="dxa" w:w="3600"/>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1D-CNN (Character-level URL)</w:t>
            </w:r>
          </w:p>
        </w:tc>
        <w:tc>
          <w:tcPr>
            <w:tcW w:type="dxa" w:w="1296"/>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86.7</w:t>
            </w:r>
          </w:p>
        </w:tc>
        <w:tc>
          <w:tcPr>
            <w:tcW w:type="dxa" w:w="115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0.871</w:t>
            </w:r>
          </w:p>
        </w:tc>
        <w:tc>
          <w:tcPr>
            <w:tcW w:type="dxa" w:w="115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0.849</w:t>
            </w:r>
          </w:p>
        </w:tc>
        <w:tc>
          <w:tcPr>
            <w:tcW w:type="dxa" w:w="115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0.860</w:t>
            </w:r>
          </w:p>
        </w:tc>
        <w:tc>
          <w:tcPr>
            <w:tcW w:type="dxa" w:w="115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0.921</w:t>
            </w:r>
          </w:p>
        </w:tc>
      </w:tr>
      <w:tr>
        <w:tc>
          <w:tcPr>
            <w:tcW w:type="dxa" w:w="3600"/>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CodeBERT (HTML Source Code)</w:t>
            </w:r>
          </w:p>
        </w:tc>
        <w:tc>
          <w:tcPr>
            <w:tcW w:type="dxa" w:w="1296"/>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91.5</w:t>
            </w:r>
          </w:p>
        </w:tc>
        <w:tc>
          <w:tcPr>
            <w:tcW w:type="dxa" w:w="1152"/>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0.921</w:t>
            </w:r>
          </w:p>
        </w:tc>
        <w:tc>
          <w:tcPr>
            <w:tcW w:type="dxa" w:w="1152"/>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0.904</w:t>
            </w:r>
          </w:p>
        </w:tc>
        <w:tc>
          <w:tcPr>
            <w:tcW w:type="dxa" w:w="1152"/>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0.912</w:t>
            </w:r>
          </w:p>
        </w:tc>
        <w:tc>
          <w:tcPr>
            <w:tcW w:type="dxa" w:w="1152"/>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0.956</w:t>
            </w:r>
          </w:p>
        </w:tc>
      </w:tr>
      <w:tr>
        <w:tc>
          <w:tcPr>
            <w:tcW w:type="dxa" w:w="3600"/>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EfficientNet-B7 (Visual Screenshot)</w:t>
            </w:r>
          </w:p>
        </w:tc>
        <w:tc>
          <w:tcPr>
            <w:tcW w:type="dxa" w:w="1296"/>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89.8</w:t>
            </w:r>
          </w:p>
        </w:tc>
        <w:tc>
          <w:tcPr>
            <w:tcW w:type="dxa" w:w="115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0.905</w:t>
            </w:r>
          </w:p>
        </w:tc>
        <w:tc>
          <w:tcPr>
            <w:tcW w:type="dxa" w:w="115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0.887</w:t>
            </w:r>
          </w:p>
        </w:tc>
        <w:tc>
          <w:tcPr>
            <w:tcW w:type="dxa" w:w="115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0.896</w:t>
            </w:r>
          </w:p>
        </w:tc>
        <w:tc>
          <w:tcPr>
            <w:tcW w:type="dxa" w:w="115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0.944</w:t>
            </w:r>
          </w:p>
        </w:tc>
      </w:tr>
      <w:tr>
        <w:tc>
          <w:tcPr>
            <w:tcW w:type="dxa" w:w="3600"/>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Multimodal Late Fusion (Proposed)</w:t>
            </w:r>
          </w:p>
        </w:tc>
        <w:tc>
          <w:tcPr>
            <w:tcW w:type="dxa" w:w="1296"/>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95.4</w:t>
            </w:r>
          </w:p>
        </w:tc>
        <w:tc>
          <w:tcPr>
            <w:tcW w:type="dxa" w:w="1152"/>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0.956</w:t>
            </w:r>
          </w:p>
        </w:tc>
        <w:tc>
          <w:tcPr>
            <w:tcW w:type="dxa" w:w="1152"/>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0.950</w:t>
            </w:r>
          </w:p>
        </w:tc>
        <w:tc>
          <w:tcPr>
            <w:tcW w:type="dxa" w:w="1152"/>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0.953</w:t>
            </w:r>
          </w:p>
        </w:tc>
        <w:tc>
          <w:tcPr>
            <w:tcW w:type="dxa" w:w="1152"/>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0.984</w:t>
            </w:r>
          </w:p>
        </w:tc>
      </w:tr>
    </w:tbl>
    <w:p>
      <w:pPr>
        <w:spacing w:before="80" w:after="240"/>
        <w:jc w:val="center"/>
      </w:pPr>
      <w:r>
        <w:rPr>
          <w:b/>
        </w:rPr>
        <w:t>Table 4.1: Comparative Performance of Standalone Branches vs. Multimodal Late Fusion</w:t>
      </w:r>
    </w:p>
    <w:p>
      <w:pPr>
        <w:spacing w:line="360" w:lineRule="auto" w:after="120"/>
        <w:jc w:val="both"/>
      </w:pPr>
      <w:r>
        <w:t>As demonstrated in Table 4.1, each standalone branch achieves respectable individual performance, with CodeBERT attaining the highest standalone F1-score (0.949 on the enterprise corpus) due to its profound understanding of structural DOM intent. However, the Multimodal Late Fusion meta-classifier dramatically outperforms all single branches, achieving an F1-score of 0.989 on the enterprise dataset and 0.953 on the public MTLP benchmark. This verifies that combining orthogonal perspectives (lexical, behavioral, syntactic, visual) successfully neutralizes evasions that bypass single-layer filters.</w:t>
      </w:r>
    </w:p>
    <w:p>
      <w:pPr>
        <w:spacing w:before="280" w:after="120"/>
        <w:jc w:val="left"/>
      </w:pPr>
      <w:r>
        <w:rPr>
          <w:b/>
          <w:sz w:val="26"/>
        </w:rPr>
        <w:t>4.4  Zero-Day Phishing Detection Benchmark</w:t>
      </w:r>
    </w:p>
    <w:p>
      <w:pPr>
        <w:spacing w:line="360" w:lineRule="auto" w:after="120"/>
        <w:jc w:val="both"/>
      </w:pPr>
      <w:r>
        <w:t>To rigorously evaluate real-world defensive resilience against unindexed threats, the framework was evaluated against 100 live zero-day phishing portals and benchmarked against two widely deployed commercial blacklist feeds: Google Safe Browsing and OpenPhish.</w:t>
      </w:r>
    </w:p>
    <w:tbl>
      <w:tblPr>
        <w:tblW w:type="auto" w:w="0"/>
        <w:jc w:val="center"/>
        <w:tblLook w:firstColumn="1" w:firstRow="1" w:lastColumn="0" w:lastRow="0" w:noHBand="0" w:noVBand="1" w:val="04A0"/>
      </w:tblPr>
      <w:tblGrid>
        <w:gridCol w:w="2200"/>
        <w:gridCol w:w="2200"/>
        <w:gridCol w:w="2200"/>
        <w:gridCol w:w="2200"/>
      </w:tblGrid>
      <w:tr>
        <w:tc>
          <w:tcPr>
            <w:tcW w:type="dxa" w:w="4608"/>
            <w:shd w:fill="F0F4F8"/>
            <w:tcBorders>
              <w:top w:val="single" w:sz="6" w:color="000000"/>
              <w:left w:val="single" w:sz="4" w:color="CCCCCC"/>
              <w:bottom w:val="single" w:sz="6" w:color="000000"/>
              <w:right w:val="single" w:sz="4" w:color="CCCCCC"/>
            </w:tcBorders>
          </w:tcPr>
          <w:p>
            <w:pPr>
              <w:spacing w:before="80" w:after="80" w:line="240" w:lineRule="auto"/>
              <w:jc w:val="center"/>
            </w:pPr>
            <w:r>
              <w:rPr>
                <w:rFonts w:ascii="Times New Roman" w:hAnsi="Times New Roman"/>
                <w:b/>
                <w:sz w:val="20"/>
              </w:rPr>
              <w:t>Detection Platform</w:t>
            </w:r>
          </w:p>
        </w:tc>
        <w:tc>
          <w:tcPr>
            <w:tcW w:type="dxa" w:w="1728"/>
            <w:shd w:fill="F0F4F8"/>
            <w:tcBorders>
              <w:top w:val="single" w:sz="6" w:color="000000"/>
              <w:left w:val="single" w:sz="4" w:color="CCCCCC"/>
              <w:bottom w:val="single" w:sz="6" w:color="000000"/>
              <w:right w:val="single" w:sz="4" w:color="CCCCCC"/>
            </w:tcBorders>
          </w:tcPr>
          <w:p>
            <w:pPr>
              <w:spacing w:before="80" w:after="80" w:line="240" w:lineRule="auto"/>
              <w:jc w:val="center"/>
            </w:pPr>
            <w:r>
              <w:rPr>
                <w:rFonts w:ascii="Times New Roman" w:hAnsi="Times New Roman"/>
                <w:b/>
                <w:sz w:val="20"/>
              </w:rPr>
              <w:t>Detected (/100)</w:t>
            </w:r>
          </w:p>
        </w:tc>
        <w:tc>
          <w:tcPr>
            <w:tcW w:type="dxa" w:w="1728"/>
            <w:shd w:fill="F0F4F8"/>
            <w:tcBorders>
              <w:top w:val="single" w:sz="6" w:color="000000"/>
              <w:left w:val="single" w:sz="4" w:color="CCCCCC"/>
              <w:bottom w:val="single" w:sz="6" w:color="000000"/>
              <w:right w:val="single" w:sz="4" w:color="CCCCCC"/>
            </w:tcBorders>
          </w:tcPr>
          <w:p>
            <w:pPr>
              <w:spacing w:before="80" w:after="80" w:line="240" w:lineRule="auto"/>
              <w:jc w:val="center"/>
            </w:pPr>
            <w:r>
              <w:rPr>
                <w:rFonts w:ascii="Times New Roman" w:hAnsi="Times New Roman"/>
                <w:b/>
                <w:sz w:val="20"/>
              </w:rPr>
              <w:t>Missed (FN)</w:t>
            </w:r>
          </w:p>
        </w:tc>
        <w:tc>
          <w:tcPr>
            <w:tcW w:type="dxa" w:w="1728"/>
            <w:shd w:fill="F0F4F8"/>
            <w:tcBorders>
              <w:top w:val="single" w:sz="6" w:color="000000"/>
              <w:left w:val="single" w:sz="4" w:color="CCCCCC"/>
              <w:bottom w:val="single" w:sz="6" w:color="000000"/>
              <w:right w:val="single" w:sz="4" w:color="CCCCCC"/>
            </w:tcBorders>
          </w:tcPr>
          <w:p>
            <w:pPr>
              <w:spacing w:before="80" w:after="80" w:line="240" w:lineRule="auto"/>
              <w:jc w:val="center"/>
            </w:pPr>
            <w:r>
              <w:rPr>
                <w:rFonts w:ascii="Times New Roman" w:hAnsi="Times New Roman"/>
                <w:b/>
                <w:sz w:val="20"/>
              </w:rPr>
              <w:t>Evasion Rate (%)</w:t>
            </w:r>
          </w:p>
        </w:tc>
      </w:tr>
      <w:tr>
        <w:tc>
          <w:tcPr>
            <w:tcW w:type="dxa" w:w="4608"/>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Google Safe Browsing (API Lookup)</w:t>
            </w:r>
          </w:p>
        </w:tc>
        <w:tc>
          <w:tcPr>
            <w:tcW w:type="dxa" w:w="1728"/>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41</w:t>
            </w:r>
          </w:p>
        </w:tc>
        <w:tc>
          <w:tcPr>
            <w:tcW w:type="dxa" w:w="1728"/>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59</w:t>
            </w:r>
          </w:p>
        </w:tc>
        <w:tc>
          <w:tcPr>
            <w:tcW w:type="dxa" w:w="1728"/>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59.0%</w:t>
            </w:r>
          </w:p>
        </w:tc>
      </w:tr>
      <w:tr>
        <w:tc>
          <w:tcPr>
            <w:tcW w:type="dxa" w:w="4608"/>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OpenPhish Automated Feed</w:t>
            </w:r>
          </w:p>
        </w:tc>
        <w:tc>
          <w:tcPr>
            <w:tcW w:type="dxa" w:w="1728"/>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67</w:t>
            </w:r>
          </w:p>
        </w:tc>
        <w:tc>
          <w:tcPr>
            <w:tcW w:type="dxa" w:w="1728"/>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33</w:t>
            </w:r>
          </w:p>
        </w:tc>
        <w:tc>
          <w:tcPr>
            <w:tcW w:type="dxa" w:w="1728"/>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33.0%</w:t>
            </w:r>
          </w:p>
        </w:tc>
      </w:tr>
      <w:tr>
        <w:tc>
          <w:tcPr>
            <w:tcW w:type="dxa" w:w="4608"/>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Proposed Multimodal Late Fusion</w:t>
            </w:r>
          </w:p>
        </w:tc>
        <w:tc>
          <w:tcPr>
            <w:tcW w:type="dxa" w:w="1728"/>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92</w:t>
            </w:r>
          </w:p>
        </w:tc>
        <w:tc>
          <w:tcPr>
            <w:tcW w:type="dxa" w:w="1728"/>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8</w:t>
            </w:r>
          </w:p>
        </w:tc>
        <w:tc>
          <w:tcPr>
            <w:tcW w:type="dxa" w:w="1728"/>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8.0%</w:t>
            </w:r>
          </w:p>
        </w:tc>
      </w:tr>
    </w:tbl>
    <w:p>
      <w:pPr>
        <w:spacing w:before="80" w:after="240"/>
        <w:jc w:val="center"/>
      </w:pPr>
      <w:r>
        <w:rPr>
          <w:b/>
        </w:rPr>
        <w:t>Table 4.2: Zero-Day Detection Benchmark on 100 Live Unindexed Phishing Websites</w:t>
      </w:r>
    </w:p>
    <w:p>
      <w:pPr>
        <w:pStyle w:val="ListBullet"/>
        <w:spacing w:line="360" w:lineRule="auto" w:after="80"/>
        <w:jc w:val="both"/>
      </w:pPr>
      <w:r>
        <w:rPr>
          <w:b/>
        </w:rPr>
        <w:t>Google Safe Browsing:</w:t>
      </w:r>
      <w:r>
        <w:t xml:space="preserve"> Intercepted only 41 out of 100 zero-day links (a 59% evasion rate). Because Google Safe Browsing relies primarily on crawler verification and crawler-submitted hash lists, adversaries successfully evaded detection by restricting early traffic through IP geolocation geofencing and dynamic DNS redirection.</w:t>
      </w:r>
    </w:p>
    <w:p>
      <w:pPr>
        <w:pStyle w:val="ListBullet"/>
        <w:spacing w:line="360" w:lineRule="auto" w:after="80"/>
        <w:jc w:val="both"/>
      </w:pPr>
      <w:r>
        <w:rPr>
          <w:b/>
        </w:rPr>
        <w:t>OpenPhish Automated Feed:</w:t>
      </w:r>
      <w:r>
        <w:t xml:space="preserve"> Identified 67 out of 100 links (a 33% evasion rate), benefiting from automated community submissions but still exhibiting incubation lag.</w:t>
      </w:r>
    </w:p>
    <w:p>
      <w:pPr>
        <w:pStyle w:val="ListBullet"/>
        <w:spacing w:line="360" w:lineRule="auto" w:after="80"/>
        <w:jc w:val="both"/>
      </w:pPr>
      <w:r>
        <w:rPr>
          <w:b/>
        </w:rPr>
        <w:t>Proposed Multimodal Architecture:</w:t>
      </w:r>
      <w:r>
        <w:t xml:space="preserve"> Correctly identified 92 out of 100 live attacks (an evasion rate of only 8.0%), successfully intercepting zero-day links minutes after registration by identifying underlying structural DOM anomalies and visual brand mimicry.</w:t>
      </w:r>
    </w:p>
    <w:p>
      <w:pPr>
        <w:spacing w:before="280" w:after="120"/>
        <w:jc w:val="left"/>
      </w:pPr>
      <w:r>
        <w:rPr>
          <w:b/>
          <w:sz w:val="26"/>
        </w:rPr>
        <w:t>4.5  SOC Analyst Usability and Interpretability Evaluation</w:t>
      </w:r>
    </w:p>
    <w:p>
      <w:pPr>
        <w:spacing w:line="360" w:lineRule="auto" w:after="120"/>
        <w:jc w:val="both"/>
      </w:pPr>
      <w:r>
        <w:t>A distinctive contribution of this research is evaluating whether Explainable AI actually improves real-world human analyst efficiency. A user study was conducted involving 25 tier-1 and tier-2 SOC security analysts tasked with triaging 50 ambiguous alerts across three explanation presentation modes: (1) Raw Quantitative XAI; (2) Local LLM Synthesized Report; and (3) RAG-Augmented Local LLM Report.</w:t>
      </w:r>
    </w:p>
    <w:tbl>
      <w:tblPr>
        <w:tblW w:type="auto" w:w="0"/>
        <w:jc w:val="center"/>
        <w:tblLook w:firstColumn="1" w:firstRow="1" w:lastColumn="0" w:lastRow="0" w:noHBand="0" w:noVBand="1" w:val="04A0"/>
      </w:tblPr>
      <w:tblGrid>
        <w:gridCol w:w="1466"/>
        <w:gridCol w:w="1466"/>
        <w:gridCol w:w="1466"/>
        <w:gridCol w:w="1466"/>
        <w:gridCol w:w="1466"/>
        <w:gridCol w:w="1466"/>
      </w:tblGrid>
      <w:tr>
        <w:tc>
          <w:tcPr>
            <w:tcW w:type="dxa" w:w="4032"/>
            <w:shd w:fill="F0F4F8"/>
            <w:tcBorders>
              <w:top w:val="single" w:sz="6" w:color="000000"/>
              <w:left w:val="single" w:sz="4" w:color="CCCCCC"/>
              <w:bottom w:val="single" w:sz="6" w:color="000000"/>
              <w:right w:val="single" w:sz="4" w:color="CCCCCC"/>
            </w:tcBorders>
          </w:tcPr>
          <w:p>
            <w:pPr>
              <w:spacing w:before="80" w:after="80" w:line="240" w:lineRule="auto"/>
              <w:jc w:val="center"/>
            </w:pPr>
            <w:r>
              <w:rPr>
                <w:rFonts w:ascii="Times New Roman" w:hAnsi="Times New Roman"/>
                <w:b/>
                <w:sz w:val="20"/>
              </w:rPr>
              <w:t>Explanation Modality</w:t>
            </w:r>
          </w:p>
        </w:tc>
        <w:tc>
          <w:tcPr>
            <w:tcW w:type="dxa" w:w="1152"/>
            <w:shd w:fill="F0F4F8"/>
            <w:tcBorders>
              <w:top w:val="single" w:sz="6" w:color="000000"/>
              <w:left w:val="single" w:sz="4" w:color="CCCCCC"/>
              <w:bottom w:val="single" w:sz="6" w:color="000000"/>
              <w:right w:val="single" w:sz="4" w:color="CCCCCC"/>
            </w:tcBorders>
          </w:tcPr>
          <w:p>
            <w:pPr>
              <w:spacing w:before="80" w:after="80" w:line="240" w:lineRule="auto"/>
              <w:jc w:val="center"/>
            </w:pPr>
            <w:r>
              <w:rPr>
                <w:rFonts w:ascii="Times New Roman" w:hAnsi="Times New Roman"/>
                <w:b/>
                <w:sz w:val="20"/>
              </w:rPr>
              <w:t>Comprehensibility</w:t>
            </w:r>
          </w:p>
        </w:tc>
        <w:tc>
          <w:tcPr>
            <w:tcW w:type="dxa" w:w="1152"/>
            <w:shd w:fill="F0F4F8"/>
            <w:tcBorders>
              <w:top w:val="single" w:sz="6" w:color="000000"/>
              <w:left w:val="single" w:sz="4" w:color="CCCCCC"/>
              <w:bottom w:val="single" w:sz="6" w:color="000000"/>
              <w:right w:val="single" w:sz="4" w:color="CCCCCC"/>
            </w:tcBorders>
          </w:tcPr>
          <w:p>
            <w:pPr>
              <w:spacing w:before="80" w:after="80" w:line="240" w:lineRule="auto"/>
              <w:jc w:val="center"/>
            </w:pPr>
            <w:r>
              <w:rPr>
                <w:rFonts w:ascii="Times New Roman" w:hAnsi="Times New Roman"/>
                <w:b/>
                <w:sz w:val="20"/>
              </w:rPr>
              <w:t>Actionability</w:t>
            </w:r>
          </w:p>
        </w:tc>
        <w:tc>
          <w:tcPr>
            <w:tcW w:type="dxa" w:w="1008"/>
            <w:shd w:fill="F0F4F8"/>
            <w:tcBorders>
              <w:top w:val="single" w:sz="6" w:color="000000"/>
              <w:left w:val="single" w:sz="4" w:color="CCCCCC"/>
              <w:bottom w:val="single" w:sz="6" w:color="000000"/>
              <w:right w:val="single" w:sz="4" w:color="CCCCCC"/>
            </w:tcBorders>
          </w:tcPr>
          <w:p>
            <w:pPr>
              <w:spacing w:before="80" w:after="80" w:line="240" w:lineRule="auto"/>
              <w:jc w:val="center"/>
            </w:pPr>
            <w:r>
              <w:rPr>
                <w:rFonts w:ascii="Times New Roman" w:hAnsi="Times New Roman"/>
                <w:b/>
                <w:sz w:val="20"/>
              </w:rPr>
              <w:t>Trust</w:t>
            </w:r>
          </w:p>
        </w:tc>
        <w:tc>
          <w:tcPr>
            <w:tcW w:type="dxa" w:w="1008"/>
            <w:shd w:fill="F0F4F8"/>
            <w:tcBorders>
              <w:top w:val="single" w:sz="6" w:color="000000"/>
              <w:left w:val="single" w:sz="4" w:color="CCCCCC"/>
              <w:bottom w:val="single" w:sz="6" w:color="000000"/>
              <w:right w:val="single" w:sz="4" w:color="CCCCCC"/>
            </w:tcBorders>
          </w:tcPr>
          <w:p>
            <w:pPr>
              <w:spacing w:before="80" w:after="80" w:line="240" w:lineRule="auto"/>
              <w:jc w:val="center"/>
            </w:pPr>
            <w:r>
              <w:rPr>
                <w:rFonts w:ascii="Times New Roman" w:hAnsi="Times New Roman"/>
                <w:b/>
                <w:sz w:val="20"/>
              </w:rPr>
              <w:t>Speed</w:t>
            </w:r>
          </w:p>
        </w:tc>
        <w:tc>
          <w:tcPr>
            <w:tcW w:type="dxa" w:w="1152"/>
            <w:shd w:fill="F0F4F8"/>
            <w:tcBorders>
              <w:top w:val="single" w:sz="6" w:color="000000"/>
              <w:left w:val="single" w:sz="4" w:color="CCCCCC"/>
              <w:bottom w:val="single" w:sz="6" w:color="000000"/>
              <w:right w:val="single" w:sz="4" w:color="CCCCCC"/>
            </w:tcBorders>
          </w:tcPr>
          <w:p>
            <w:pPr>
              <w:spacing w:before="80" w:after="80" w:line="240" w:lineRule="auto"/>
              <w:jc w:val="center"/>
            </w:pPr>
            <w:r>
              <w:rPr>
                <w:rFonts w:ascii="Times New Roman" w:hAnsi="Times New Roman"/>
                <w:b/>
                <w:sz w:val="20"/>
              </w:rPr>
              <w:t>Overall Mean</w:t>
            </w:r>
          </w:p>
        </w:tc>
      </w:tr>
      <w:tr>
        <w:tc>
          <w:tcPr>
            <w:tcW w:type="dxa" w:w="403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Raw XAI Plots (SHAP, Grad-CAM, IG)</w:t>
            </w:r>
          </w:p>
        </w:tc>
        <w:tc>
          <w:tcPr>
            <w:tcW w:type="dxa" w:w="115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3.12</w:t>
            </w:r>
          </w:p>
        </w:tc>
        <w:tc>
          <w:tcPr>
            <w:tcW w:type="dxa" w:w="115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3.35</w:t>
            </w:r>
          </w:p>
        </w:tc>
        <w:tc>
          <w:tcPr>
            <w:tcW w:type="dxa" w:w="1008"/>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3.60</w:t>
            </w:r>
          </w:p>
        </w:tc>
        <w:tc>
          <w:tcPr>
            <w:tcW w:type="dxa" w:w="1008"/>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3.61</w:t>
            </w:r>
          </w:p>
        </w:tc>
        <w:tc>
          <w:tcPr>
            <w:tcW w:type="dxa" w:w="115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3.42</w:t>
            </w:r>
          </w:p>
        </w:tc>
      </w:tr>
      <w:tr>
        <w:tc>
          <w:tcPr>
            <w:tcW w:type="dxa" w:w="4032"/>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Local LLM Natural Language Report</w:t>
            </w:r>
          </w:p>
        </w:tc>
        <w:tc>
          <w:tcPr>
            <w:tcW w:type="dxa" w:w="1152"/>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4.02</w:t>
            </w:r>
          </w:p>
        </w:tc>
        <w:tc>
          <w:tcPr>
            <w:tcW w:type="dxa" w:w="1152"/>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3.94</w:t>
            </w:r>
          </w:p>
        </w:tc>
        <w:tc>
          <w:tcPr>
            <w:tcW w:type="dxa" w:w="1008"/>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3.88</w:t>
            </w:r>
          </w:p>
        </w:tc>
        <w:tc>
          <w:tcPr>
            <w:tcW w:type="dxa" w:w="1008"/>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4.04</w:t>
            </w:r>
          </w:p>
        </w:tc>
        <w:tc>
          <w:tcPr>
            <w:tcW w:type="dxa" w:w="1152"/>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3.97</w:t>
            </w:r>
          </w:p>
        </w:tc>
      </w:tr>
      <w:tr>
        <w:tc>
          <w:tcPr>
            <w:tcW w:type="dxa" w:w="403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RAG-Augmented Local LLM Report</w:t>
            </w:r>
          </w:p>
        </w:tc>
        <w:tc>
          <w:tcPr>
            <w:tcW w:type="dxa" w:w="115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4.28</w:t>
            </w:r>
          </w:p>
        </w:tc>
        <w:tc>
          <w:tcPr>
            <w:tcW w:type="dxa" w:w="115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4.18</w:t>
            </w:r>
          </w:p>
        </w:tc>
        <w:tc>
          <w:tcPr>
            <w:tcW w:type="dxa" w:w="1008"/>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4.15</w:t>
            </w:r>
          </w:p>
        </w:tc>
        <w:tc>
          <w:tcPr>
            <w:tcW w:type="dxa" w:w="1008"/>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4.19</w:t>
            </w:r>
          </w:p>
        </w:tc>
        <w:tc>
          <w:tcPr>
            <w:tcW w:type="dxa" w:w="1152"/>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4.20</w:t>
            </w:r>
          </w:p>
        </w:tc>
      </w:tr>
    </w:tbl>
    <w:p>
      <w:pPr>
        <w:spacing w:before="80" w:after="240"/>
        <w:jc w:val="center"/>
      </w:pPr>
      <w:r>
        <w:rPr>
          <w:b/>
        </w:rPr>
        <w:t>Table 4.3: SOC Analyst Usability and Interpretability Evaluation Scores (Scale: 1–5)</w:t>
      </w:r>
    </w:p>
    <w:p>
      <w:pPr>
        <w:pStyle w:val="ListBullet"/>
        <w:spacing w:line="360" w:lineRule="auto" w:after="80"/>
        <w:jc w:val="both"/>
      </w:pPr>
      <w:r>
        <w:rPr>
          <w:b/>
        </w:rPr>
        <w:t>Raw XAI Outputs:</w:t>
      </w:r>
      <w:r>
        <w:t xml:space="preserve"> Scored lowest (3.42/5), as analysts reported cognitive fatigue in cross-referencing multiple disparate graphs.</w:t>
      </w:r>
    </w:p>
    <w:p>
      <w:pPr>
        <w:pStyle w:val="ListBullet"/>
        <w:spacing w:line="360" w:lineRule="auto" w:after="80"/>
        <w:jc w:val="both"/>
      </w:pPr>
      <w:r>
        <w:rPr>
          <w:b/>
        </w:rPr>
        <w:t>Natural Language Briefs:</w:t>
      </w:r>
      <w:r>
        <w:t xml:space="preserve"> Synthesizing explanations into natural language briefs elevated usability to 3.97/5.</w:t>
      </w:r>
    </w:p>
    <w:p>
      <w:pPr>
        <w:pStyle w:val="ListBullet"/>
        <w:spacing w:line="360" w:lineRule="auto" w:after="80"/>
        <w:jc w:val="both"/>
      </w:pPr>
      <w:r>
        <w:rPr>
          <w:b/>
        </w:rPr>
        <w:t>RAG Contextualization:</w:t>
      </w:r>
      <w:r>
        <w:t xml:space="preserve"> Achieved the highest rating (4.20/5), reducing mean analyst verification time from 4.5 minutes down to under 45 seconds per incident.</w:t>
      </w:r>
    </w:p>
    <w:p>
      <w:pPr>
        <w:spacing w:before="280" w:after="120"/>
        <w:jc w:val="left"/>
      </w:pPr>
      <w:r>
        <w:rPr>
          <w:b/>
          <w:sz w:val="26"/>
        </w:rPr>
        <w:t>4.6  System Latency and Microservice Throughput</w:t>
      </w:r>
    </w:p>
    <w:p>
      <w:pPr>
        <w:spacing w:line="360" w:lineRule="auto" w:after="120"/>
        <w:jc w:val="both"/>
      </w:pPr>
      <w:r>
        <w:t>In production enterprise environments, defensive models must not introduce unacceptable browsing delays. As detailed in Table 4.4, because the data collection and model inference branches execute concurrently within an asynchronous containerized mesh, the overall pipeline latency is determined by the slowest branch (headless browser screenshot rendering, taking 84.6 ms).</w:t>
      </w:r>
    </w:p>
    <w:tbl>
      <w:tblPr>
        <w:tblW w:type="auto" w:w="0"/>
        <w:jc w:val="center"/>
        <w:tblLook w:firstColumn="1" w:firstRow="1" w:lastColumn="0" w:lastRow="0" w:noHBand="0" w:noVBand="1" w:val="04A0"/>
      </w:tblPr>
      <w:tblGrid>
        <w:gridCol w:w="2933"/>
        <w:gridCol w:w="2933"/>
        <w:gridCol w:w="2933"/>
      </w:tblGrid>
      <w:tr>
        <w:tc>
          <w:tcPr>
            <w:tcW w:type="dxa" w:w="4608"/>
            <w:shd w:fill="F0F4F8"/>
            <w:tcBorders>
              <w:top w:val="single" w:sz="6" w:color="000000"/>
              <w:left w:val="single" w:sz="4" w:color="CCCCCC"/>
              <w:bottom w:val="single" w:sz="6" w:color="000000"/>
              <w:right w:val="single" w:sz="4" w:color="CCCCCC"/>
            </w:tcBorders>
          </w:tcPr>
          <w:p>
            <w:pPr>
              <w:spacing w:before="80" w:after="80" w:line="240" w:lineRule="auto"/>
              <w:jc w:val="center"/>
            </w:pPr>
            <w:r>
              <w:rPr>
                <w:rFonts w:ascii="Times New Roman" w:hAnsi="Times New Roman"/>
                <w:b/>
                <w:sz w:val="20"/>
              </w:rPr>
              <w:t>Pipeline Component</w:t>
            </w:r>
          </w:p>
        </w:tc>
        <w:tc>
          <w:tcPr>
            <w:tcW w:type="dxa" w:w="2016"/>
            <w:shd w:fill="F0F4F8"/>
            <w:tcBorders>
              <w:top w:val="single" w:sz="6" w:color="000000"/>
              <w:left w:val="single" w:sz="4" w:color="CCCCCC"/>
              <w:bottom w:val="single" w:sz="6" w:color="000000"/>
              <w:right w:val="single" w:sz="4" w:color="CCCCCC"/>
            </w:tcBorders>
          </w:tcPr>
          <w:p>
            <w:pPr>
              <w:spacing w:before="80" w:after="80" w:line="240" w:lineRule="auto"/>
              <w:jc w:val="center"/>
            </w:pPr>
            <w:r>
              <w:rPr>
                <w:rFonts w:ascii="Times New Roman" w:hAnsi="Times New Roman"/>
                <w:b/>
                <w:sz w:val="20"/>
              </w:rPr>
              <w:t>Mean Latency (ms)</w:t>
            </w:r>
          </w:p>
        </w:tc>
        <w:tc>
          <w:tcPr>
            <w:tcW w:type="dxa" w:w="3168"/>
            <w:shd w:fill="F0F4F8"/>
            <w:tcBorders>
              <w:top w:val="single" w:sz="6" w:color="000000"/>
              <w:left w:val="single" w:sz="4" w:color="CCCCCC"/>
              <w:bottom w:val="single" w:sz="6" w:color="000000"/>
              <w:right w:val="single" w:sz="4" w:color="CCCCCC"/>
            </w:tcBorders>
          </w:tcPr>
          <w:p>
            <w:pPr>
              <w:spacing w:before="80" w:after="80" w:line="240" w:lineRule="auto"/>
              <w:jc w:val="center"/>
            </w:pPr>
            <w:r>
              <w:rPr>
                <w:rFonts w:ascii="Times New Roman" w:hAnsi="Times New Roman"/>
                <w:b/>
                <w:sz w:val="20"/>
              </w:rPr>
              <w:t>Execution Paradigm</w:t>
            </w:r>
          </w:p>
        </w:tc>
      </w:tr>
      <w:tr>
        <w:tc>
          <w:tcPr>
            <w:tcW w:type="dxa" w:w="4608"/>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URL Feature &amp; Metadata Extraction</w:t>
            </w:r>
          </w:p>
        </w:tc>
        <w:tc>
          <w:tcPr>
            <w:tcW w:type="dxa" w:w="2016"/>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12.4</w:t>
            </w:r>
          </w:p>
        </w:tc>
        <w:tc>
          <w:tcPr>
            <w:tcW w:type="dxa" w:w="3168"/>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Concurrent Async Worker</w:t>
            </w:r>
          </w:p>
        </w:tc>
      </w:tr>
      <w:tr>
        <w:tc>
          <w:tcPr>
            <w:tcW w:type="dxa" w:w="4608"/>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1D-CNN Character-level Inference</w:t>
            </w:r>
          </w:p>
        </w:tc>
        <w:tc>
          <w:tcPr>
            <w:tcW w:type="dxa" w:w="2016"/>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7.8</w:t>
            </w:r>
          </w:p>
        </w:tc>
        <w:tc>
          <w:tcPr>
            <w:tcW w:type="dxa" w:w="3168"/>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GPU Parallelized</w:t>
            </w:r>
          </w:p>
        </w:tc>
      </w:tr>
      <w:tr>
        <w:tc>
          <w:tcPr>
            <w:tcW w:type="dxa" w:w="4608"/>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Headless Browser Crawl &amp; Screenshot</w:t>
            </w:r>
          </w:p>
        </w:tc>
        <w:tc>
          <w:tcPr>
            <w:tcW w:type="dxa" w:w="2016"/>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84.6</w:t>
            </w:r>
          </w:p>
        </w:tc>
        <w:tc>
          <w:tcPr>
            <w:tcW w:type="dxa" w:w="3168"/>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Asynchronous Chrome Pod</w:t>
            </w:r>
          </w:p>
        </w:tc>
      </w:tr>
      <w:tr>
        <w:tc>
          <w:tcPr>
            <w:tcW w:type="dxa" w:w="4608"/>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CodeBERT DOM Tokenization &amp; Inference</w:t>
            </w:r>
          </w:p>
        </w:tc>
        <w:tc>
          <w:tcPr>
            <w:tcW w:type="dxa" w:w="2016"/>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64.2</w:t>
            </w:r>
          </w:p>
        </w:tc>
        <w:tc>
          <w:tcPr>
            <w:tcW w:type="dxa" w:w="3168"/>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GPU Tensor Batch</w:t>
            </w:r>
          </w:p>
        </w:tc>
      </w:tr>
      <w:tr>
        <w:tc>
          <w:tcPr>
            <w:tcW w:type="dxa" w:w="4608"/>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EfficientNet-B7 Visual Inference</w:t>
            </w:r>
          </w:p>
        </w:tc>
        <w:tc>
          <w:tcPr>
            <w:tcW w:type="dxa" w:w="2016"/>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38.5</w:t>
            </w:r>
          </w:p>
        </w:tc>
        <w:tc>
          <w:tcPr>
            <w:tcW w:type="dxa" w:w="3168"/>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GPU Tensor Batch</w:t>
            </w:r>
          </w:p>
        </w:tc>
      </w:tr>
      <w:tr>
        <w:tc>
          <w:tcPr>
            <w:tcW w:type="dxa" w:w="4608"/>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Late Fusion Meta-Classifier</w:t>
            </w:r>
          </w:p>
        </w:tc>
        <w:tc>
          <w:tcPr>
            <w:tcW w:type="dxa" w:w="2016"/>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1.8</w:t>
            </w:r>
          </w:p>
        </w:tc>
        <w:tc>
          <w:tcPr>
            <w:tcW w:type="dxa" w:w="3168"/>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CPU Lightweight Meta</w:t>
            </w:r>
          </w:p>
        </w:tc>
      </w:tr>
      <w:tr>
        <w:tc>
          <w:tcPr>
            <w:tcW w:type="dxa" w:w="4608"/>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Local LLM Incident Synthesis (Quantized)</w:t>
            </w:r>
          </w:p>
        </w:tc>
        <w:tc>
          <w:tcPr>
            <w:tcW w:type="dxa" w:w="2016"/>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185.0</w:t>
            </w:r>
          </w:p>
        </w:tc>
        <w:tc>
          <w:tcPr>
            <w:tcW w:type="dxa" w:w="3168"/>
            <w:shd w:fill="FFFFFF"/>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Triggered on High Severity</w:t>
            </w:r>
          </w:p>
        </w:tc>
      </w:tr>
      <w:tr>
        <w:tc>
          <w:tcPr>
            <w:tcW w:type="dxa" w:w="4608"/>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Total End-to-End Classification</w:t>
            </w:r>
          </w:p>
        </w:tc>
        <w:tc>
          <w:tcPr>
            <w:tcW w:type="dxa" w:w="2016"/>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108.6</w:t>
            </w:r>
          </w:p>
        </w:tc>
        <w:tc>
          <w:tcPr>
            <w:tcW w:type="dxa" w:w="3168"/>
            <w:shd w:fill="FAFAFA"/>
            <w:tcBorders>
              <w:top w:val="single" w:sz="4" w:color="E0E0E0"/>
              <w:left w:val="single" w:sz="4" w:color="E0E0E0"/>
              <w:bottom w:val="single" w:sz="4" w:color="E0E0E0"/>
              <w:right w:val="single" w:sz="4" w:color="E0E0E0"/>
            </w:tcBorders>
          </w:tcPr>
          <w:p>
            <w:pPr>
              <w:spacing w:before="60" w:after="60" w:line="276" w:lineRule="auto"/>
            </w:pPr>
            <w:r>
              <w:rPr>
                <w:rFonts w:ascii="Times New Roman" w:hAnsi="Times New Roman"/>
                <w:sz w:val="20"/>
              </w:rPr>
              <w:t>Sub-second Streaming Pipeline</w:t>
            </w:r>
          </w:p>
        </w:tc>
      </w:tr>
    </w:tbl>
    <w:p>
      <w:pPr>
        <w:spacing w:before="80" w:after="240"/>
        <w:jc w:val="center"/>
      </w:pPr>
      <w:r>
        <w:rPr>
          <w:b/>
        </w:rPr>
        <w:t>Table 4.4: Component-Wise Execution Latency and Computational Overhead</w:t>
      </w:r>
    </w:p>
    <w:p>
      <w:pPr>
        <w:spacing w:line="360" w:lineRule="auto" w:after="120"/>
        <w:jc w:val="both"/>
      </w:pPr>
      <w:r>
        <w:t>The total classification decision is reached in an average of 108.6 ms, fully meeting real-world enterprise proxy inline inspection requirements. The LLM synthesis branch (185 ms) is invoked asynchronously only when the meta-classifier flags a high-severity threat, avoiding unnecessary compute overhead for benign traffic.</w:t>
      </w:r>
    </w:p>
    <w:p>
      <w:r>
        <w:br w:type="page"/>
      </w:r>
    </w:p>
    <w:p>
      <w:pPr>
        <w:spacing w:before="360" w:after="120"/>
        <w:jc w:val="center"/>
      </w:pPr>
      <w:r>
        <w:rPr>
          <w:b/>
          <w:sz w:val="28"/>
        </w:rPr>
        <w:t>CHAPTER 5</w:t>
        <w:br/>
      </w:r>
      <w:r>
        <w:rPr>
          <w:b/>
          <w:sz w:val="30"/>
        </w:rPr>
        <w:t>CONCLUSION AND FUTURE WORK</w:t>
      </w:r>
    </w:p>
    <w:p>
      <w:pPr>
        <w:spacing w:before="280" w:after="120"/>
        <w:jc w:val="left"/>
      </w:pPr>
      <w:r>
        <w:rPr>
          <w:b/>
          <w:sz w:val="26"/>
        </w:rPr>
        <w:t>5.1  Summary of Seminar Work</w:t>
      </w:r>
    </w:p>
    <w:p>
      <w:pPr>
        <w:spacing w:line="360" w:lineRule="auto" w:after="120"/>
        <w:jc w:val="both"/>
      </w:pPr>
      <w:r>
        <w:t>This seminar study investigated, formulated, and empirically evaluated a cutting-edge Multimodal Phishing Detection and Incident Response Architecture grounded in Explainable Artificial Intelligence. Confronting the aggressive evolution of phishing threats—characterized by polymorphic DOM routines, evasive symbolic obfuscation, and zero-day blacklisting lag—the research establishes that single-modality defensive solutions are structurally inadequate for modern enterprise perimeters.</w:t>
      </w:r>
    </w:p>
    <w:p>
      <w:pPr>
        <w:spacing w:line="360" w:lineRule="auto" w:after="120"/>
        <w:jc w:val="both"/>
      </w:pPr>
      <w:r>
        <w:t>By architecting a synchronized late-fusion framework that concurrently aggregates tabular metadata (CatBoost), sequential character syntax (1D-CNN), structural code semantics (CodeBERT), and visual layout renderings (EfficientNet-B7), the system achieves state-of-the-art discrimination while remaining resilient against isolated adversarial evasions. Crucially, the coupling of fine-grained XAI attributions (SHAP, Integrated Gradients, Attention Rollout, Grad-CAM) with an autonomous local LLM agent bridges the historic interpretability divide, transforming abstract deep learning probabilities into actionable, MITRE-aligned SOC incident briefs.</w:t>
      </w:r>
    </w:p>
    <w:p>
      <w:pPr>
        <w:spacing w:before="280" w:after="120"/>
        <w:jc w:val="left"/>
      </w:pPr>
      <w:r>
        <w:rPr>
          <w:b/>
          <w:sz w:val="26"/>
        </w:rPr>
        <w:t>5.2  Key Contributions</w:t>
      </w:r>
    </w:p>
    <w:p>
      <w:pPr>
        <w:spacing w:line="360" w:lineRule="auto" w:after="120"/>
        <w:jc w:val="both"/>
      </w:pPr>
      <w:r>
        <w:t>The primary contributions of this seminar work include:</w:t>
      </w:r>
    </w:p>
    <w:p>
      <w:pPr>
        <w:pStyle w:val="ListBullet"/>
        <w:spacing w:line="360" w:lineRule="auto" w:after="80"/>
        <w:jc w:val="both"/>
      </w:pPr>
      <w:r>
        <w:rPr>
          <w:b/>
        </w:rPr>
        <w:t>Orthogonal Multimodal Fusion:</w:t>
      </w:r>
      <w:r>
        <w:t xml:space="preserve"> Demonstrated that combining four diverse web representations achieves superior performance (0.989 F1-score) compared to any single-modality baseline (max 0.949 F1-score for CodeBERT).</w:t>
      </w:r>
    </w:p>
    <w:p>
      <w:pPr>
        <w:pStyle w:val="ListBullet"/>
        <w:spacing w:line="360" w:lineRule="auto" w:after="80"/>
        <w:jc w:val="both"/>
      </w:pPr>
      <w:r>
        <w:rPr>
          <w:b/>
        </w:rPr>
        <w:t>Zero-Day Interception Efficacy:</w:t>
      </w:r>
      <w:r>
        <w:t xml:space="preserve"> Validated exceptional resilience against 100 live unindexed phishing honeypot campaigns, achieving an 8.0% evasion rate compared to 59.0% for commercial blacklists.</w:t>
      </w:r>
    </w:p>
    <w:p>
      <w:pPr>
        <w:pStyle w:val="ListBullet"/>
        <w:spacing w:line="360" w:lineRule="auto" w:after="80"/>
        <w:jc w:val="both"/>
      </w:pPr>
      <w:r>
        <w:rPr>
          <w:b/>
        </w:rPr>
        <w:t>Transparent Multi-Layer Interpretability:</w:t>
      </w:r>
      <w:r>
        <w:t xml:space="preserve"> Formulated an end-to-end explainability suite providing mathematical attributions across tabular, token, syntax, and visual dimensions.</w:t>
      </w:r>
    </w:p>
    <w:p>
      <w:pPr>
        <w:pStyle w:val="ListBullet"/>
        <w:spacing w:line="360" w:lineRule="auto" w:after="80"/>
        <w:jc w:val="both"/>
      </w:pPr>
      <w:r>
        <w:rPr>
          <w:b/>
        </w:rPr>
        <w:t>Human-Centered SOC Acceleration:</w:t>
      </w:r>
      <w:r>
        <w:t xml:space="preserve"> Demonstrated that LLM-synthesized natural-language incident reporting reduces human analyst verification latency by over 80% while elevating trust and decision clarity.</w:t>
      </w:r>
    </w:p>
    <w:p>
      <w:pPr>
        <w:pStyle w:val="ListBullet"/>
        <w:spacing w:line="360" w:lineRule="auto" w:after="80"/>
        <w:jc w:val="both"/>
      </w:pPr>
      <w:r>
        <w:rPr>
          <w:b/>
        </w:rPr>
        <w:t>Production-Viable Latency:</w:t>
      </w:r>
      <w:r>
        <w:t xml:space="preserve"> Engineered an asynchronous microservice deployment achieving a 108.6 ms total classification turnaround, viable for inline proxy integration.</w:t>
      </w:r>
    </w:p>
    <w:p>
      <w:pPr>
        <w:spacing w:before="280" w:after="120"/>
        <w:jc w:val="left"/>
      </w:pPr>
      <w:r>
        <w:rPr>
          <w:b/>
          <w:sz w:val="26"/>
        </w:rPr>
        <w:t>5.3  Operational Limitations and Challenges</w:t>
      </w:r>
    </w:p>
    <w:p>
      <w:pPr>
        <w:spacing w:line="360" w:lineRule="auto" w:after="120"/>
        <w:jc w:val="both"/>
      </w:pPr>
      <w:r>
        <w:t>Despite significant empirical success, several operational limitations warrant acknowledgment:</w:t>
      </w:r>
    </w:p>
    <w:p>
      <w:pPr>
        <w:pStyle w:val="ListBullet"/>
        <w:spacing w:line="360" w:lineRule="auto" w:after="80"/>
        <w:jc w:val="both"/>
      </w:pPr>
      <w:r>
        <w:rPr>
          <w:b/>
        </w:rPr>
        <w:t>Resource Footprint:</w:t>
      </w:r>
      <w:r>
        <w:t xml:space="preserve"> Concurrently running CodeBERT and EfficientNet-B7 inferences requires dedicated GPU infrastructure, increasing hardware expenditure in high-throughput enterprise gateways.</w:t>
      </w:r>
    </w:p>
    <w:p>
      <w:pPr>
        <w:pStyle w:val="ListBullet"/>
        <w:spacing w:line="360" w:lineRule="auto" w:after="80"/>
        <w:jc w:val="both"/>
      </w:pPr>
      <w:r>
        <w:rPr>
          <w:b/>
        </w:rPr>
        <w:t>Dynamic Anti-Analysis Countermeasures:</w:t>
      </w:r>
      <w:r>
        <w:t xml:space="preserve"> Advanced phishing portals equipped with browser fingerprinting or CAPTCHA gating may occasionally fail to render full credentials in automated headless sandboxes.</w:t>
      </w:r>
    </w:p>
    <w:p>
      <w:pPr>
        <w:pStyle w:val="ListBullet"/>
        <w:spacing w:line="360" w:lineRule="auto" w:after="80"/>
        <w:jc w:val="both"/>
      </w:pPr>
      <w:r>
        <w:rPr>
          <w:b/>
        </w:rPr>
        <w:t>Hallucination Vulnerability in LLMs:</w:t>
      </w:r>
      <w:r>
        <w:t xml:space="preserve"> Although mitigated via RAG and strict XAI feature grounding, generative models carry a residual probability of synthesizing inaccurate campaign correlations if telemetry data is sparse.</w:t>
      </w:r>
    </w:p>
    <w:p>
      <w:pPr>
        <w:spacing w:before="280" w:after="120"/>
        <w:jc w:val="left"/>
      </w:pPr>
      <w:r>
        <w:rPr>
          <w:b/>
          <w:sz w:val="26"/>
        </w:rPr>
        <w:t>5.4  Future Research Directions</w:t>
      </w:r>
    </w:p>
    <w:p>
      <w:pPr>
        <w:spacing w:line="360" w:lineRule="auto" w:after="120"/>
        <w:jc w:val="both"/>
      </w:pPr>
      <w:r>
        <w:t>Prospective extensions of this research encompass:</w:t>
      </w:r>
    </w:p>
    <w:p>
      <w:pPr>
        <w:pStyle w:val="ListBullet"/>
        <w:spacing w:line="360" w:lineRule="auto" w:after="80"/>
        <w:jc w:val="both"/>
      </w:pPr>
      <w:r>
        <w:rPr>
          <w:b/>
        </w:rPr>
        <w:t>Edge-Optimized Model Quantization:</w:t>
      </w:r>
      <w:r>
        <w:t xml:space="preserve"> Deploying knowledge distillation and pruning (e.g., MobileNetV4, Tiny-CodeBERT) to reduce compute overhead, enabling localized execution on endpoint security agents.</w:t>
      </w:r>
    </w:p>
    <w:p>
      <w:pPr>
        <w:pStyle w:val="ListBullet"/>
        <w:spacing w:line="360" w:lineRule="auto" w:after="80"/>
        <w:jc w:val="both"/>
      </w:pPr>
      <w:r>
        <w:rPr>
          <w:b/>
        </w:rPr>
        <w:t>Active Online Learning:</w:t>
      </w:r>
      <w:r>
        <w:t xml:space="preserve"> Integrating automated continuous learning pipelines that retrain meta-classifier weights dynamically as SOC analysts confirm novel zero-day evasions.</w:t>
      </w:r>
    </w:p>
    <w:p>
      <w:pPr>
        <w:pStyle w:val="ListBullet"/>
        <w:spacing w:line="360" w:lineRule="auto" w:after="80"/>
        <w:jc w:val="both"/>
      </w:pPr>
      <w:r>
        <w:rPr>
          <w:b/>
        </w:rPr>
        <w:t>Graph Neural Network DOM Reasoning:</w:t>
      </w:r>
      <w:r>
        <w:t xml:space="preserve"> Constructing heterogeneous Graph Neural Networks (GNNs) directly over the DOM tree to capture cross-element relational hierarchies beyond linear token sequences.</w:t>
      </w:r>
    </w:p>
    <w:p>
      <w:r>
        <w:br w:type="page"/>
      </w:r>
    </w:p>
    <w:p>
      <w:pPr>
        <w:spacing w:before="360" w:after="320"/>
        <w:jc w:val="center"/>
      </w:pPr>
      <w:r>
        <w:rPr>
          <w:b/>
          <w:sz w:val="28"/>
        </w:rPr>
        <w:t>REFERENCES</w:t>
      </w:r>
    </w:p>
    <w:p>
      <w:pPr>
        <w:spacing w:line="276" w:lineRule="auto" w:after="120"/>
        <w:ind w:left="576" w:hanging="576"/>
        <w:jc w:val="both"/>
      </w:pPr>
      <w:r>
        <w:t>[1] A. Biju Joseph, "Multimodal Phishing Website Detection Using Explainable Artificial Intelligence," Seminar Report, Dept. Comput. Sci. Eng., Amal Jyothi Coll. Eng., Kanjirappally, India, 2026.</w:t>
      </w:r>
    </w:p>
    <w:p>
      <w:pPr>
        <w:spacing w:line="276" w:lineRule="auto" w:after="120"/>
        <w:ind w:left="576" w:hanging="576"/>
        <w:jc w:val="both"/>
      </w:pPr>
      <w:r>
        <w:t>[2] X. Chen, Y. Zhang, and Z. Liu, "Behavior-based multichannel phishing detection using EM-BERT and sparse PCA," IEEE Trans. Inf. Forensics Security, vol. 19, pp. 1120-1135, 2024.</w:t>
      </w:r>
    </w:p>
    <w:p>
      <w:pPr>
        <w:spacing w:line="276" w:lineRule="auto" w:after="120"/>
        <w:ind w:left="576" w:hanging="576"/>
        <w:jc w:val="both"/>
      </w:pPr>
      <w:r>
        <w:t>[3] R. Samuel, K. Vijayakumar, and S. Prabu, "A dynamic arithmetic optimization algorithm with deep learning for phishing detection in cloud environments (DAOA-DLPC)," J. Cloud Comput., vol. 13, no. 1, pp. 45-62, 2024.</w:t>
      </w:r>
    </w:p>
    <w:p>
      <w:pPr>
        <w:spacing w:line="276" w:lineRule="auto" w:after="120"/>
        <w:ind w:left="576" w:hanging="576"/>
        <w:jc w:val="both"/>
      </w:pPr>
      <w:r>
        <w:t>[4] M. A. Adebowale, K. T. Lwin, and M. A. Hossain, "Intelligent phishing detection using hybrid convolutional and recurrent deep learning architectures," Computers &amp; Security, vol. 128, p. 103150, 2023.</w:t>
      </w:r>
    </w:p>
    <w:p>
      <w:pPr>
        <w:spacing w:line="276" w:lineRule="auto" w:after="120"/>
        <w:ind w:left="576" w:hanging="576"/>
        <w:jc w:val="both"/>
      </w:pPr>
      <w:r>
        <w:t>[5] Y. Lin, R. Liu, and C. Shen, "MTLP: A multimodal target lookup dataset and benchmark for zero-day phishing detection," in Proc. IEEE Symp. Security and Privacy (S&amp;P), 2023, pp. 889-906.</w:t>
      </w:r>
    </w:p>
    <w:p>
      <w:pPr>
        <w:spacing w:line="276" w:lineRule="auto" w:after="120"/>
        <w:ind w:left="576" w:hanging="576"/>
        <w:jc w:val="both"/>
      </w:pPr>
      <w:r>
        <w:t>[6] Z. Feng, D. Guo, D. Tang, N. Duan, X. Feng, M. Gong, L. Shou, B. Qin, T. Liu, D. Jiang, and M. Zhou, "CodeBERT: A pre-trained model for programming and natural languages," in Findings of the Association for Computational Linguistics: EMNLP 2020, 2020, pp. 1536-1547.</w:t>
      </w:r>
    </w:p>
    <w:p>
      <w:pPr>
        <w:spacing w:line="276" w:lineRule="auto" w:after="120"/>
        <w:ind w:left="576" w:hanging="576"/>
        <w:jc w:val="both"/>
      </w:pPr>
      <w:r>
        <w:t>[7] S. M. Lundberg and S.-I. Lee, "A unified approach to interpreting model predictions," in Advances in Neural Information Processing Systems (NeurIPS), vol. 30, 2017, pp. 4765-4774.</w:t>
      </w:r>
    </w:p>
    <w:p>
      <w:pPr>
        <w:spacing w:line="276" w:lineRule="auto" w:after="120"/>
        <w:ind w:left="576" w:hanging="576"/>
        <w:jc w:val="both"/>
      </w:pPr>
      <w:r>
        <w:t>[8] M. Sundararajan, A. Taly, and Q. Yan, "Axiomatic attribution for deep networks," in Proc. 34th Int. Conf. Machine Learning (ICML), 2017, pp. 3319-3328.</w:t>
      </w:r>
    </w:p>
    <w:p>
      <w:pPr>
        <w:spacing w:line="276" w:lineRule="auto" w:after="120"/>
        <w:ind w:left="576" w:hanging="576"/>
        <w:jc w:val="both"/>
      </w:pPr>
      <w:r>
        <w:t>[9] R. R. Selvaraju, M. Cogswell, A. Das, R. Vedantam, D. Parikh, and D. Batra, "Grad-CAM: Visual explanations from deep networks via gradient-based localization," in Proc. IEEE Int. Conf. Computer Vision (ICCV), 2017, pp. 618-626.</w:t>
      </w:r>
    </w:p>
    <w:p>
      <w:pPr>
        <w:spacing w:line="276" w:lineRule="auto" w:after="120"/>
        <w:ind w:left="576" w:hanging="576"/>
        <w:jc w:val="both"/>
      </w:pPr>
      <w:r>
        <w:t>[10] L. Prokhorenkova, G. Gusev, A. Vorobev, A. V. Dorogush, and A. Gulin, "CatBoost: Unbiased boosting with categorical features," in Advances in Neural Information Processing Systems (NeurIPS), vol. 31, 2018, pp. 6638-6648.</w:t>
      </w:r>
    </w:p>
    <w:p>
      <w:pPr>
        <w:spacing w:line="276" w:lineRule="auto" w:after="120"/>
        <w:ind w:left="576" w:hanging="576"/>
        <w:jc w:val="both"/>
      </w:pPr>
      <w:r>
        <w:t>[11] M. Tan and Q. V. Le, "EfficientNet: Rethinking model scaling for convolutional neural networks," in Proc. 36th Int. Conf. Machine Learning (ICML), 2019, pp. 6105-6114.</w:t>
      </w:r>
    </w:p>
    <w:p>
      <w:pPr>
        <w:spacing w:line="276" w:lineRule="auto" w:after="120"/>
        <w:ind w:left="576" w:hanging="576"/>
        <w:jc w:val="both"/>
      </w:pPr>
      <w:r>
        <w:t>[12] S. Marchal, K. Saari, N. Singh, and N. Asokan, "Know your phishing: Diversity of phishing campaigns and their target websites," in Proc. IEEE Conf. Communications and Network Security (CNS), 2016, pp. 1-9.</w:t>
      </w:r>
    </w:p>
    <w:p>
      <w:pPr>
        <w:spacing w:line="276" w:lineRule="auto" w:after="120"/>
        <w:ind w:left="576" w:hanging="576"/>
        <w:jc w:val="both"/>
      </w:pPr>
      <w:r>
        <w:t>[13] A. Al-Aiyan, B. Al-Duwairi, and M. Al-Zewairi, "Explainable AI for cybersecurity: A comprehensive review and taxonomy," IEEE Access, vol. 11, pp. 88560-88582, 2023.</w:t>
      </w:r>
    </w:p>
    <w:p>
      <w:pPr>
        <w:spacing w:line="276" w:lineRule="auto" w:after="120"/>
        <w:ind w:left="576" w:hanging="576"/>
        <w:jc w:val="both"/>
      </w:pPr>
      <w:r>
        <w:t>[14] AI@Meta, "Llama 3 model card and technical overview," Meta AI Research, Tech. Rep., Apr. 2024. [Online]. Available: https://github.com/meta-llama/llama3</w:t>
      </w:r>
    </w:p>
    <w:p>
      <w:pPr>
        <w:spacing w:line="276" w:lineRule="auto" w:after="120"/>
        <w:ind w:left="576" w:hanging="576"/>
        <w:jc w:val="both"/>
      </w:pPr>
      <w:r>
        <w:t>[15] P. Lewis, E. Perez, A. Piktus, F. Petroni, V. Karpukhin, N. Goyal, H. Kuttler, M. Lewis, W. Yih, T. Rocktaschel, S. Riedel, and D. Kiela, "Retrieval-augmented generation for knowledge-intensive NLP tasks," in Advances in Neural Information Processing Systems (NeurIPS), vol. 33, 2020, pp. 9459-9474.</w:t>
      </w:r>
    </w:p>
    <w:p>
      <w:r>
        <w:br w:type="page"/>
      </w:r>
    </w:p>
    <w:p>
      <w:pPr>
        <w:spacing w:before="360" w:after="120"/>
        <w:jc w:val="center"/>
      </w:pPr>
      <w:r>
        <w:rPr>
          <w:b/>
          <w:sz w:val="28"/>
        </w:rPr>
        <w:t>APPENDIX A</w:t>
        <w:br/>
      </w:r>
      <w:r>
        <w:rPr>
          <w:b/>
          <w:sz w:val="28"/>
        </w:rPr>
        <w:t>SAMPLE IMPLEMENTATION SOURCE CODE</w:t>
      </w:r>
    </w:p>
    <w:p>
      <w:pPr>
        <w:spacing w:before="200" w:after="80"/>
        <w:jc w:val="left"/>
      </w:pPr>
      <w:r>
        <w:rPr>
          <w:b/>
          <w:sz w:val="24"/>
        </w:rPr>
        <w:t>Asynchronous Multimodal Late-Fusion Pipeline</w:t>
      </w:r>
    </w:p>
    <w:p>
      <w:pPr>
        <w:spacing w:line="360" w:lineRule="auto" w:after="120"/>
        <w:jc w:val="both"/>
      </w:pPr>
      <w:r>
        <w:t>The Python script below illustrates the asynchronous coordinator orchestrating concurrent execution of the detection branches and late-fusion meta-classification:</w:t>
      </w:r>
    </w:p>
    <w:p>
      <w:pPr>
        <w:spacing w:before="80" w:after="240" w:line="240" w:lineRule="auto"/>
      </w:pPr>
      <w:r>
        <w:rPr>
          <w:rFonts w:ascii="Courier New" w:hAnsi="Courier New"/>
          <w:sz w:val="19"/>
        </w:rPr>
        <w:t>import asyncio</w:t>
        <w:br/>
        <w:t>import numpy as np</w:t>
        <w:br/>
        <w:t>from pydantic import BaseModel</w:t>
        <w:br/>
        <w:t>from typing import Dict, Any</w:t>
        <w:br/>
        <w:br/>
        <w:t>class DetectionResult(BaseModel):</w:t>
        <w:br/>
        <w:t xml:space="preserve">    url: str</w:t>
        <w:br/>
        <w:t xml:space="preserve">    is_phishing: bool</w:t>
        <w:br/>
        <w:t xml:space="preserve">    confidence: float</w:t>
        <w:br/>
        <w:t xml:space="preserve">    branch_scores: Dict[str, float]</w:t>
        <w:br/>
        <w:t xml:space="preserve">    explanations: Dict[str, Any]</w:t>
        <w:br/>
        <w:br/>
        <w:t>class MultimodalPhishingDetector:</w:t>
        <w:br/>
        <w:t xml:space="preserve">    def __init__(self, cb_worker, cnn_worker, </w:t>
        <w:br/>
        <w:t xml:space="preserve">                 code_worker, vision_worker, meta_clf):</w:t>
        <w:br/>
        <w:t xml:space="preserve">        self.catboost = cb_worker</w:t>
        <w:br/>
        <w:t xml:space="preserve">        self.cnn1d = cnn_worker</w:t>
        <w:br/>
        <w:t xml:space="preserve">        self.codebert = code_worker</w:t>
        <w:br/>
        <w:t xml:space="preserve">        self.effnet = vision_worker</w:t>
        <w:br/>
        <w:t xml:space="preserve">        self.meta_clf = meta_clf</w:t>
        <w:br/>
        <w:br/>
        <w:t xml:space="preserve">    async def predict_url(self, target_url: str) -&gt; DetectionResult:</w:t>
        <w:br/>
        <w:t xml:space="preserve">        # Launch concurrent asynchronous feature collection</w:t>
        <w:br/>
        <w:t xml:space="preserve">        task_cb = asyncio.create_task(</w:t>
        <w:br/>
        <w:t xml:space="preserve">            self.catboost.analyze(target_url))</w:t>
        <w:br/>
        <w:t xml:space="preserve">        task_cnn = asyncio.create_task(</w:t>
        <w:br/>
        <w:t xml:space="preserve">            self.cnn1d.analyze(target_url))</w:t>
        <w:br/>
        <w:t xml:space="preserve">        task_code = asyncio.create_task(</w:t>
        <w:br/>
        <w:t xml:space="preserve">            self.codebert.analyze(target_url))</w:t>
        <w:br/>
        <w:t xml:space="preserve">        task_vis = asyncio.create_task(</w:t>
        <w:br/>
        <w:t xml:space="preserve">            self.effnet.analyze(target_url))</w:t>
        <w:br/>
        <w:br/>
        <w:t xml:space="preserve">        # Await completion across parallel workers</w:t>
        <w:br/>
        <w:t xml:space="preserve">        res_cb, res_cnn, res_code, res_vis = await asyncio.gather(</w:t>
        <w:br/>
        <w:t xml:space="preserve">            task_cb, task_cnn, task_code, task_vis</w:t>
        <w:br/>
        <w:t xml:space="preserve">        )</w:t>
        <w:br/>
        <w:br/>
        <w:t xml:space="preserve">        # Assemble intermediate probability vector</w:t>
        <w:br/>
        <w:t xml:space="preserve">        p_vec = np.array([[res_cb.prob, res_cnn.prob, </w:t>
        <w:br/>
        <w:t xml:space="preserve">                           res_code.prob, res_vis.prob]])</w:t>
        <w:br/>
        <w:br/>
        <w:t xml:space="preserve">        # Execute cost-sensitive late-fusion meta-classification</w:t>
        <w:br/>
        <w:t xml:space="preserve">        ensemble_prob = float(self.meta_clf.predict_proba(p_vec)[0, 1])</w:t>
        <w:br/>
        <w:t xml:space="preserve">        is_phish = bool(ensemble_prob &gt;= 0.50)</w:t>
        <w:br/>
        <w:br/>
        <w:t xml:space="preserve">        # Compile structured explanations across branches</w:t>
        <w:br/>
        <w:t xml:space="preserve">        explanations = {</w:t>
        <w:br/>
        <w:t xml:space="preserve">            "shap_features": res_cb.shap_values,</w:t>
        <w:br/>
        <w:t xml:space="preserve">            "cnn_typosquat_tokens": res_cnn.integrated_gradients,</w:t>
        <w:br/>
        <w:t xml:space="preserve">            "codebert_attention_tags": res_code.attention_map,</w:t>
        <w:br/>
        <w:t xml:space="preserve">            "effnet_gradcam_heatmap": res_vis.gradcam_overlay</w:t>
        <w:br/>
        <w:t xml:space="preserve">        }</w:t>
        <w:br/>
        <w:br/>
        <w:t xml:space="preserve">        return DetectionResult(</w:t>
        <w:br/>
        <w:t xml:space="preserve">            url=target_url,</w:t>
        <w:br/>
        <w:t xml:space="preserve">            is_phishing=is_phish,</w:t>
        <w:br/>
        <w:t xml:space="preserve">            confidence=ensemble_prob,</w:t>
        <w:br/>
        <w:t xml:space="preserve">            branch_scores={</w:t>
        <w:br/>
        <w:t xml:space="preserve">                "CatBoost": res_cb.prob,</w:t>
        <w:br/>
        <w:t xml:space="preserve">                "1D_CNN": res_cnn.prob,</w:t>
        <w:br/>
        <w:t xml:space="preserve">                "CodeBERT": res_code.prob,</w:t>
        <w:br/>
        <w:t xml:space="preserve">                "EfficientNet": res_vis.prob</w:t>
        <w:br/>
        <w:t xml:space="preserve">            },</w:t>
        <w:br/>
        <w:t xml:space="preserve">            explanations=explanations</w:t>
        <w:br/>
        <w:t xml:space="preserve">        )</w:t>
      </w:r>
    </w:p>
    <w:p>
      <w:r>
        <w:br w:type="page"/>
      </w:r>
    </w:p>
    <w:p>
      <w:pPr>
        <w:spacing w:before="360" w:after="120"/>
        <w:jc w:val="center"/>
      </w:pPr>
      <w:r>
        <w:rPr>
          <w:b/>
          <w:sz w:val="28"/>
        </w:rPr>
        <w:t>APPENDIX B</w:t>
        <w:br/>
      </w:r>
      <w:r>
        <w:rPr>
          <w:b/>
          <w:sz w:val="28"/>
        </w:rPr>
        <w:t>SAMPLE GENERATED INCIDENT REPORT FOR SOC TRIAGE</w:t>
      </w:r>
    </w:p>
    <w:p>
      <w:pPr>
        <w:spacing w:line="360" w:lineRule="auto" w:after="120"/>
        <w:jc w:val="both"/>
      </w:pPr>
      <w:r>
        <w:t>The listing below illustrates a structured incident report synthesized by the local LLM agent with Retrieval-Augmented Generation (RAG) for an enterprise SOC analyst:</w:t>
      </w:r>
    </w:p>
    <w:p>
      <w:pPr>
        <w:spacing w:before="80" w:after="240" w:line="240" w:lineRule="auto"/>
      </w:pPr>
      <w:r>
        <w:rPr>
          <w:rFonts w:ascii="Courier New" w:hAnsi="Courier New"/>
          <w:sz w:val="19"/>
        </w:rPr>
        <w:t>=================================================================</w:t>
        <w:br/>
        <w:t>SOC INCIDENT TRIAGE REPORT: PHISH-2026-10-8821</w:t>
        <w:br/>
        <w:t>Generated by: Local LLM Sentinel Agent (RAG-Augmented)</w:t>
        <w:br/>
        <w:t>Severity: CRITICAL (Confidence Score: 0.992)</w:t>
        <w:br/>
        <w:t>Target URL: https://login-microsoftonline-verify.net/auth/login.php</w:t>
        <w:br/>
        <w:t>Timestamp: 2026-10-14T03:18:22Z</w:t>
        <w:br/>
        <w:t>=================================================================</w:t>
        <w:br/>
        <w:br/>
        <w:t>1. EXECUTIVE THREAT SUMMARY:</w:t>
        <w:br/>
        <w:t xml:space="preserve">   A highly deceptive credential harvesting portal impersonating</w:t>
        <w:br/>
        <w:t xml:space="preserve">   Microsoft 365 Enterprise Login has been detected. The site</w:t>
        <w:br/>
        <w:t xml:space="preserve">   exhibits multiple evasion mechanisms designed to bypass static</w:t>
        <w:br/>
        <w:t xml:space="preserve">   feed inspection and lexical token filters.</w:t>
        <w:br/>
        <w:br/>
        <w:t>2. MULTIMODAL EVIDENCE ATTRIBUTION:</w:t>
        <w:br/>
        <w:t xml:space="preserve">   * Tabular Lexical &amp; Network (CatBoost):</w:t>
        <w:br/>
        <w:t xml:space="preserve">     - Domain Registration Age: 2 days (High Risk Indicator)</w:t>
        <w:br/>
        <w:t xml:space="preserve">     - SSL Certificate: Free Let's Encrypt Authority (90-day validity)</w:t>
        <w:br/>
        <w:t xml:space="preserve">     - ASN: AS-HOSTING-BULLETPROOF (Known bulletproof proxy network)</w:t>
        <w:br/>
        <w:t xml:space="preserve">     - SHAP Top Driver: domain_age_days (-0.38 log-odds impact)</w:t>
        <w:br/>
        <w:t xml:space="preserve">   </w:t>
        <w:br/>
        <w:t xml:space="preserve">   * Character-Level URL Syntax (1D-CNN):</w:t>
        <w:br/>
        <w:t xml:space="preserve">     - Integrated Gradients highlighted tokens: 'microsoftonline'</w:t>
        <w:br/>
        <w:t xml:space="preserve">     - Typosquatting Pattern: Subdomain prepending on unverified TLD</w:t>
        <w:br/>
        <w:br/>
        <w:t xml:space="preserve">   * HTML Source Code DOM (CodeBERT):</w:t>
        <w:br/>
        <w:t xml:space="preserve">     - Suspicious POST action: form action directs credentials to</w:t>
        <w:br/>
        <w:t xml:space="preserve">       external untrusted endpoint: 'https://exfil-c2.darknet/gate.php'</w:t>
        <w:br/>
        <w:t xml:space="preserve">     - Obfuscated JS routine: eval(unescape(...)) decoded to</w:t>
        <w:br/>
        <w:t xml:space="preserve">       keystroke logging listener attached to password input field</w:t>
        <w:br/>
        <w:br/>
        <w:t xml:space="preserve">   * Visual Interface Inspection (EfficientNet-B7):</w:t>
        <w:br/>
        <w:t xml:space="preserve">     - Grad-CAM heatmap localized over corporate Microsoft logo &amp; </w:t>
        <w:br/>
        <w:t xml:space="preserve">       sign-in card (SSIM visual similarity: 94.8% to legitimate portal)</w:t>
        <w:br/>
        <w:br/>
        <w:t>3. MITRE ATT&amp;CK MATRIX MAPPING:</w:t>
        <w:br/>
        <w:t xml:space="preserve">   * T1566.002 - Phishing: Spearphishing Link</w:t>
        <w:br/>
        <w:t xml:space="preserve">   * T1056.001 - Input Capture: Keylogging</w:t>
        <w:br/>
        <w:t xml:space="preserve">   * T1584.004 - Compromise Infrastructure: Server</w:t>
        <w:br/>
        <w:br/>
        <w:t>4. RECOMMENDED AUTOMATED CONTAINMENT ACTIONS:</w:t>
        <w:br/>
        <w:t xml:space="preserve">   [X] Immediate IP/Domain egress block pushed to Palo Alto Firewalls.</w:t>
        <w:br/>
        <w:t xml:space="preserve">   [X] Invalidate active session tokens for user: j.doe@enterprise.com</w:t>
        <w:br/>
        <w:t xml:space="preserve">   [X] Submit domain takedown request to Registrar abuse contact.</w:t>
        <w:br/>
        <w:t>=================================================================</w:t>
      </w:r>
    </w:p>
    <w:sectPr w:rsidR="00FC693F" w:rsidRPr="0006063C" w:rsidSect="00034616">
      <w:pgSz w:w="11909" w:h="16834"/>
      <w:pgMar w:top="1411" w:right="1411"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