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645920" cy="1645920"/>
                    </a:xfrm>
                    <a:prstGeom prst="rect"/>
                  </pic:spPr>
                </pic:pic>
              </a:graphicData>
            </a:graphic>
          </wp:inline>
        </w:drawing>
      </w:r>
    </w:p>
    <w:p>
      <w:pPr>
        <w:spacing w:after="80"/>
      </w:pPr>
    </w:p>
    <w:p>
      <w:pPr>
        <w:spacing w:after="80"/>
        <w:jc w:val="center"/>
      </w:pPr>
      <w:r>
        <w:rPr>
          <w:rFonts w:ascii="Calibri" w:hAnsi="Calibri"/>
          <w:b/>
          <w:color w:val="0F172A"/>
          <w:sz w:val="52"/>
        </w:rPr>
        <w:t>Claude Business Starter Kit</w:t>
      </w:r>
    </w:p>
    <w:p>
      <w:pPr>
        <w:spacing w:after="240"/>
        <w:jc w:val="center"/>
      </w:pPr>
      <w:r>
        <w:rPr>
          <w:rFonts w:ascii="Calibri" w:hAnsi="Calibri"/>
          <w:i/>
          <w:color w:val="EA580C"/>
          <w:sz w:val="24"/>
        </w:rPr>
        <w:t>The Production-Ready 26-Framework Operating System for AI Coding Agents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shd w:fill="1E293B"/>
            <w:tcMar>
              <w:top w:w="100" w:type="dxa"/>
              <w:bottom w:w="100" w:type="dxa"/>
              <w:left w:w="120" w:type="dxa"/>
              <w:right w:w="120" w:type="dxa"/>
            </w:tcMar>
          </w:tcPr>
          <w:p>
            <w:pPr>
              <w:jc w:val="left"/>
            </w:pPr>
            <w:r>
              <w:rPr>
                <w:rFonts w:ascii="Calibri" w:hAnsi="Calibri"/>
                <w:b/>
                <w:color w:val="FFFFFF"/>
                <w:sz w:val="20"/>
              </w:rPr>
              <w:t>Version</w:t>
            </w:r>
          </w:p>
        </w:tc>
        <w:tc>
          <w:tcPr>
            <w:tcW w:type="dxa" w:w="1728"/>
            <w:shd w:fill="1E293B"/>
            <w:tcMar>
              <w:top w:w="100" w:type="dxa"/>
              <w:bottom w:w="100" w:type="dxa"/>
              <w:left w:w="120" w:type="dxa"/>
              <w:right w:w="120" w:type="dxa"/>
            </w:tcMar>
          </w:tcPr>
          <w:p>
            <w:pPr>
              <w:jc w:val="left"/>
            </w:pPr>
            <w:r>
              <w:rPr>
                <w:rFonts w:ascii="Calibri" w:hAnsi="Calibri"/>
                <w:b/>
                <w:color w:val="FFFFFF"/>
                <w:sz w:val="20"/>
              </w:rPr>
              <w:t>Author</w:t>
            </w:r>
          </w:p>
        </w:tc>
        <w:tc>
          <w:tcPr>
            <w:tcW w:type="dxa" w:w="2592"/>
            <w:shd w:fill="1E293B"/>
            <w:tcMar>
              <w:top w:w="100" w:type="dxa"/>
              <w:bottom w:w="100" w:type="dxa"/>
              <w:left w:w="120" w:type="dxa"/>
              <w:right w:w="120" w:type="dxa"/>
            </w:tcMar>
          </w:tcPr>
          <w:p>
            <w:pPr>
              <w:jc w:val="left"/>
            </w:pPr>
            <w:r>
              <w:rPr>
                <w:rFonts w:ascii="Calibri" w:hAnsi="Calibri"/>
                <w:b/>
                <w:color w:val="FFFFFF"/>
                <w:sz w:val="20"/>
              </w:rPr>
              <w:t>Platforms</w:t>
            </w:r>
          </w:p>
        </w:tc>
        <w:tc>
          <w:tcPr>
            <w:tcW w:type="dxa" w:w="2160"/>
            <w:shd w:fill="1E293B"/>
            <w:tcMar>
              <w:top w:w="100" w:type="dxa"/>
              <w:bottom w:w="100" w:type="dxa"/>
              <w:left w:w="120" w:type="dxa"/>
              <w:right w:w="120" w:type="dxa"/>
            </w:tcMar>
          </w:tcPr>
          <w:p>
            <w:pPr>
              <w:jc w:val="left"/>
            </w:pPr>
            <w:r>
              <w:rPr>
                <w:rFonts w:ascii="Calibri" w:hAnsi="Calibri"/>
                <w:b/>
                <w:color w:val="FFFFFF"/>
                <w:sz w:val="20"/>
              </w:rPr>
              <w:t>Specification</w:t>
            </w:r>
          </w:p>
        </w:tc>
        <w:tc>
          <w:tcPr>
            <w:tcW w:type="dxa" w:w="1440"/>
            <w:shd w:fill="1E293B"/>
            <w:tcMar>
              <w:top w:w="100" w:type="dxa"/>
              <w:bottom w:w="100" w:type="dxa"/>
              <w:left w:w="120" w:type="dxa"/>
              <w:right w:w="120" w:type="dxa"/>
            </w:tcMar>
          </w:tcPr>
          <w:p>
            <w:pPr>
              <w:jc w:val="left"/>
            </w:pPr>
            <w:r>
              <w:rPr>
                <w:rFonts w:ascii="Calibri" w:hAnsi="Calibri"/>
                <w:b/>
                <w:color w:val="FFFFFF"/>
                <w:sz w:val="20"/>
              </w:rPr>
              <w:t>License</w:t>
            </w:r>
          </w:p>
        </w:tc>
      </w:tr>
      <w:tr>
        <w:tc>
          <w:tcPr>
            <w:tcW w:type="dxa" w:w="1440"/>
            <w:shd w:fill="FFFFFF"/>
            <w:tcMar>
              <w:top w:w="80" w:type="dxa"/>
              <w:bottom w:w="80" w:type="dxa"/>
              <w:left w:w="120" w:type="dxa"/>
              <w:right w:w="120" w:type="dxa"/>
            </w:tcMar>
          </w:tcPr>
          <w:p>
            <w:r>
              <w:rPr>
                <w:rFonts w:ascii="Calibri" w:hAnsi="Calibri"/>
                <w:color w:val="334155"/>
                <w:sz w:val="19"/>
              </w:rPr>
              <w:t>1.0.0</w:t>
            </w:r>
          </w:p>
        </w:tc>
        <w:tc>
          <w:tcPr>
            <w:tcW w:type="dxa" w:w="1728"/>
            <w:shd w:fill="FFFFFF"/>
            <w:tcMar>
              <w:top w:w="80" w:type="dxa"/>
              <w:bottom w:w="80" w:type="dxa"/>
              <w:left w:w="120" w:type="dxa"/>
              <w:right w:w="120" w:type="dxa"/>
            </w:tcMar>
          </w:tcPr>
          <w:p>
            <w:r>
              <w:rPr>
                <w:rFonts w:ascii="Calibri" w:hAnsi="Calibri"/>
                <w:color w:val="334155"/>
                <w:sz w:val="19"/>
              </w:rPr>
              <w:t>Abinash Gope</w:t>
            </w:r>
          </w:p>
        </w:tc>
        <w:tc>
          <w:tcPr>
            <w:tcW w:type="dxa" w:w="2592"/>
            <w:shd w:fill="FFFFFF"/>
            <w:tcMar>
              <w:top w:w="80" w:type="dxa"/>
              <w:bottom w:w="80" w:type="dxa"/>
              <w:left w:w="120" w:type="dxa"/>
              <w:right w:w="120" w:type="dxa"/>
            </w:tcMar>
          </w:tcPr>
          <w:p>
            <w:r>
              <w:rPr>
                <w:rFonts w:ascii="Calibri" w:hAnsi="Calibri"/>
                <w:color w:val="334155"/>
                <w:sz w:val="19"/>
              </w:rPr>
              <w:t>Windows, macOS, Linux</w:t>
            </w:r>
          </w:p>
        </w:tc>
        <w:tc>
          <w:tcPr>
            <w:tcW w:type="dxa" w:w="2160"/>
            <w:shd w:fill="FFFFFF"/>
            <w:tcMar>
              <w:top w:w="80" w:type="dxa"/>
              <w:bottom w:w="80" w:type="dxa"/>
              <w:left w:w="120" w:type="dxa"/>
              <w:right w:w="120" w:type="dxa"/>
            </w:tcMar>
          </w:tcPr>
          <w:p>
            <w:r>
              <w:rPr>
                <w:rFonts w:ascii="Calibri" w:hAnsi="Calibri"/>
                <w:color w:val="334155"/>
                <w:sz w:val="19"/>
              </w:rPr>
              <w:t>Agent Skills / SKILL.md</w:t>
            </w:r>
          </w:p>
        </w:tc>
        <w:tc>
          <w:tcPr>
            <w:tcW w:type="dxa" w:w="1440"/>
            <w:shd w:fill="FFFFFF"/>
            <w:tcMar>
              <w:top w:w="80" w:type="dxa"/>
              <w:bottom w:w="80" w:type="dxa"/>
              <w:left w:w="120" w:type="dxa"/>
              <w:right w:w="120" w:type="dxa"/>
            </w:tcMar>
          </w:tcPr>
          <w:p>
            <w:r>
              <w:rPr>
                <w:rFonts w:ascii="Calibri" w:hAnsi="Calibri"/>
                <w:color w:val="334155"/>
                <w:sz w:val="19"/>
              </w:rPr>
              <w:t>MIT License</w:t>
            </w:r>
          </w:p>
        </w:tc>
      </w:tr>
    </w:tbl>
    <w:p>
      <w:pPr>
        <w:spacing w:after="160"/>
      </w:pPr>
    </w:p>
    <w:p>
      <w:pPr>
        <w:spacing w:after="200"/>
      </w:pPr>
    </w:p>
    <w:p>
      <w:pPr>
        <w:keepNext/>
        <w:spacing w:before="400" w:after="160"/>
      </w:pPr>
      <w:r>
        <w:rPr>
          <w:rFonts w:ascii="Calibri" w:hAnsi="Calibri"/>
          <w:b/>
          <w:color w:val="0F172A"/>
          <w:sz w:val="36"/>
        </w:rPr>
        <w:t>1. Executive Overview &amp; Value Proposition</w:t>
      </w:r>
    </w:p>
    <w:p>
      <w:pPr>
        <w:spacing w:after="120" w:line="276" w:lineRule="auto"/>
      </w:pPr>
      <w:r>
        <w:rPr>
          <w:rFonts w:ascii="Calibri" w:hAnsi="Calibri"/>
          <w:i w:val="0"/>
          <w:color w:val="334155"/>
          <w:sz w:val="21"/>
        </w:rPr>
        <w:t>The Claude Business Starter Kit is an open agent skill engineered to transform AI coding assistants (Claude Code, Antigravity, Cursor, and OpenClaw) into elite, tactical business strategists, growth marketers, and revenue operators. Rather than returning generic business platitudes, the skill equips the agent with 26 battle-tested playbooks across six operational phases, providing ready-to-run copy, pricing calculators, objection battlecards, and QA checklists.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EA580C"/>
              <w:top w:val="none"/>
              <w:right w:val="none"/>
              <w:bottom w:val="none"/>
            </w:tcBorders>
          </w:tcPr>
          <w:p>
            <w:pPr>
              <w:spacing w:before="40" w:after="40"/>
            </w:pPr>
            <w:r>
              <w:rPr>
                <w:rFonts w:ascii="Calibri" w:hAnsi="Calibri"/>
                <w:b/>
                <w:color w:val="EA580C"/>
                <w:sz w:val="21"/>
              </w:rPr>
              <w:t xml:space="preserve">📌 CORE DIFFERENTIATOR: </w:t>
            </w:r>
            <w:r>
              <w:rPr>
                <w:rFonts w:ascii="Calibri" w:hAnsi="Calibri"/>
                <w:color w:val="334155"/>
                <w:sz w:val="20"/>
              </w:rPr>
              <w:t>Generic AI gives vague business advice. The Claude Business Starter Kit provides deterministic, step-by-step frameworks that produce concrete deliverables like TAM calculations, 4-step cold email cadences, and Good-Better-Best pricing matrices.</w:t>
            </w:r>
          </w:p>
        </w:tc>
      </w:tr>
    </w:tbl>
    <w:p>
      <w:pPr>
        <w:spacing w:after="120"/>
      </w:pPr>
    </w:p>
    <w:p>
      <w:pPr>
        <w:spacing w:after="120" w:line="276" w:lineRule="auto"/>
      </w:pPr>
      <w:r>
        <w:rPr>
          <w:rFonts w:ascii="Calibri" w:hAnsi="Calibri"/>
          <w:b/>
          <w:color w:val="1E293B"/>
          <w:sz w:val="21"/>
        </w:rPr>
        <w:t xml:space="preserve">System Architecture: </w:t>
      </w:r>
      <w:r>
        <w:rPr>
          <w:rFonts w:ascii="Calibri" w:hAnsi="Calibri"/>
          <w:i w:val="0"/>
          <w:color w:val="334155"/>
          <w:sz w:val="21"/>
        </w:rPr>
        <w:t>Key architectural capabilities include:</w:t>
      </w:r>
    </w:p>
    <w:p>
      <w:pPr>
        <w:pStyle w:val="ListBullet"/>
      </w:pPr>
      <w:r>
        <w:rPr>
          <w:b/>
        </w:rPr>
        <w:t xml:space="preserve">Standard SKILL.md Frontmatter: </w:t>
      </w:r>
      <w:r>
        <w:t>Permits zero-latency progressive disclosure, indexing description metadata without loading unnecessary context tokens.</w:t>
      </w:r>
    </w:p>
    <w:p>
      <w:pPr>
        <w:pStyle w:val="ListBullet"/>
      </w:pPr>
      <w:r>
        <w:rPr>
          <w:b/>
        </w:rPr>
        <w:t xml:space="preserve">Modular Navigation Matrix: </w:t>
      </w:r>
      <w:r>
        <w:t>Routes user prompts directly to the specific markdown playbook required for the task.</w:t>
      </w:r>
    </w:p>
    <w:p>
      <w:pPr>
        <w:pStyle w:val="ListBullet"/>
      </w:pPr>
      <w:r>
        <w:rPr>
          <w:b/>
        </w:rPr>
        <w:t xml:space="preserve">Native Slash Command Integration: </w:t>
      </w:r>
      <w:r>
        <w:t>Allows instant manual invocation inside Claude Code via the /business command.</w:t>
      </w:r>
    </w:p>
    <w:p>
      <w:pPr>
        <w:keepNext/>
        <w:spacing w:before="400" w:after="160"/>
      </w:pPr>
      <w:r>
        <w:rPr>
          <w:rFonts w:ascii="Calibri" w:hAnsi="Calibri"/>
          <w:b/>
          <w:color w:val="0F172A"/>
          <w:sz w:val="36"/>
        </w:rPr>
        <w:t>2. Installation &amp; Multi-Platform Setup</w:t>
      </w:r>
    </w:p>
    <w:p>
      <w:pPr>
        <w:spacing w:after="120" w:line="276" w:lineRule="auto"/>
      </w:pPr>
      <w:r>
        <w:rPr>
          <w:rFonts w:ascii="Calibri" w:hAnsi="Calibri"/>
          <w:i w:val="0"/>
          <w:color w:val="334155"/>
          <w:sz w:val="21"/>
        </w:rPr>
        <w:t>The skill supports fully automated one-line installation across Windows, macOS, and Linux distributions. It configures both the global skill directory and the native slash command.</w:t>
      </w:r>
    </w:p>
    <w:p>
      <w:pPr>
        <w:keepNext/>
        <w:spacing w:before="280" w:after="120"/>
      </w:pPr>
      <w:r>
        <w:rPr>
          <w:rFonts w:ascii="Calibri" w:hAnsi="Calibri"/>
          <w:b/>
          <w:color w:val="EA580C"/>
          <w:sz w:val="28"/>
        </w:rPr>
        <w:t>2.1 One-Line Automated Installation</w:t>
      </w:r>
    </w:p>
    <w:p>
      <w:pPr>
        <w:spacing w:after="120" w:line="276" w:lineRule="auto"/>
      </w:pPr>
      <w:r>
        <w:rPr>
          <w:rFonts w:ascii="Calibri" w:hAnsi="Calibri"/>
          <w:b/>
          <w:color w:val="1E293B"/>
          <w:sz w:val="21"/>
        </w:rPr>
        <w:t xml:space="preserve">Option A: </w:t>
      </w:r>
      <w:r>
        <w:rPr>
          <w:rFonts w:ascii="Calibri" w:hAnsi="Calibri"/>
          <w:i w:val="0"/>
          <w:color w:val="334155"/>
          <w:sz w:val="21"/>
        </w:rPr>
        <w:t>macOS, Linux, and WSL (Bash):</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pPr>
              <w:spacing w:before="0" w:after="0"/>
            </w:pPr>
            <w:r>
              <w:rPr>
                <w:rFonts w:ascii="Consolas" w:hAnsi="Consolas"/>
                <w:color w:val="38BDF8"/>
                <w:sz w:val="19"/>
              </w:rPr>
              <w:t>curl -fsSL https://raw.githubusercontent.com/Abinash-Gope/claude-business-starter-kit/main/install.sh | bash</w:t>
            </w:r>
          </w:p>
        </w:tc>
      </w:tr>
    </w:tbl>
    <w:p>
      <w:pPr>
        <w:spacing w:after="80"/>
      </w:pPr>
    </w:p>
    <w:p>
      <w:pPr>
        <w:spacing w:after="120" w:line="276" w:lineRule="auto"/>
      </w:pPr>
      <w:r>
        <w:rPr>
          <w:rFonts w:ascii="Calibri" w:hAnsi="Calibri"/>
          <w:b/>
          <w:color w:val="1E293B"/>
          <w:sz w:val="21"/>
        </w:rPr>
        <w:t xml:space="preserve">Option B: </w:t>
      </w:r>
      <w:r>
        <w:rPr>
          <w:rFonts w:ascii="Calibri" w:hAnsi="Calibri"/>
          <w:i w:val="0"/>
          <w:color w:val="334155"/>
          <w:sz w:val="21"/>
        </w:rPr>
        <w:t>Windows (PowerShell):</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pPr>
              <w:spacing w:before="0" w:after="0"/>
            </w:pPr>
            <w:r>
              <w:rPr>
                <w:rFonts w:ascii="Consolas" w:hAnsi="Consolas"/>
                <w:color w:val="38BDF8"/>
                <w:sz w:val="19"/>
              </w:rPr>
              <w:t>irm https://raw.githubusercontent.com/Abinash-Gope/claude-business-starter-kit/main/install.ps1 | iex</w:t>
            </w:r>
          </w:p>
        </w:tc>
      </w:tr>
    </w:tbl>
    <w:p>
      <w:pPr>
        <w:spacing w:after="80"/>
      </w:pPr>
    </w:p>
    <w:p>
      <w:pPr>
        <w:spacing w:after="120" w:line="276" w:lineRule="auto"/>
      </w:pPr>
      <w:r>
        <w:rPr>
          <w:rFonts w:ascii="Calibri" w:hAnsi="Calibri"/>
          <w:b/>
          <w:color w:val="1E293B"/>
          <w:sz w:val="21"/>
        </w:rPr>
        <w:t xml:space="preserve">Option C: </w:t>
      </w:r>
      <w:r>
        <w:rPr>
          <w:rFonts w:ascii="Calibri" w:hAnsi="Calibri"/>
          <w:i w:val="0"/>
          <w:color w:val="334155"/>
          <w:sz w:val="21"/>
        </w:rPr>
        <w:t>Local Workspace Only (Project Scope):</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pPr>
              <w:spacing w:before="0" w:after="0"/>
            </w:pPr>
            <w:r>
              <w:rPr>
                <w:rFonts w:ascii="Consolas" w:hAnsi="Consolas"/>
                <w:color w:val="38BDF8"/>
                <w:sz w:val="19"/>
              </w:rPr>
              <w:t>curl -fsSL https://raw.githubusercontent.com/Abinash-Gope/claude-business-starter-kit/main/install.sh | bash -s -- --project</w:t>
            </w:r>
          </w:p>
        </w:tc>
      </w:tr>
    </w:tbl>
    <w:p>
      <w:pPr>
        <w:spacing w:after="80"/>
      </w:pPr>
    </w:p>
    <w:p>
      <w:pPr>
        <w:keepNext/>
        <w:spacing w:before="280" w:after="120"/>
      </w:pPr>
      <w:r>
        <w:rPr>
          <w:rFonts w:ascii="Calibri" w:hAnsi="Calibri"/>
          <w:b/>
          <w:color w:val="EA580C"/>
          <w:sz w:val="28"/>
        </w:rPr>
        <w:t>2.2 Directory Structure on Host System</w:t>
      </w:r>
    </w:p>
    <w:tbl>
      <w:tblPr>
        <w:tblW w:type="auto" w:w="0"/>
        <w:jc w:val="center"/>
        <w:tblLook w:firstColumn="1" w:firstRow="1" w:lastColumn="0" w:lastRow="0" w:noHBand="0" w:noVBand="1" w:val="04A0"/>
      </w:tblPr>
      <w:tblGrid>
        <w:gridCol w:w="3120"/>
        <w:gridCol w:w="3120"/>
        <w:gridCol w:w="3120"/>
      </w:tblGrid>
      <w:tr>
        <w:tc>
          <w:tcPr>
            <w:tcW w:type="dxa" w:w="2160"/>
            <w:shd w:fill="1E293B"/>
            <w:tcMar>
              <w:top w:w="100" w:type="dxa"/>
              <w:bottom w:w="100" w:type="dxa"/>
              <w:left w:w="120" w:type="dxa"/>
              <w:right w:w="120" w:type="dxa"/>
            </w:tcMar>
          </w:tcPr>
          <w:p>
            <w:pPr>
              <w:jc w:val="left"/>
            </w:pPr>
            <w:r>
              <w:rPr>
                <w:rFonts w:ascii="Calibri" w:hAnsi="Calibri"/>
                <w:b/>
                <w:color w:val="FFFFFF"/>
                <w:sz w:val="20"/>
              </w:rPr>
              <w:t>Platform</w:t>
            </w:r>
          </w:p>
        </w:tc>
        <w:tc>
          <w:tcPr>
            <w:tcW w:type="dxa" w:w="4320"/>
            <w:shd w:fill="1E293B"/>
            <w:tcMar>
              <w:top w:w="100" w:type="dxa"/>
              <w:bottom w:w="100" w:type="dxa"/>
              <w:left w:w="120" w:type="dxa"/>
              <w:right w:w="120" w:type="dxa"/>
            </w:tcMar>
          </w:tcPr>
          <w:p>
            <w:pPr>
              <w:jc w:val="left"/>
            </w:pPr>
            <w:r>
              <w:rPr>
                <w:rFonts w:ascii="Calibri" w:hAnsi="Calibri"/>
                <w:b/>
                <w:color w:val="FFFFFF"/>
                <w:sz w:val="20"/>
              </w:rPr>
              <w:t>Skill Installation Path</w:t>
            </w:r>
          </w:p>
        </w:tc>
        <w:tc>
          <w:tcPr>
            <w:tcW w:type="dxa" w:w="2880"/>
            <w:shd w:fill="1E293B"/>
            <w:tcMar>
              <w:top w:w="100" w:type="dxa"/>
              <w:bottom w:w="100" w:type="dxa"/>
              <w:left w:w="120" w:type="dxa"/>
              <w:right w:w="120" w:type="dxa"/>
            </w:tcMar>
          </w:tcPr>
          <w:p>
            <w:pPr>
              <w:jc w:val="left"/>
            </w:pPr>
            <w:r>
              <w:rPr>
                <w:rFonts w:ascii="Calibri" w:hAnsi="Calibri"/>
                <w:b/>
                <w:color w:val="FFFFFF"/>
                <w:sz w:val="20"/>
              </w:rPr>
              <w:t>Command Path</w:t>
            </w:r>
          </w:p>
        </w:tc>
      </w:tr>
      <w:tr>
        <w:tc>
          <w:tcPr>
            <w:tcW w:type="dxa" w:w="2160"/>
            <w:shd w:fill="FFFFFF"/>
            <w:tcMar>
              <w:top w:w="80" w:type="dxa"/>
              <w:bottom w:w="80" w:type="dxa"/>
              <w:left w:w="120" w:type="dxa"/>
              <w:right w:w="120" w:type="dxa"/>
            </w:tcMar>
          </w:tcPr>
          <w:p>
            <w:r>
              <w:rPr>
                <w:rFonts w:ascii="Calibri" w:hAnsi="Calibri"/>
                <w:color w:val="334155"/>
                <w:sz w:val="19"/>
              </w:rPr>
              <w:t>macOS / Linux</w:t>
            </w:r>
          </w:p>
        </w:tc>
        <w:tc>
          <w:tcPr>
            <w:tcW w:type="dxa" w:w="4320"/>
            <w:shd w:fill="FFFFFF"/>
            <w:tcMar>
              <w:top w:w="80" w:type="dxa"/>
              <w:bottom w:w="80" w:type="dxa"/>
              <w:left w:w="120" w:type="dxa"/>
              <w:right w:w="120" w:type="dxa"/>
            </w:tcMar>
          </w:tcPr>
          <w:p>
            <w:r>
              <w:rPr>
                <w:rFonts w:ascii="Calibri" w:hAnsi="Calibri"/>
                <w:color w:val="334155"/>
                <w:sz w:val="19"/>
              </w:rPr>
              <w:t>~/.claude/skills/claude-business-starter-kit/</w:t>
            </w:r>
          </w:p>
        </w:tc>
        <w:tc>
          <w:tcPr>
            <w:tcW w:type="dxa" w:w="2880"/>
            <w:shd w:fill="FFFFFF"/>
            <w:tcMar>
              <w:top w:w="80" w:type="dxa"/>
              <w:bottom w:w="80" w:type="dxa"/>
              <w:left w:w="120" w:type="dxa"/>
              <w:right w:w="120" w:type="dxa"/>
            </w:tcMar>
          </w:tcPr>
          <w:p>
            <w:r>
              <w:rPr>
                <w:rFonts w:ascii="Calibri" w:hAnsi="Calibri"/>
                <w:color w:val="334155"/>
                <w:sz w:val="19"/>
              </w:rPr>
              <w:t>~/.claude/commands/business.md</w:t>
            </w:r>
          </w:p>
        </w:tc>
      </w:tr>
      <w:tr>
        <w:tc>
          <w:tcPr>
            <w:tcW w:type="dxa" w:w="2160"/>
            <w:shd w:fill="F8FAFC"/>
            <w:tcMar>
              <w:top w:w="80" w:type="dxa"/>
              <w:bottom w:w="80" w:type="dxa"/>
              <w:left w:w="120" w:type="dxa"/>
              <w:right w:w="120" w:type="dxa"/>
            </w:tcMar>
          </w:tcPr>
          <w:p>
            <w:r>
              <w:rPr>
                <w:rFonts w:ascii="Calibri" w:hAnsi="Calibri"/>
                <w:color w:val="334155"/>
                <w:sz w:val="19"/>
              </w:rPr>
              <w:t>Windows</w:t>
            </w:r>
          </w:p>
        </w:tc>
        <w:tc>
          <w:tcPr>
            <w:tcW w:type="dxa" w:w="4320"/>
            <w:shd w:fill="F8FAFC"/>
            <w:tcMar>
              <w:top w:w="80" w:type="dxa"/>
              <w:bottom w:w="80" w:type="dxa"/>
              <w:left w:w="120" w:type="dxa"/>
              <w:right w:w="120" w:type="dxa"/>
            </w:tcMar>
          </w:tcPr>
          <w:p>
            <w:r>
              <w:rPr>
                <w:rFonts w:ascii="Calibri" w:hAnsi="Calibri"/>
                <w:color w:val="334155"/>
                <w:sz w:val="19"/>
              </w:rPr>
              <w:t>$env:USERPROFILE\.claude\skills\claude-business-starter-kit\</w:t>
            </w:r>
          </w:p>
        </w:tc>
        <w:tc>
          <w:tcPr>
            <w:tcW w:type="dxa" w:w="2880"/>
            <w:shd w:fill="F8FAFC"/>
            <w:tcMar>
              <w:top w:w="80" w:type="dxa"/>
              <w:bottom w:w="80" w:type="dxa"/>
              <w:left w:w="120" w:type="dxa"/>
              <w:right w:w="120" w:type="dxa"/>
            </w:tcMar>
          </w:tcPr>
          <w:p>
            <w:r>
              <w:rPr>
                <w:rFonts w:ascii="Calibri" w:hAnsi="Calibri"/>
                <w:color w:val="334155"/>
                <w:sz w:val="19"/>
              </w:rPr>
              <w:t>$env:USERPROFILE\.claude\commands\business.md</w:t>
            </w:r>
          </w:p>
        </w:tc>
      </w:tr>
      <w:tr>
        <w:tc>
          <w:tcPr>
            <w:tcW w:type="dxa" w:w="2160"/>
            <w:shd w:fill="FFFFFF"/>
            <w:tcMar>
              <w:top w:w="80" w:type="dxa"/>
              <w:bottom w:w="80" w:type="dxa"/>
              <w:left w:w="120" w:type="dxa"/>
              <w:right w:w="120" w:type="dxa"/>
            </w:tcMar>
          </w:tcPr>
          <w:p>
            <w:r>
              <w:rPr>
                <w:rFonts w:ascii="Calibri" w:hAnsi="Calibri"/>
                <w:color w:val="334155"/>
                <w:sz w:val="19"/>
              </w:rPr>
              <w:t>Local Project</w:t>
            </w:r>
          </w:p>
        </w:tc>
        <w:tc>
          <w:tcPr>
            <w:tcW w:type="dxa" w:w="4320"/>
            <w:shd w:fill="FFFFFF"/>
            <w:tcMar>
              <w:top w:w="80" w:type="dxa"/>
              <w:bottom w:w="80" w:type="dxa"/>
              <w:left w:w="120" w:type="dxa"/>
              <w:right w:w="120" w:type="dxa"/>
            </w:tcMar>
          </w:tcPr>
          <w:p>
            <w:r>
              <w:rPr>
                <w:rFonts w:ascii="Calibri" w:hAnsi="Calibri"/>
                <w:color w:val="334155"/>
                <w:sz w:val="19"/>
              </w:rPr>
              <w:t>./.claude/skills/claude-business-starter-kit/</w:t>
            </w:r>
          </w:p>
        </w:tc>
        <w:tc>
          <w:tcPr>
            <w:tcW w:type="dxa" w:w="2880"/>
            <w:shd w:fill="FFFFFF"/>
            <w:tcMar>
              <w:top w:w="80" w:type="dxa"/>
              <w:bottom w:w="80" w:type="dxa"/>
              <w:left w:w="120" w:type="dxa"/>
              <w:right w:w="120" w:type="dxa"/>
            </w:tcMar>
          </w:tcPr>
          <w:p>
            <w:r>
              <w:rPr>
                <w:rFonts w:ascii="Calibri" w:hAnsi="Calibri"/>
                <w:color w:val="334155"/>
                <w:sz w:val="19"/>
              </w:rPr>
              <w:t>./.claude/commands/business.md</w:t>
            </w:r>
          </w:p>
        </w:tc>
      </w:tr>
    </w:tbl>
    <w:p>
      <w:pPr>
        <w:spacing w:after="160"/>
      </w:pPr>
    </w:p>
    <w:p>
      <w:pPr>
        <w:keepNext/>
        <w:spacing w:before="400" w:after="160"/>
      </w:pPr>
      <w:r>
        <w:rPr>
          <w:rFonts w:ascii="Calibri" w:hAnsi="Calibri"/>
          <w:b/>
          <w:color w:val="0F172A"/>
          <w:sz w:val="36"/>
        </w:rPr>
        <w:t>3. Operating Protocol &amp; Interaction Modes</w:t>
      </w:r>
    </w:p>
    <w:p>
      <w:pPr>
        <w:spacing w:after="120" w:line="276" w:lineRule="auto"/>
      </w:pPr>
      <w:r>
        <w:rPr>
          <w:rFonts w:ascii="Calibri" w:hAnsi="Calibri"/>
          <w:i w:val="0"/>
          <w:color w:val="334155"/>
          <w:sz w:val="21"/>
        </w:rPr>
        <w:t>Once installed, Claude Code automatically indexes the skill during initialization. Users can interact either through explicit slash commands or natural language intent.</w:t>
      </w:r>
    </w:p>
    <w:p>
      <w:pPr>
        <w:keepNext/>
        <w:spacing w:before="280" w:after="120"/>
      </w:pPr>
      <w:r>
        <w:rPr>
          <w:rFonts w:ascii="Calibri" w:hAnsi="Calibri"/>
          <w:b/>
          <w:color w:val="EA580C"/>
          <w:sz w:val="28"/>
        </w:rPr>
        <w:t>3.1 Using Slash Commands</w:t>
      </w:r>
    </w:p>
    <w:p>
      <w:pPr>
        <w:spacing w:after="120" w:line="276" w:lineRule="auto"/>
      </w:pPr>
      <w:r>
        <w:rPr>
          <w:rFonts w:ascii="Calibri" w:hAnsi="Calibri"/>
          <w:i w:val="0"/>
          <w:color w:val="334155"/>
          <w:sz w:val="21"/>
        </w:rPr>
        <w:t>Launch Claude Code in any terminal by running 'claude', then invoke the following:</w:t>
      </w:r>
    </w:p>
    <w:tbl>
      <w:tblPr>
        <w:tblW w:type="auto" w:w="0"/>
        <w:jc w:val="center"/>
        <w:tblLook w:firstColumn="1" w:firstRow="1" w:lastColumn="0" w:lastRow="0" w:noHBand="0" w:noVBand="1" w:val="04A0"/>
      </w:tblPr>
      <w:tblGrid>
        <w:gridCol w:w="4680"/>
        <w:gridCol w:w="4680"/>
      </w:tblGrid>
      <w:tr>
        <w:tc>
          <w:tcPr>
            <w:tcW w:type="dxa" w:w="2880"/>
            <w:shd w:fill="1E293B"/>
            <w:tcMar>
              <w:top w:w="100" w:type="dxa"/>
              <w:bottom w:w="100" w:type="dxa"/>
              <w:left w:w="120" w:type="dxa"/>
              <w:right w:w="120" w:type="dxa"/>
            </w:tcMar>
          </w:tcPr>
          <w:p>
            <w:pPr>
              <w:jc w:val="left"/>
            </w:pPr>
            <w:r>
              <w:rPr>
                <w:rFonts w:ascii="Calibri" w:hAnsi="Calibri"/>
                <w:b/>
                <w:color w:val="FFFFFF"/>
                <w:sz w:val="20"/>
              </w:rPr>
              <w:t>Slash Command</w:t>
            </w:r>
          </w:p>
        </w:tc>
        <w:tc>
          <w:tcPr>
            <w:tcW w:type="dxa" w:w="6480"/>
            <w:shd w:fill="1E293B"/>
            <w:tcMar>
              <w:top w:w="100" w:type="dxa"/>
              <w:bottom w:w="100" w:type="dxa"/>
              <w:left w:w="120" w:type="dxa"/>
              <w:right w:w="120" w:type="dxa"/>
            </w:tcMar>
          </w:tcPr>
          <w:p>
            <w:pPr>
              <w:jc w:val="left"/>
            </w:pPr>
            <w:r>
              <w:rPr>
                <w:rFonts w:ascii="Calibri" w:hAnsi="Calibri"/>
                <w:b/>
                <w:color w:val="FFFFFF"/>
                <w:sz w:val="20"/>
              </w:rPr>
              <w:t>Action &amp; Playbook Triggered</w:t>
            </w:r>
          </w:p>
        </w:tc>
      </w:tr>
      <w:tr>
        <w:tc>
          <w:tcPr>
            <w:tcW w:type="dxa" w:w="2880"/>
            <w:shd w:fill="FFFFFF"/>
            <w:tcMar>
              <w:top w:w="80" w:type="dxa"/>
              <w:bottom w:w="80" w:type="dxa"/>
              <w:left w:w="120" w:type="dxa"/>
              <w:right w:w="120" w:type="dxa"/>
            </w:tcMar>
          </w:tcPr>
          <w:p>
            <w:r>
              <w:rPr>
                <w:rFonts w:ascii="Calibri" w:hAnsi="Calibri"/>
                <w:color w:val="334155"/>
                <w:sz w:val="19"/>
              </w:rPr>
              <w:t>/business</w:t>
            </w:r>
          </w:p>
        </w:tc>
        <w:tc>
          <w:tcPr>
            <w:tcW w:type="dxa" w:w="6480"/>
            <w:shd w:fill="FFFFFF"/>
            <w:tcMar>
              <w:top w:w="80" w:type="dxa"/>
              <w:bottom w:w="80" w:type="dxa"/>
              <w:left w:w="120" w:type="dxa"/>
              <w:right w:w="120" w:type="dxa"/>
            </w:tcMar>
          </w:tcPr>
          <w:p>
            <w:r>
              <w:rPr>
                <w:rFonts w:ascii="Calibri" w:hAnsi="Calibri"/>
                <w:color w:val="334155"/>
                <w:sz w:val="19"/>
              </w:rPr>
              <w:t>Runs comprehensive diagnostic on project and identifies current operational stage.</w:t>
            </w:r>
          </w:p>
        </w:tc>
      </w:tr>
      <w:tr>
        <w:tc>
          <w:tcPr>
            <w:tcW w:type="dxa" w:w="2880"/>
            <w:shd w:fill="F8FAFC"/>
            <w:tcMar>
              <w:top w:w="80" w:type="dxa"/>
              <w:bottom w:w="80" w:type="dxa"/>
              <w:left w:w="120" w:type="dxa"/>
              <w:right w:w="120" w:type="dxa"/>
            </w:tcMar>
          </w:tcPr>
          <w:p>
            <w:r>
              <w:rPr>
                <w:rFonts w:ascii="Calibri" w:hAnsi="Calibri"/>
                <w:color w:val="334155"/>
                <w:sz w:val="19"/>
              </w:rPr>
              <w:t>/business strategy</w:t>
            </w:r>
          </w:p>
        </w:tc>
        <w:tc>
          <w:tcPr>
            <w:tcW w:type="dxa" w:w="6480"/>
            <w:shd w:fill="F8FAFC"/>
            <w:tcMar>
              <w:top w:w="80" w:type="dxa"/>
              <w:bottom w:w="80" w:type="dxa"/>
              <w:left w:w="120" w:type="dxa"/>
              <w:right w:w="120" w:type="dxa"/>
            </w:tcMar>
          </w:tcPr>
          <w:p>
            <w:r>
              <w:rPr>
                <w:rFonts w:ascii="Calibri" w:hAnsi="Calibri"/>
                <w:color w:val="334155"/>
                <w:sz w:val="19"/>
              </w:rPr>
              <w:t>Activates Phase 1 playbooks: Niche scoring, competitor matrix, and TAM analysis.</w:t>
            </w:r>
          </w:p>
        </w:tc>
      </w:tr>
      <w:tr>
        <w:tc>
          <w:tcPr>
            <w:tcW w:type="dxa" w:w="2880"/>
            <w:shd w:fill="FFFFFF"/>
            <w:tcMar>
              <w:top w:w="80" w:type="dxa"/>
              <w:bottom w:w="80" w:type="dxa"/>
              <w:left w:w="120" w:type="dxa"/>
              <w:right w:w="120" w:type="dxa"/>
            </w:tcMar>
          </w:tcPr>
          <w:p>
            <w:r>
              <w:rPr>
                <w:rFonts w:ascii="Calibri" w:hAnsi="Calibri"/>
                <w:color w:val="334155"/>
                <w:sz w:val="19"/>
              </w:rPr>
              <w:t>/business pricing</w:t>
            </w:r>
          </w:p>
        </w:tc>
        <w:tc>
          <w:tcPr>
            <w:tcW w:type="dxa" w:w="6480"/>
            <w:shd w:fill="FFFFFF"/>
            <w:tcMar>
              <w:top w:w="80" w:type="dxa"/>
              <w:bottom w:w="80" w:type="dxa"/>
              <w:left w:w="120" w:type="dxa"/>
              <w:right w:w="120" w:type="dxa"/>
            </w:tcMar>
          </w:tcPr>
          <w:p>
            <w:r>
              <w:rPr>
                <w:rFonts w:ascii="Calibri" w:hAnsi="Calibri"/>
                <w:color w:val="334155"/>
                <w:sz w:val="19"/>
              </w:rPr>
              <w:t>Triggers Good-Better-Best tier design and value-based pricing calculator.</w:t>
            </w:r>
          </w:p>
        </w:tc>
      </w:tr>
      <w:tr>
        <w:tc>
          <w:tcPr>
            <w:tcW w:type="dxa" w:w="2880"/>
            <w:shd w:fill="F8FAFC"/>
            <w:tcMar>
              <w:top w:w="80" w:type="dxa"/>
              <w:bottom w:w="80" w:type="dxa"/>
              <w:left w:w="120" w:type="dxa"/>
              <w:right w:w="120" w:type="dxa"/>
            </w:tcMar>
          </w:tcPr>
          <w:p>
            <w:r>
              <w:rPr>
                <w:rFonts w:ascii="Calibri" w:hAnsi="Calibri"/>
                <w:color w:val="334155"/>
                <w:sz w:val="19"/>
              </w:rPr>
              <w:t>/business outreach</w:t>
            </w:r>
          </w:p>
        </w:tc>
        <w:tc>
          <w:tcPr>
            <w:tcW w:type="dxa" w:w="6480"/>
            <w:shd w:fill="F8FAFC"/>
            <w:tcMar>
              <w:top w:w="80" w:type="dxa"/>
              <w:bottom w:w="80" w:type="dxa"/>
              <w:left w:w="120" w:type="dxa"/>
              <w:right w:w="120" w:type="dxa"/>
            </w:tcMar>
          </w:tcPr>
          <w:p>
            <w:r>
              <w:rPr>
                <w:rFonts w:ascii="Calibri" w:hAnsi="Calibri"/>
                <w:color w:val="334155"/>
                <w:sz w:val="19"/>
              </w:rPr>
              <w:t>Loads 4-stage cold email sequences and 1-to-1 personalization playbooks.</w:t>
            </w:r>
          </w:p>
        </w:tc>
      </w:tr>
      <w:tr>
        <w:tc>
          <w:tcPr>
            <w:tcW w:type="dxa" w:w="2880"/>
            <w:shd w:fill="FFFFFF"/>
            <w:tcMar>
              <w:top w:w="80" w:type="dxa"/>
              <w:bottom w:w="80" w:type="dxa"/>
              <w:left w:w="120" w:type="dxa"/>
              <w:right w:w="120" w:type="dxa"/>
            </w:tcMar>
          </w:tcPr>
          <w:p>
            <w:r>
              <w:rPr>
                <w:rFonts w:ascii="Calibri" w:hAnsi="Calibri"/>
                <w:color w:val="334155"/>
                <w:sz w:val="19"/>
              </w:rPr>
              <w:t>/business sales</w:t>
            </w:r>
          </w:p>
        </w:tc>
        <w:tc>
          <w:tcPr>
            <w:tcW w:type="dxa" w:w="6480"/>
            <w:shd w:fill="FFFFFF"/>
            <w:tcMar>
              <w:top w:w="80" w:type="dxa"/>
              <w:bottom w:w="80" w:type="dxa"/>
              <w:left w:w="120" w:type="dxa"/>
              <w:right w:w="120" w:type="dxa"/>
            </w:tcMar>
          </w:tcPr>
          <w:p>
            <w:r>
              <w:rPr>
                <w:rFonts w:ascii="Calibri" w:hAnsi="Calibri"/>
                <w:color w:val="334155"/>
                <w:sz w:val="19"/>
              </w:rPr>
              <w:t>Opens discovery script templates and objection handling battlecards.</w:t>
            </w:r>
          </w:p>
        </w:tc>
      </w:tr>
      <w:tr>
        <w:tc>
          <w:tcPr>
            <w:tcW w:type="dxa" w:w="2880"/>
            <w:shd w:fill="F8FAFC"/>
            <w:tcMar>
              <w:top w:w="80" w:type="dxa"/>
              <w:bottom w:w="80" w:type="dxa"/>
              <w:left w:w="120" w:type="dxa"/>
              <w:right w:w="120" w:type="dxa"/>
            </w:tcMar>
          </w:tcPr>
          <w:p>
            <w:r>
              <w:rPr>
                <w:rFonts w:ascii="Calibri" w:hAnsi="Calibri"/>
                <w:color w:val="334155"/>
                <w:sz w:val="19"/>
              </w:rPr>
              <w:t>/business landing-page</w:t>
            </w:r>
          </w:p>
        </w:tc>
        <w:tc>
          <w:tcPr>
            <w:tcW w:type="dxa" w:w="6480"/>
            <w:shd w:fill="F8FAFC"/>
            <w:tcMar>
              <w:top w:w="80" w:type="dxa"/>
              <w:bottom w:w="80" w:type="dxa"/>
              <w:left w:w="120" w:type="dxa"/>
              <w:right w:w="120" w:type="dxa"/>
            </w:tcMar>
          </w:tcPr>
          <w:p>
            <w:r>
              <w:rPr>
                <w:rFonts w:ascii="Calibri" w:hAnsi="Calibri"/>
                <w:color w:val="334155"/>
                <w:sz w:val="19"/>
              </w:rPr>
              <w:t>Loads the 8-section homepage blueprint and above-the-fold wireframe.</w:t>
            </w:r>
          </w:p>
        </w:tc>
      </w:tr>
    </w:tbl>
    <w:p>
      <w:pPr>
        <w:spacing w:after="160"/>
      </w:pPr>
    </w:p>
    <w:p>
      <w:pPr>
        <w:keepNext/>
        <w:spacing w:before="280" w:after="120"/>
      </w:pPr>
      <w:r>
        <w:rPr>
          <w:rFonts w:ascii="Calibri" w:hAnsi="Calibri"/>
          <w:b/>
          <w:color w:val="EA580C"/>
          <w:sz w:val="28"/>
        </w:rPr>
        <w:t>3.2 Natural Language Prompts</w:t>
      </w:r>
    </w:p>
    <w:p>
      <w:pPr>
        <w:spacing w:after="120" w:line="276" w:lineRule="auto"/>
      </w:pPr>
      <w:r>
        <w:rPr>
          <w:rFonts w:ascii="Calibri" w:hAnsi="Calibri"/>
          <w:i w:val="0"/>
          <w:color w:val="334155"/>
          <w:sz w:val="21"/>
        </w:rPr>
        <w:t>The skill automatically activates on relevant natural language queries without requiring slash commands:</w:t>
      </w:r>
    </w:p>
    <w:p>
      <w:pPr>
        <w:pStyle w:val="ListBullet"/>
        <w:spacing w:after="60"/>
      </w:pPr>
      <w:r>
        <w:rPr>
          <w:rFonts w:ascii="Calibri" w:hAnsi="Calibri"/>
          <w:i/>
          <w:color w:val="0F172A"/>
        </w:rPr>
        <w:t>"Help me find and score 3 profitable niches for an AI automation consultancy."</w:t>
      </w:r>
    </w:p>
    <w:p>
      <w:pPr>
        <w:pStyle w:val="ListBullet"/>
        <w:spacing w:after="60"/>
      </w:pPr>
      <w:r>
        <w:rPr>
          <w:rFonts w:ascii="Calibri" w:hAnsi="Calibri"/>
          <w:i/>
          <w:color w:val="0F172A"/>
        </w:rPr>
        <w:t>"Draft a 4-step cold email sequence targeting VP of Sales with a case study hook."</w:t>
      </w:r>
    </w:p>
    <w:p>
      <w:pPr>
        <w:pStyle w:val="ListBullet"/>
        <w:spacing w:after="60"/>
      </w:pPr>
      <w:r>
        <w:rPr>
          <w:rFonts w:ascii="Calibri" w:hAnsi="Calibri"/>
          <w:i/>
          <w:color w:val="0F172A"/>
        </w:rPr>
        <w:t>"Design a 3-tier Good-Better-Best pricing package for a $20K/month agency model."</w:t>
      </w:r>
    </w:p>
    <w:p>
      <w:pPr>
        <w:pStyle w:val="ListBullet"/>
        <w:spacing w:after="60"/>
      </w:pPr>
      <w:r>
        <w:rPr>
          <w:rFonts w:ascii="Calibri" w:hAnsi="Calibri"/>
          <w:i/>
          <w:color w:val="0F172A"/>
        </w:rPr>
        <w:t>"Give me the battlecard answers for 'Your product is too expensive compared to Competitor X'."</w:t>
      </w:r>
    </w:p>
    <w:p>
      <w:pPr>
        <w:pStyle w:val="ListBullet"/>
        <w:spacing w:after="60"/>
      </w:pPr>
      <w:r>
        <w:rPr>
          <w:rFonts w:ascii="Calibri" w:hAnsi="Calibri"/>
          <w:i/>
          <w:color w:val="0F172A"/>
        </w:rPr>
        <w:t>"Review my homepage wireframe against the high-converting landing page framework."</w:t>
      </w:r>
    </w:p>
    <w:p>
      <w:pPr>
        <w:keepNext/>
        <w:spacing w:before="400" w:after="160"/>
      </w:pPr>
      <w:r>
        <w:rPr>
          <w:rFonts w:ascii="Calibri" w:hAnsi="Calibri"/>
          <w:b/>
          <w:color w:val="0F172A"/>
          <w:sz w:val="36"/>
        </w:rPr>
        <w:t>4. Complete 26-Framework Playbook Directory</w:t>
      </w:r>
    </w:p>
    <w:p>
      <w:pPr>
        <w:keepNext/>
        <w:spacing w:before="280" w:after="120"/>
      </w:pPr>
      <w:r>
        <w:rPr>
          <w:rFonts w:ascii="Calibri" w:hAnsi="Calibri"/>
          <w:b/>
          <w:color w:val="EA580C"/>
          <w:sz w:val="28"/>
        </w:rPr>
        <w:t>Phase 1: Strategy &amp; Market Foundation</w:t>
      </w:r>
    </w:p>
    <w:p>
      <w:pPr>
        <w:spacing w:after="120" w:line="276" w:lineRule="auto"/>
      </w:pPr>
      <w:r>
        <w:rPr>
          <w:rFonts w:ascii="Calibri" w:hAnsi="Calibri"/>
          <w:i/>
          <w:color w:val="334155"/>
          <w:sz w:val="21"/>
        </w:rPr>
        <w:t>Module Folder: `01_strategy/`</w:t>
      </w:r>
    </w:p>
    <w:tbl>
      <w:tblPr>
        <w:tblW w:type="auto" w:w="0"/>
        <w:jc w:val="center"/>
        <w:tblLook w:firstColumn="1" w:firstRow="1" w:lastColumn="0" w:lastRow="0" w:noHBand="0" w:noVBand="1" w:val="04A0"/>
      </w:tblPr>
      <w:tblGrid>
        <w:gridCol w:w="4680"/>
        <w:gridCol w:w="4680"/>
      </w:tblGrid>
      <w:tr>
        <w:tc>
          <w:tcPr>
            <w:tcW w:type="dxa" w:w="3168"/>
            <w:shd w:fill="1E293B"/>
            <w:tcMar>
              <w:top w:w="100" w:type="dxa"/>
              <w:bottom w:w="100" w:type="dxa"/>
              <w:left w:w="120" w:type="dxa"/>
              <w:right w:w="120" w:type="dxa"/>
            </w:tcMar>
          </w:tcPr>
          <w:p>
            <w:pPr>
              <w:jc w:val="left"/>
            </w:pPr>
            <w:r>
              <w:rPr>
                <w:rFonts w:ascii="Calibri" w:hAnsi="Calibri"/>
                <w:b/>
                <w:color w:val="FFFFFF"/>
                <w:sz w:val="20"/>
              </w:rPr>
              <w:t>File Name</w:t>
            </w:r>
          </w:p>
        </w:tc>
        <w:tc>
          <w:tcPr>
            <w:tcW w:type="dxa" w:w="6192"/>
            <w:shd w:fill="1E293B"/>
            <w:tcMar>
              <w:top w:w="100" w:type="dxa"/>
              <w:bottom w:w="100" w:type="dxa"/>
              <w:left w:w="120" w:type="dxa"/>
              <w:right w:w="120" w:type="dxa"/>
            </w:tcMar>
          </w:tcPr>
          <w:p>
            <w:pPr>
              <w:jc w:val="left"/>
            </w:pPr>
            <w:r>
              <w:rPr>
                <w:rFonts w:ascii="Calibri" w:hAnsi="Calibri"/>
                <w:b/>
                <w:color w:val="FFFFFF"/>
                <w:sz w:val="20"/>
              </w:rPr>
              <w:t>Framework &amp; Functional Deliverable</w:t>
            </w:r>
          </w:p>
        </w:tc>
      </w:tr>
      <w:tr>
        <w:tc>
          <w:tcPr>
            <w:tcW w:type="dxa" w:w="3168"/>
            <w:shd w:fill="FFFFFF"/>
            <w:tcMar>
              <w:top w:w="80" w:type="dxa"/>
              <w:bottom w:w="80" w:type="dxa"/>
              <w:left w:w="120" w:type="dxa"/>
              <w:right w:w="120" w:type="dxa"/>
            </w:tcMar>
          </w:tcPr>
          <w:p>
            <w:r>
              <w:rPr>
                <w:rFonts w:ascii="Calibri" w:hAnsi="Calibri"/>
                <w:color w:val="334155"/>
                <w:sz w:val="19"/>
              </w:rPr>
              <w:t>01_niche_research.md</w:t>
            </w:r>
          </w:p>
        </w:tc>
        <w:tc>
          <w:tcPr>
            <w:tcW w:type="dxa" w:w="6192"/>
            <w:shd w:fill="FFFFFF"/>
            <w:tcMar>
              <w:top w:w="80" w:type="dxa"/>
              <w:bottom w:w="80" w:type="dxa"/>
              <w:left w:w="120" w:type="dxa"/>
              <w:right w:w="120" w:type="dxa"/>
            </w:tcMar>
          </w:tcPr>
          <w:p>
            <w:r>
              <w:rPr>
                <w:rFonts w:ascii="Calibri" w:hAnsi="Calibri"/>
                <w:color w:val="334155"/>
                <w:sz w:val="19"/>
              </w:rPr>
              <w:t>5-criteria Niche Scoring Model (demand, pain severity, budget, competition, barriers) and TAM/SAM/SOM calculation.</w:t>
            </w:r>
          </w:p>
        </w:tc>
      </w:tr>
      <w:tr>
        <w:tc>
          <w:tcPr>
            <w:tcW w:type="dxa" w:w="3168"/>
            <w:shd w:fill="F8FAFC"/>
            <w:tcMar>
              <w:top w:w="80" w:type="dxa"/>
              <w:bottom w:w="80" w:type="dxa"/>
              <w:left w:w="120" w:type="dxa"/>
              <w:right w:w="120" w:type="dxa"/>
            </w:tcMar>
          </w:tcPr>
          <w:p>
            <w:r>
              <w:rPr>
                <w:rFonts w:ascii="Calibri" w:hAnsi="Calibri"/>
                <w:color w:val="334155"/>
                <w:sz w:val="19"/>
              </w:rPr>
              <w:t>02_competitor_analysis.md</w:t>
            </w:r>
          </w:p>
        </w:tc>
        <w:tc>
          <w:tcPr>
            <w:tcW w:type="dxa" w:w="6192"/>
            <w:shd w:fill="F8FAFC"/>
            <w:tcMar>
              <w:top w:w="80" w:type="dxa"/>
              <w:bottom w:w="80" w:type="dxa"/>
              <w:left w:w="120" w:type="dxa"/>
              <w:right w:w="120" w:type="dxa"/>
            </w:tcMar>
          </w:tcPr>
          <w:p>
            <w:r>
              <w:rPr>
                <w:rFonts w:ascii="Calibri" w:hAnsi="Calibri"/>
                <w:color w:val="334155"/>
                <w:sz w:val="19"/>
              </w:rPr>
              <w:t>Direct/indirect competitor matrix, feature gap analysis, pricing landscape, and positioning angles.</w:t>
            </w:r>
          </w:p>
        </w:tc>
      </w:tr>
      <w:tr>
        <w:tc>
          <w:tcPr>
            <w:tcW w:type="dxa" w:w="3168"/>
            <w:shd w:fill="FFFFFF"/>
            <w:tcMar>
              <w:top w:w="80" w:type="dxa"/>
              <w:bottom w:w="80" w:type="dxa"/>
              <w:left w:w="120" w:type="dxa"/>
              <w:right w:w="120" w:type="dxa"/>
            </w:tcMar>
          </w:tcPr>
          <w:p>
            <w:r>
              <w:rPr>
                <w:rFonts w:ascii="Calibri" w:hAnsi="Calibri"/>
                <w:color w:val="334155"/>
                <w:sz w:val="19"/>
              </w:rPr>
              <w:t>03_ideal_customer_profiles.md</w:t>
            </w:r>
          </w:p>
        </w:tc>
        <w:tc>
          <w:tcPr>
            <w:tcW w:type="dxa" w:w="6192"/>
            <w:shd w:fill="FFFFFF"/>
            <w:tcMar>
              <w:top w:w="80" w:type="dxa"/>
              <w:bottom w:w="80" w:type="dxa"/>
              <w:left w:w="120" w:type="dxa"/>
              <w:right w:w="120" w:type="dxa"/>
            </w:tcMar>
          </w:tcPr>
          <w:p>
            <w:r>
              <w:rPr>
                <w:rFonts w:ascii="Calibri" w:hAnsi="Calibri"/>
                <w:color w:val="334155"/>
                <w:sz w:val="19"/>
              </w:rPr>
              <w:t>B2B and B2C ICP matrices, buying committee role mapping, and day-in-the-life pain analysis.</w:t>
            </w:r>
          </w:p>
        </w:tc>
      </w:tr>
      <w:tr>
        <w:tc>
          <w:tcPr>
            <w:tcW w:type="dxa" w:w="3168"/>
            <w:shd w:fill="F8FAFC"/>
            <w:tcMar>
              <w:top w:w="80" w:type="dxa"/>
              <w:bottom w:w="80" w:type="dxa"/>
              <w:left w:w="120" w:type="dxa"/>
              <w:right w:w="120" w:type="dxa"/>
            </w:tcMar>
          </w:tcPr>
          <w:p>
            <w:r>
              <w:rPr>
                <w:rFonts w:ascii="Calibri" w:hAnsi="Calibri"/>
                <w:color w:val="334155"/>
                <w:sz w:val="19"/>
              </w:rPr>
              <w:t>04_offer_design.md</w:t>
            </w:r>
          </w:p>
        </w:tc>
        <w:tc>
          <w:tcPr>
            <w:tcW w:type="dxa" w:w="6192"/>
            <w:shd w:fill="F8FAFC"/>
            <w:tcMar>
              <w:top w:w="80" w:type="dxa"/>
              <w:bottom w:w="80" w:type="dxa"/>
              <w:left w:w="120" w:type="dxa"/>
              <w:right w:w="120" w:type="dxa"/>
            </w:tcMar>
          </w:tcPr>
          <w:p>
            <w:r>
              <w:rPr>
                <w:rFonts w:ascii="Calibri" w:hAnsi="Calibri"/>
                <w:color w:val="334155"/>
                <w:sz w:val="19"/>
              </w:rPr>
              <w:t>Grand Slam offer creation, Value Equation formula, dream outcome articulation, and guarantee structures.</w:t>
            </w:r>
          </w:p>
        </w:tc>
      </w:tr>
      <w:tr>
        <w:tc>
          <w:tcPr>
            <w:tcW w:type="dxa" w:w="3168"/>
            <w:shd w:fill="FFFFFF"/>
            <w:tcMar>
              <w:top w:w="80" w:type="dxa"/>
              <w:bottom w:w="80" w:type="dxa"/>
              <w:left w:w="120" w:type="dxa"/>
              <w:right w:w="120" w:type="dxa"/>
            </w:tcMar>
          </w:tcPr>
          <w:p>
            <w:r>
              <w:rPr>
                <w:rFonts w:ascii="Calibri" w:hAnsi="Calibri"/>
                <w:color w:val="334155"/>
                <w:sz w:val="19"/>
              </w:rPr>
              <w:t>05_pricing_strategy.md</w:t>
            </w:r>
          </w:p>
        </w:tc>
        <w:tc>
          <w:tcPr>
            <w:tcW w:type="dxa" w:w="6192"/>
            <w:shd w:fill="FFFFFF"/>
            <w:tcMar>
              <w:top w:w="80" w:type="dxa"/>
              <w:bottom w:w="80" w:type="dxa"/>
              <w:left w:w="120" w:type="dxa"/>
              <w:right w:w="120" w:type="dxa"/>
            </w:tcMar>
          </w:tcPr>
          <w:p>
            <w:r>
              <w:rPr>
                <w:rFonts w:ascii="Calibri" w:hAnsi="Calibri"/>
                <w:color w:val="334155"/>
                <w:sz w:val="19"/>
              </w:rPr>
              <w:t>Value-based pricing, Good-Better-Best tier architecture, hourly vs package calculators, and price testing.</w:t>
            </w:r>
          </w:p>
        </w:tc>
      </w:tr>
    </w:tbl>
    <w:p>
      <w:pPr>
        <w:spacing w:after="160"/>
      </w:pPr>
    </w:p>
    <w:p>
      <w:pPr>
        <w:keepNext/>
        <w:spacing w:before="280" w:after="120"/>
      </w:pPr>
      <w:r>
        <w:rPr>
          <w:rFonts w:ascii="Calibri" w:hAnsi="Calibri"/>
          <w:b/>
          <w:color w:val="EA580C"/>
          <w:sz w:val="28"/>
        </w:rPr>
        <w:t>Phase 2: Web &amp; Marketing Acquisition</w:t>
      </w:r>
    </w:p>
    <w:p>
      <w:pPr>
        <w:spacing w:after="120" w:line="276" w:lineRule="auto"/>
      </w:pPr>
      <w:r>
        <w:rPr>
          <w:rFonts w:ascii="Calibri" w:hAnsi="Calibri"/>
          <w:i/>
          <w:color w:val="334155"/>
          <w:sz w:val="21"/>
        </w:rPr>
        <w:t>Module Folder: `02_web_and_marketing/`</w:t>
      </w:r>
    </w:p>
    <w:tbl>
      <w:tblPr>
        <w:tblW w:type="auto" w:w="0"/>
        <w:jc w:val="center"/>
        <w:tblLook w:firstColumn="1" w:firstRow="1" w:lastColumn="0" w:lastRow="0" w:noHBand="0" w:noVBand="1" w:val="04A0"/>
      </w:tblPr>
      <w:tblGrid>
        <w:gridCol w:w="4680"/>
        <w:gridCol w:w="4680"/>
      </w:tblGrid>
      <w:tr>
        <w:tc>
          <w:tcPr>
            <w:tcW w:type="dxa" w:w="3168"/>
            <w:shd w:fill="1E293B"/>
            <w:tcMar>
              <w:top w:w="100" w:type="dxa"/>
              <w:bottom w:w="100" w:type="dxa"/>
              <w:left w:w="120" w:type="dxa"/>
              <w:right w:w="120" w:type="dxa"/>
            </w:tcMar>
          </w:tcPr>
          <w:p>
            <w:pPr>
              <w:jc w:val="left"/>
            </w:pPr>
            <w:r>
              <w:rPr>
                <w:rFonts w:ascii="Calibri" w:hAnsi="Calibri"/>
                <w:b/>
                <w:color w:val="FFFFFF"/>
                <w:sz w:val="20"/>
              </w:rPr>
              <w:t>File Name</w:t>
            </w:r>
          </w:p>
        </w:tc>
        <w:tc>
          <w:tcPr>
            <w:tcW w:type="dxa" w:w="6192"/>
            <w:shd w:fill="1E293B"/>
            <w:tcMar>
              <w:top w:w="100" w:type="dxa"/>
              <w:bottom w:w="100" w:type="dxa"/>
              <w:left w:w="120" w:type="dxa"/>
              <w:right w:w="120" w:type="dxa"/>
            </w:tcMar>
          </w:tcPr>
          <w:p>
            <w:pPr>
              <w:jc w:val="left"/>
            </w:pPr>
            <w:r>
              <w:rPr>
                <w:rFonts w:ascii="Calibri" w:hAnsi="Calibri"/>
                <w:b/>
                <w:color w:val="FFFFFF"/>
                <w:sz w:val="20"/>
              </w:rPr>
              <w:t>Framework &amp; Functional Deliverable</w:t>
            </w:r>
          </w:p>
        </w:tc>
      </w:tr>
      <w:tr>
        <w:tc>
          <w:tcPr>
            <w:tcW w:type="dxa" w:w="3168"/>
            <w:shd w:fill="FFFFFF"/>
            <w:tcMar>
              <w:top w:w="80" w:type="dxa"/>
              <w:bottom w:w="80" w:type="dxa"/>
              <w:left w:w="120" w:type="dxa"/>
              <w:right w:w="120" w:type="dxa"/>
            </w:tcMar>
          </w:tcPr>
          <w:p>
            <w:r>
              <w:rPr>
                <w:rFonts w:ascii="Calibri" w:hAnsi="Calibri"/>
                <w:color w:val="334155"/>
                <w:sz w:val="19"/>
              </w:rPr>
              <w:t>01_website_blueprint.md</w:t>
            </w:r>
          </w:p>
        </w:tc>
        <w:tc>
          <w:tcPr>
            <w:tcW w:type="dxa" w:w="6192"/>
            <w:shd w:fill="FFFFFF"/>
            <w:tcMar>
              <w:top w:w="80" w:type="dxa"/>
              <w:bottom w:w="80" w:type="dxa"/>
              <w:left w:w="120" w:type="dxa"/>
              <w:right w:w="120" w:type="dxa"/>
            </w:tcMar>
          </w:tcPr>
          <w:p>
            <w:r>
              <w:rPr>
                <w:rFonts w:ascii="Calibri" w:hAnsi="Calibri"/>
                <w:color w:val="334155"/>
                <w:sz w:val="19"/>
              </w:rPr>
              <w:t>8-section homepage wireframe, navigation hierarchy, trust anchors, and mobile UX specifications.</w:t>
            </w:r>
          </w:p>
        </w:tc>
      </w:tr>
      <w:tr>
        <w:tc>
          <w:tcPr>
            <w:tcW w:type="dxa" w:w="3168"/>
            <w:shd w:fill="F8FAFC"/>
            <w:tcMar>
              <w:top w:w="80" w:type="dxa"/>
              <w:bottom w:w="80" w:type="dxa"/>
              <w:left w:w="120" w:type="dxa"/>
              <w:right w:w="120" w:type="dxa"/>
            </w:tcMar>
          </w:tcPr>
          <w:p>
            <w:r>
              <w:rPr>
                <w:rFonts w:ascii="Calibri" w:hAnsi="Calibri"/>
                <w:color w:val="334155"/>
                <w:sz w:val="19"/>
              </w:rPr>
              <w:t>02_landing_page_framework.md</w:t>
            </w:r>
          </w:p>
        </w:tc>
        <w:tc>
          <w:tcPr>
            <w:tcW w:type="dxa" w:w="6192"/>
            <w:shd w:fill="F8FAFC"/>
            <w:tcMar>
              <w:top w:w="80" w:type="dxa"/>
              <w:bottom w:w="80" w:type="dxa"/>
              <w:left w:w="120" w:type="dxa"/>
              <w:right w:w="120" w:type="dxa"/>
            </w:tcMar>
          </w:tcPr>
          <w:p>
            <w:r>
              <w:rPr>
                <w:rFonts w:ascii="Calibri" w:hAnsi="Calibri"/>
                <w:color w:val="334155"/>
                <w:sz w:val="19"/>
              </w:rPr>
              <w:t>Above-the-fold formula, headline frameworks, proof placement, and high-converting lead form layouts.</w:t>
            </w:r>
          </w:p>
        </w:tc>
      </w:tr>
      <w:tr>
        <w:tc>
          <w:tcPr>
            <w:tcW w:type="dxa" w:w="3168"/>
            <w:shd w:fill="FFFFFF"/>
            <w:tcMar>
              <w:top w:w="80" w:type="dxa"/>
              <w:bottom w:w="80" w:type="dxa"/>
              <w:left w:w="120" w:type="dxa"/>
              <w:right w:w="120" w:type="dxa"/>
            </w:tcMar>
          </w:tcPr>
          <w:p>
            <w:r>
              <w:rPr>
                <w:rFonts w:ascii="Calibri" w:hAnsi="Calibri"/>
                <w:color w:val="334155"/>
                <w:sz w:val="19"/>
              </w:rPr>
              <w:t>03_marketing_content_calendar.md</w:t>
            </w:r>
          </w:p>
        </w:tc>
        <w:tc>
          <w:tcPr>
            <w:tcW w:type="dxa" w:w="6192"/>
            <w:shd w:fill="FFFFFF"/>
            <w:tcMar>
              <w:top w:w="80" w:type="dxa"/>
              <w:bottom w:w="80" w:type="dxa"/>
              <w:left w:w="120" w:type="dxa"/>
              <w:right w:w="120" w:type="dxa"/>
            </w:tcMar>
          </w:tcPr>
          <w:p>
            <w:r>
              <w:rPr>
                <w:rFonts w:ascii="Calibri" w:hAnsi="Calibri"/>
                <w:color w:val="334155"/>
                <w:sz w:val="19"/>
              </w:rPr>
              <w:t>3-pillar content engine (Authority, Education, Conversion) and multi-channel weekly distribution rhythm.</w:t>
            </w:r>
          </w:p>
        </w:tc>
      </w:tr>
      <w:tr>
        <w:tc>
          <w:tcPr>
            <w:tcW w:type="dxa" w:w="3168"/>
            <w:shd w:fill="F8FAFC"/>
            <w:tcMar>
              <w:top w:w="80" w:type="dxa"/>
              <w:bottom w:w="80" w:type="dxa"/>
              <w:left w:w="120" w:type="dxa"/>
              <w:right w:w="120" w:type="dxa"/>
            </w:tcMar>
          </w:tcPr>
          <w:p>
            <w:r>
              <w:rPr>
                <w:rFonts w:ascii="Calibri" w:hAnsi="Calibri"/>
                <w:color w:val="334155"/>
                <w:sz w:val="19"/>
              </w:rPr>
              <w:t>04_ad_creatives_playbook.md</w:t>
            </w:r>
          </w:p>
        </w:tc>
        <w:tc>
          <w:tcPr>
            <w:tcW w:type="dxa" w:w="6192"/>
            <w:shd w:fill="F8FAFC"/>
            <w:tcMar>
              <w:top w:w="80" w:type="dxa"/>
              <w:bottom w:w="80" w:type="dxa"/>
              <w:left w:w="120" w:type="dxa"/>
              <w:right w:w="120" w:type="dxa"/>
            </w:tcMar>
          </w:tcPr>
          <w:p>
            <w:r>
              <w:rPr>
                <w:rFonts w:ascii="Calibri" w:hAnsi="Calibri"/>
                <w:color w:val="334155"/>
                <w:sz w:val="19"/>
              </w:rPr>
              <w:t>5 high-converting hook archetypes, primary text frameworks, and visual creative design briefs.</w:t>
            </w:r>
          </w:p>
        </w:tc>
      </w:tr>
      <w:tr>
        <w:tc>
          <w:tcPr>
            <w:tcW w:type="dxa" w:w="3168"/>
            <w:shd w:fill="FFFFFF"/>
            <w:tcMar>
              <w:top w:w="80" w:type="dxa"/>
              <w:bottom w:w="80" w:type="dxa"/>
              <w:left w:w="120" w:type="dxa"/>
              <w:right w:w="120" w:type="dxa"/>
            </w:tcMar>
          </w:tcPr>
          <w:p>
            <w:r>
              <w:rPr>
                <w:rFonts w:ascii="Calibri" w:hAnsi="Calibri"/>
                <w:color w:val="334155"/>
                <w:sz w:val="19"/>
              </w:rPr>
              <w:t>05_sales_funnel_architecture.md</w:t>
            </w:r>
          </w:p>
        </w:tc>
        <w:tc>
          <w:tcPr>
            <w:tcW w:type="dxa" w:w="6192"/>
            <w:shd w:fill="FFFFFF"/>
            <w:tcMar>
              <w:top w:w="80" w:type="dxa"/>
              <w:bottom w:w="80" w:type="dxa"/>
              <w:left w:w="120" w:type="dxa"/>
              <w:right w:w="120" w:type="dxa"/>
            </w:tcMar>
          </w:tcPr>
          <w:p>
            <w:r>
              <w:rPr>
                <w:rFonts w:ascii="Calibri" w:hAnsi="Calibri"/>
                <w:color w:val="334155"/>
                <w:sz w:val="19"/>
              </w:rPr>
              <w:t>TOFU/MOFU/BOFU asset maps, bridge pages, nurture email cadences, and drop-off diagnosis.</w:t>
            </w:r>
          </w:p>
        </w:tc>
      </w:tr>
    </w:tbl>
    <w:p>
      <w:pPr>
        <w:spacing w:after="160"/>
      </w:pPr>
    </w:p>
    <w:p>
      <w:pPr>
        <w:keepNext/>
        <w:spacing w:before="280" w:after="120"/>
      </w:pPr>
      <w:r>
        <w:rPr>
          <w:rFonts w:ascii="Calibri" w:hAnsi="Calibri"/>
          <w:b/>
          <w:color w:val="EA580C"/>
          <w:sz w:val="28"/>
        </w:rPr>
        <w:t>Phase 3: Lead Generation &amp; Outreach</w:t>
      </w:r>
    </w:p>
    <w:p>
      <w:pPr>
        <w:spacing w:after="120" w:line="276" w:lineRule="auto"/>
      </w:pPr>
      <w:r>
        <w:rPr>
          <w:rFonts w:ascii="Calibri" w:hAnsi="Calibri"/>
          <w:i/>
          <w:color w:val="334155"/>
          <w:sz w:val="21"/>
        </w:rPr>
        <w:t>Module Folder: `03_lead_gen_and_outreach/`</w:t>
      </w:r>
    </w:p>
    <w:tbl>
      <w:tblPr>
        <w:tblW w:type="auto" w:w="0"/>
        <w:jc w:val="center"/>
        <w:tblLook w:firstColumn="1" w:firstRow="1" w:lastColumn="0" w:lastRow="0" w:noHBand="0" w:noVBand="1" w:val="04A0"/>
      </w:tblPr>
      <w:tblGrid>
        <w:gridCol w:w="4680"/>
        <w:gridCol w:w="4680"/>
      </w:tblGrid>
      <w:tr>
        <w:tc>
          <w:tcPr>
            <w:tcW w:type="dxa" w:w="3168"/>
            <w:shd w:fill="1E293B"/>
            <w:tcMar>
              <w:top w:w="100" w:type="dxa"/>
              <w:bottom w:w="100" w:type="dxa"/>
              <w:left w:w="120" w:type="dxa"/>
              <w:right w:w="120" w:type="dxa"/>
            </w:tcMar>
          </w:tcPr>
          <w:p>
            <w:pPr>
              <w:jc w:val="left"/>
            </w:pPr>
            <w:r>
              <w:rPr>
                <w:rFonts w:ascii="Calibri" w:hAnsi="Calibri"/>
                <w:b/>
                <w:color w:val="FFFFFF"/>
                <w:sz w:val="20"/>
              </w:rPr>
              <w:t>File Name</w:t>
            </w:r>
          </w:p>
        </w:tc>
        <w:tc>
          <w:tcPr>
            <w:tcW w:type="dxa" w:w="6192"/>
            <w:shd w:fill="1E293B"/>
            <w:tcMar>
              <w:top w:w="100" w:type="dxa"/>
              <w:bottom w:w="100" w:type="dxa"/>
              <w:left w:w="120" w:type="dxa"/>
              <w:right w:w="120" w:type="dxa"/>
            </w:tcMar>
          </w:tcPr>
          <w:p>
            <w:pPr>
              <w:jc w:val="left"/>
            </w:pPr>
            <w:r>
              <w:rPr>
                <w:rFonts w:ascii="Calibri" w:hAnsi="Calibri"/>
                <w:b/>
                <w:color w:val="FFFFFF"/>
                <w:sz w:val="20"/>
              </w:rPr>
              <w:t>Framework &amp; Functional Deliverable</w:t>
            </w:r>
          </w:p>
        </w:tc>
      </w:tr>
      <w:tr>
        <w:tc>
          <w:tcPr>
            <w:tcW w:type="dxa" w:w="3168"/>
            <w:shd w:fill="FFFFFF"/>
            <w:tcMar>
              <w:top w:w="80" w:type="dxa"/>
              <w:bottom w:w="80" w:type="dxa"/>
              <w:left w:w="120" w:type="dxa"/>
              <w:right w:w="120" w:type="dxa"/>
            </w:tcMar>
          </w:tcPr>
          <w:p>
            <w:r>
              <w:rPr>
                <w:rFonts w:ascii="Calibri" w:hAnsi="Calibri"/>
                <w:color w:val="334155"/>
                <w:sz w:val="19"/>
              </w:rPr>
              <w:t>01_prospect_sourcing_guide.md</w:t>
            </w:r>
          </w:p>
        </w:tc>
        <w:tc>
          <w:tcPr>
            <w:tcW w:type="dxa" w:w="6192"/>
            <w:shd w:fill="FFFFFF"/>
            <w:tcMar>
              <w:top w:w="80" w:type="dxa"/>
              <w:bottom w:w="80" w:type="dxa"/>
              <w:left w:w="120" w:type="dxa"/>
              <w:right w:w="120" w:type="dxa"/>
            </w:tcMar>
          </w:tcPr>
          <w:p>
            <w:r>
              <w:rPr>
                <w:rFonts w:ascii="Calibri" w:hAnsi="Calibri"/>
                <w:color w:val="334155"/>
                <w:sz w:val="19"/>
              </w:rPr>
              <w:t>B2B lead sourcing channels, scraping hygiene, ICP data verification, and list enrichment.</w:t>
            </w:r>
          </w:p>
        </w:tc>
      </w:tr>
      <w:tr>
        <w:tc>
          <w:tcPr>
            <w:tcW w:type="dxa" w:w="3168"/>
            <w:shd w:fill="F8FAFC"/>
            <w:tcMar>
              <w:top w:w="80" w:type="dxa"/>
              <w:bottom w:w="80" w:type="dxa"/>
              <w:left w:w="120" w:type="dxa"/>
              <w:right w:w="120" w:type="dxa"/>
            </w:tcMar>
          </w:tcPr>
          <w:p>
            <w:r>
              <w:rPr>
                <w:rFonts w:ascii="Calibri" w:hAnsi="Calibri"/>
                <w:color w:val="334155"/>
                <w:sz w:val="19"/>
              </w:rPr>
              <w:t>02_lead_generation_system.md</w:t>
            </w:r>
          </w:p>
        </w:tc>
        <w:tc>
          <w:tcPr>
            <w:tcW w:type="dxa" w:w="6192"/>
            <w:shd w:fill="F8FAFC"/>
            <w:tcMar>
              <w:top w:w="80" w:type="dxa"/>
              <w:bottom w:w="80" w:type="dxa"/>
              <w:left w:w="120" w:type="dxa"/>
              <w:right w:w="120" w:type="dxa"/>
            </w:tcMar>
          </w:tcPr>
          <w:p>
            <w:r>
              <w:rPr>
                <w:rFonts w:ascii="Calibri" w:hAnsi="Calibri"/>
                <w:color w:val="334155"/>
                <w:sz w:val="19"/>
              </w:rPr>
              <w:t>Inbound lead magnets, opt-in mechanics, nurture workflows, and automated routing.</w:t>
            </w:r>
          </w:p>
        </w:tc>
      </w:tr>
      <w:tr>
        <w:tc>
          <w:tcPr>
            <w:tcW w:type="dxa" w:w="3168"/>
            <w:shd w:fill="FFFFFF"/>
            <w:tcMar>
              <w:top w:w="80" w:type="dxa"/>
              <w:bottom w:w="80" w:type="dxa"/>
              <w:left w:w="120" w:type="dxa"/>
              <w:right w:w="120" w:type="dxa"/>
            </w:tcMar>
          </w:tcPr>
          <w:p>
            <w:r>
              <w:rPr>
                <w:rFonts w:ascii="Calibri" w:hAnsi="Calibri"/>
                <w:color w:val="334155"/>
                <w:sz w:val="19"/>
              </w:rPr>
              <w:t>03_cold_email_sequences.md</w:t>
            </w:r>
          </w:p>
        </w:tc>
        <w:tc>
          <w:tcPr>
            <w:tcW w:type="dxa" w:w="6192"/>
            <w:shd w:fill="FFFFFF"/>
            <w:tcMar>
              <w:top w:w="80" w:type="dxa"/>
              <w:bottom w:w="80" w:type="dxa"/>
              <w:left w:w="120" w:type="dxa"/>
              <w:right w:w="120" w:type="dxa"/>
            </w:tcMar>
          </w:tcPr>
          <w:p>
            <w:r>
              <w:rPr>
                <w:rFonts w:ascii="Calibri" w:hAnsi="Calibri"/>
                <w:color w:val="334155"/>
                <w:sz w:val="19"/>
              </w:rPr>
              <w:t>4-stage cold email sequence: Problem-Agitate-Solve, Value Hook, Case Study, and Clean Breakup.</w:t>
            </w:r>
          </w:p>
        </w:tc>
      </w:tr>
      <w:tr>
        <w:tc>
          <w:tcPr>
            <w:tcW w:type="dxa" w:w="3168"/>
            <w:shd w:fill="F8FAFC"/>
            <w:tcMar>
              <w:top w:w="80" w:type="dxa"/>
              <w:bottom w:w="80" w:type="dxa"/>
              <w:left w:w="120" w:type="dxa"/>
              <w:right w:w="120" w:type="dxa"/>
            </w:tcMar>
          </w:tcPr>
          <w:p>
            <w:r>
              <w:rPr>
                <w:rFonts w:ascii="Calibri" w:hAnsi="Calibri"/>
                <w:color w:val="334155"/>
                <w:sz w:val="19"/>
              </w:rPr>
              <w:t>04_personalization_playbook.md</w:t>
            </w:r>
          </w:p>
        </w:tc>
        <w:tc>
          <w:tcPr>
            <w:tcW w:type="dxa" w:w="6192"/>
            <w:shd w:fill="F8FAFC"/>
            <w:tcMar>
              <w:top w:w="80" w:type="dxa"/>
              <w:bottom w:w="80" w:type="dxa"/>
              <w:left w:w="120" w:type="dxa"/>
              <w:right w:w="120" w:type="dxa"/>
            </w:tcMar>
          </w:tcPr>
          <w:p>
            <w:r>
              <w:rPr>
                <w:rFonts w:ascii="Calibri" w:hAnsi="Calibri"/>
                <w:color w:val="334155"/>
                <w:sz w:val="19"/>
              </w:rPr>
              <w:t>1-to-1 personalization research triggers, LinkedIn observation hooks, and tier-1 account customization.</w:t>
            </w:r>
          </w:p>
        </w:tc>
      </w:tr>
      <w:tr>
        <w:tc>
          <w:tcPr>
            <w:tcW w:type="dxa" w:w="3168"/>
            <w:shd w:fill="FFFFFF"/>
            <w:tcMar>
              <w:top w:w="80" w:type="dxa"/>
              <w:bottom w:w="80" w:type="dxa"/>
              <w:left w:w="120" w:type="dxa"/>
              <w:right w:w="120" w:type="dxa"/>
            </w:tcMar>
          </w:tcPr>
          <w:p>
            <w:r>
              <w:rPr>
                <w:rFonts w:ascii="Calibri" w:hAnsi="Calibri"/>
                <w:color w:val="334155"/>
                <w:sz w:val="19"/>
              </w:rPr>
              <w:t>05_sales_proposal_template.md</w:t>
            </w:r>
          </w:p>
        </w:tc>
        <w:tc>
          <w:tcPr>
            <w:tcW w:type="dxa" w:w="6192"/>
            <w:shd w:fill="FFFFFF"/>
            <w:tcMar>
              <w:top w:w="80" w:type="dxa"/>
              <w:bottom w:w="80" w:type="dxa"/>
              <w:left w:w="120" w:type="dxa"/>
              <w:right w:w="120" w:type="dxa"/>
            </w:tcMar>
          </w:tcPr>
          <w:p>
            <w:r>
              <w:rPr>
                <w:rFonts w:ascii="Calibri" w:hAnsi="Calibri"/>
                <w:color w:val="334155"/>
                <w:sz w:val="19"/>
              </w:rPr>
              <w:t>High-closing sales proposal: problem statement, deliverables scope, investment table, and signature terms.</w:t>
            </w:r>
          </w:p>
        </w:tc>
      </w:tr>
    </w:tbl>
    <w:p>
      <w:pPr>
        <w:spacing w:after="160"/>
      </w:pPr>
    </w:p>
    <w:p>
      <w:pPr>
        <w:keepNext/>
        <w:spacing w:before="280" w:after="120"/>
      </w:pPr>
      <w:r>
        <w:rPr>
          <w:rFonts w:ascii="Calibri" w:hAnsi="Calibri"/>
          <w:b/>
          <w:color w:val="EA580C"/>
          <w:sz w:val="28"/>
        </w:rPr>
        <w:t>Phase 4: Sales Execution &amp; Closing</w:t>
      </w:r>
    </w:p>
    <w:p>
      <w:pPr>
        <w:spacing w:after="120" w:line="276" w:lineRule="auto"/>
      </w:pPr>
      <w:r>
        <w:rPr>
          <w:rFonts w:ascii="Calibri" w:hAnsi="Calibri"/>
          <w:i/>
          <w:color w:val="334155"/>
          <w:sz w:val="21"/>
        </w:rPr>
        <w:t>Module Folder: `04_sales_execution/`</w:t>
      </w:r>
    </w:p>
    <w:tbl>
      <w:tblPr>
        <w:tblW w:type="auto" w:w="0"/>
        <w:jc w:val="center"/>
        <w:tblLook w:firstColumn="1" w:firstRow="1" w:lastColumn="0" w:lastRow="0" w:noHBand="0" w:noVBand="1" w:val="04A0"/>
      </w:tblPr>
      <w:tblGrid>
        <w:gridCol w:w="4680"/>
        <w:gridCol w:w="4680"/>
      </w:tblGrid>
      <w:tr>
        <w:tc>
          <w:tcPr>
            <w:tcW w:type="dxa" w:w="3168"/>
            <w:shd w:fill="1E293B"/>
            <w:tcMar>
              <w:top w:w="100" w:type="dxa"/>
              <w:bottom w:w="100" w:type="dxa"/>
              <w:left w:w="120" w:type="dxa"/>
              <w:right w:w="120" w:type="dxa"/>
            </w:tcMar>
          </w:tcPr>
          <w:p>
            <w:pPr>
              <w:jc w:val="left"/>
            </w:pPr>
            <w:r>
              <w:rPr>
                <w:rFonts w:ascii="Calibri" w:hAnsi="Calibri"/>
                <w:b/>
                <w:color w:val="FFFFFF"/>
                <w:sz w:val="20"/>
              </w:rPr>
              <w:t>File Name</w:t>
            </w:r>
          </w:p>
        </w:tc>
        <w:tc>
          <w:tcPr>
            <w:tcW w:type="dxa" w:w="6192"/>
            <w:shd w:fill="1E293B"/>
            <w:tcMar>
              <w:top w:w="100" w:type="dxa"/>
              <w:bottom w:w="100" w:type="dxa"/>
              <w:left w:w="120" w:type="dxa"/>
              <w:right w:w="120" w:type="dxa"/>
            </w:tcMar>
          </w:tcPr>
          <w:p>
            <w:pPr>
              <w:jc w:val="left"/>
            </w:pPr>
            <w:r>
              <w:rPr>
                <w:rFonts w:ascii="Calibri" w:hAnsi="Calibri"/>
                <w:b/>
                <w:color w:val="FFFFFF"/>
                <w:sz w:val="20"/>
              </w:rPr>
              <w:t>Framework &amp; Functional Deliverable</w:t>
            </w:r>
          </w:p>
        </w:tc>
      </w:tr>
      <w:tr>
        <w:tc>
          <w:tcPr>
            <w:tcW w:type="dxa" w:w="3168"/>
            <w:shd w:fill="FFFFFF"/>
            <w:tcMar>
              <w:top w:w="80" w:type="dxa"/>
              <w:bottom w:w="80" w:type="dxa"/>
              <w:left w:w="120" w:type="dxa"/>
              <w:right w:w="120" w:type="dxa"/>
            </w:tcMar>
          </w:tcPr>
          <w:p>
            <w:r>
              <w:rPr>
                <w:rFonts w:ascii="Calibri" w:hAnsi="Calibri"/>
                <w:color w:val="334155"/>
                <w:sz w:val="19"/>
              </w:rPr>
              <w:t>01_sales_call_scripts.md</w:t>
            </w:r>
          </w:p>
        </w:tc>
        <w:tc>
          <w:tcPr>
            <w:tcW w:type="dxa" w:w="6192"/>
            <w:shd w:fill="FFFFFF"/>
            <w:tcMar>
              <w:top w:w="80" w:type="dxa"/>
              <w:bottom w:w="80" w:type="dxa"/>
              <w:left w:w="120" w:type="dxa"/>
              <w:right w:w="120" w:type="dxa"/>
            </w:tcMar>
          </w:tcPr>
          <w:p>
            <w:r>
              <w:rPr>
                <w:rFonts w:ascii="Calibri" w:hAnsi="Calibri"/>
                <w:color w:val="334155"/>
                <w:sz w:val="19"/>
              </w:rPr>
              <w:t>SPIN selling discovery questions, diagnosis transitions, demo presentation pacing, and closing questions.</w:t>
            </w:r>
          </w:p>
        </w:tc>
      </w:tr>
      <w:tr>
        <w:tc>
          <w:tcPr>
            <w:tcW w:type="dxa" w:w="3168"/>
            <w:shd w:fill="F8FAFC"/>
            <w:tcMar>
              <w:top w:w="80" w:type="dxa"/>
              <w:bottom w:w="80" w:type="dxa"/>
              <w:left w:w="120" w:type="dxa"/>
              <w:right w:w="120" w:type="dxa"/>
            </w:tcMar>
          </w:tcPr>
          <w:p>
            <w:r>
              <w:rPr>
                <w:rFonts w:ascii="Calibri" w:hAnsi="Calibri"/>
                <w:color w:val="334155"/>
                <w:sz w:val="19"/>
              </w:rPr>
              <w:t>02_objection_handling_matrix.md</w:t>
            </w:r>
          </w:p>
        </w:tc>
        <w:tc>
          <w:tcPr>
            <w:tcW w:type="dxa" w:w="6192"/>
            <w:shd w:fill="F8FAFC"/>
            <w:tcMar>
              <w:top w:w="80" w:type="dxa"/>
              <w:bottom w:w="80" w:type="dxa"/>
              <w:left w:w="120" w:type="dxa"/>
              <w:right w:w="120" w:type="dxa"/>
            </w:tcMar>
          </w:tcPr>
          <w:p>
            <w:r>
              <w:rPr>
                <w:rFonts w:ascii="Calibri" w:hAnsi="Calibri"/>
                <w:color w:val="334155"/>
                <w:sz w:val="19"/>
              </w:rPr>
              <w:t>Battlecards for 'Too expensive', 'Think about it', 'Need partner approval', and 'Competitor is cheaper'.</w:t>
            </w:r>
          </w:p>
        </w:tc>
      </w:tr>
      <w:tr>
        <w:tc>
          <w:tcPr>
            <w:tcW w:type="dxa" w:w="3168"/>
            <w:shd w:fill="FFFFFF"/>
            <w:tcMar>
              <w:top w:w="80" w:type="dxa"/>
              <w:bottom w:w="80" w:type="dxa"/>
              <w:left w:w="120" w:type="dxa"/>
              <w:right w:w="120" w:type="dxa"/>
            </w:tcMar>
          </w:tcPr>
          <w:p>
            <w:r>
              <w:rPr>
                <w:rFonts w:ascii="Calibri" w:hAnsi="Calibri"/>
                <w:color w:val="334155"/>
                <w:sz w:val="19"/>
              </w:rPr>
              <w:t>03_follow_up_sequences.md</w:t>
            </w:r>
          </w:p>
        </w:tc>
        <w:tc>
          <w:tcPr>
            <w:tcW w:type="dxa" w:w="6192"/>
            <w:shd w:fill="FFFFFF"/>
            <w:tcMar>
              <w:top w:w="80" w:type="dxa"/>
              <w:bottom w:w="80" w:type="dxa"/>
              <w:left w:w="120" w:type="dxa"/>
              <w:right w:w="120" w:type="dxa"/>
            </w:tcMar>
          </w:tcPr>
          <w:p>
            <w:r>
              <w:rPr>
                <w:rFonts w:ascii="Calibri" w:hAnsi="Calibri"/>
                <w:color w:val="334155"/>
                <w:sz w:val="19"/>
              </w:rPr>
              <w:t>Multi-touch follow-up cadence across Email, Phone, SMS, and LinkedIn post-discovery call.</w:t>
            </w:r>
          </w:p>
        </w:tc>
      </w:tr>
      <w:tr>
        <w:tc>
          <w:tcPr>
            <w:tcW w:type="dxa" w:w="3168"/>
            <w:shd w:fill="F8FAFC"/>
            <w:tcMar>
              <w:top w:w="80" w:type="dxa"/>
              <w:bottom w:w="80" w:type="dxa"/>
              <w:left w:w="120" w:type="dxa"/>
              <w:right w:w="120" w:type="dxa"/>
            </w:tcMar>
          </w:tcPr>
          <w:p>
            <w:r>
              <w:rPr>
                <w:rFonts w:ascii="Calibri" w:hAnsi="Calibri"/>
                <w:color w:val="334155"/>
                <w:sz w:val="19"/>
              </w:rPr>
              <w:t>04_case_study_template.md</w:t>
            </w:r>
          </w:p>
        </w:tc>
        <w:tc>
          <w:tcPr>
            <w:tcW w:type="dxa" w:w="6192"/>
            <w:shd w:fill="F8FAFC"/>
            <w:tcMar>
              <w:top w:w="80" w:type="dxa"/>
              <w:bottom w:w="80" w:type="dxa"/>
              <w:left w:w="120" w:type="dxa"/>
              <w:right w:w="120" w:type="dxa"/>
            </w:tcMar>
          </w:tcPr>
          <w:p>
            <w:r>
              <w:rPr>
                <w:rFonts w:ascii="Calibri" w:hAnsi="Calibri"/>
                <w:color w:val="334155"/>
                <w:sz w:val="19"/>
              </w:rPr>
              <w:t>Challenge-Solution-Results framework, customer testimonial interview scripts, and proof cards.</w:t>
            </w:r>
          </w:p>
        </w:tc>
      </w:tr>
    </w:tbl>
    <w:p>
      <w:pPr>
        <w:spacing w:after="160"/>
      </w:pPr>
    </w:p>
    <w:p>
      <w:pPr>
        <w:keepNext/>
        <w:spacing w:before="280" w:after="120"/>
      </w:pPr>
      <w:r>
        <w:rPr>
          <w:rFonts w:ascii="Calibri" w:hAnsi="Calibri"/>
          <w:b/>
          <w:color w:val="EA580C"/>
          <w:sz w:val="28"/>
        </w:rPr>
        <w:t>Phase 5: Operations &amp; Retention</w:t>
      </w:r>
    </w:p>
    <w:p>
      <w:pPr>
        <w:spacing w:after="120" w:line="276" w:lineRule="auto"/>
      </w:pPr>
      <w:r>
        <w:rPr>
          <w:rFonts w:ascii="Calibri" w:hAnsi="Calibri"/>
          <w:i/>
          <w:color w:val="334155"/>
          <w:sz w:val="21"/>
        </w:rPr>
        <w:t>Module Folder: `05_operations_and_retention/`</w:t>
      </w:r>
    </w:p>
    <w:tbl>
      <w:tblPr>
        <w:tblW w:type="auto" w:w="0"/>
        <w:jc w:val="center"/>
        <w:tblLook w:firstColumn="1" w:firstRow="1" w:lastColumn="0" w:lastRow="0" w:noHBand="0" w:noVBand="1" w:val="04A0"/>
      </w:tblPr>
      <w:tblGrid>
        <w:gridCol w:w="4680"/>
        <w:gridCol w:w="4680"/>
      </w:tblGrid>
      <w:tr>
        <w:tc>
          <w:tcPr>
            <w:tcW w:type="dxa" w:w="3168"/>
            <w:shd w:fill="1E293B"/>
            <w:tcMar>
              <w:top w:w="100" w:type="dxa"/>
              <w:bottom w:w="100" w:type="dxa"/>
              <w:left w:w="120" w:type="dxa"/>
              <w:right w:w="120" w:type="dxa"/>
            </w:tcMar>
          </w:tcPr>
          <w:p>
            <w:pPr>
              <w:jc w:val="left"/>
            </w:pPr>
            <w:r>
              <w:rPr>
                <w:rFonts w:ascii="Calibri" w:hAnsi="Calibri"/>
                <w:b/>
                <w:color w:val="FFFFFF"/>
                <w:sz w:val="20"/>
              </w:rPr>
              <w:t>File Name</w:t>
            </w:r>
          </w:p>
        </w:tc>
        <w:tc>
          <w:tcPr>
            <w:tcW w:type="dxa" w:w="6192"/>
            <w:shd w:fill="1E293B"/>
            <w:tcMar>
              <w:top w:w="100" w:type="dxa"/>
              <w:bottom w:w="100" w:type="dxa"/>
              <w:left w:w="120" w:type="dxa"/>
              <w:right w:w="120" w:type="dxa"/>
            </w:tcMar>
          </w:tcPr>
          <w:p>
            <w:pPr>
              <w:jc w:val="left"/>
            </w:pPr>
            <w:r>
              <w:rPr>
                <w:rFonts w:ascii="Calibri" w:hAnsi="Calibri"/>
                <w:b/>
                <w:color w:val="FFFFFF"/>
                <w:sz w:val="20"/>
              </w:rPr>
              <w:t>Framework &amp; Functional Deliverable</w:t>
            </w:r>
          </w:p>
        </w:tc>
      </w:tr>
      <w:tr>
        <w:tc>
          <w:tcPr>
            <w:tcW w:type="dxa" w:w="3168"/>
            <w:shd w:fill="FFFFFF"/>
            <w:tcMar>
              <w:top w:w="80" w:type="dxa"/>
              <w:bottom w:w="80" w:type="dxa"/>
              <w:left w:w="120" w:type="dxa"/>
              <w:right w:w="120" w:type="dxa"/>
            </w:tcMar>
          </w:tcPr>
          <w:p>
            <w:r>
              <w:rPr>
                <w:rFonts w:ascii="Calibri" w:hAnsi="Calibri"/>
                <w:color w:val="334155"/>
                <w:sz w:val="19"/>
              </w:rPr>
              <w:t>01_crm_automation_setup.md</w:t>
            </w:r>
          </w:p>
        </w:tc>
        <w:tc>
          <w:tcPr>
            <w:tcW w:type="dxa" w:w="6192"/>
            <w:shd w:fill="FFFFFF"/>
            <w:tcMar>
              <w:top w:w="80" w:type="dxa"/>
              <w:bottom w:w="80" w:type="dxa"/>
              <w:left w:w="120" w:type="dxa"/>
              <w:right w:w="120" w:type="dxa"/>
            </w:tcMar>
          </w:tcPr>
          <w:p>
            <w:r>
              <w:rPr>
                <w:rFonts w:ascii="Calibri" w:hAnsi="Calibri"/>
                <w:color w:val="334155"/>
                <w:sz w:val="19"/>
              </w:rPr>
              <w:t>CRM pipeline stage definitions, required data properties, and trigger-based webhook automations.</w:t>
            </w:r>
          </w:p>
        </w:tc>
      </w:tr>
      <w:tr>
        <w:tc>
          <w:tcPr>
            <w:tcW w:type="dxa" w:w="3168"/>
            <w:shd w:fill="F8FAFC"/>
            <w:tcMar>
              <w:top w:w="80" w:type="dxa"/>
              <w:bottom w:w="80" w:type="dxa"/>
              <w:left w:w="120" w:type="dxa"/>
              <w:right w:w="120" w:type="dxa"/>
            </w:tcMar>
          </w:tcPr>
          <w:p>
            <w:r>
              <w:rPr>
                <w:rFonts w:ascii="Calibri" w:hAnsi="Calibri"/>
                <w:color w:val="334155"/>
                <w:sz w:val="19"/>
              </w:rPr>
              <w:t>02_client_onboarding_process.md</w:t>
            </w:r>
          </w:p>
        </w:tc>
        <w:tc>
          <w:tcPr>
            <w:tcW w:type="dxa" w:w="6192"/>
            <w:shd w:fill="F8FAFC"/>
            <w:tcMar>
              <w:top w:w="80" w:type="dxa"/>
              <w:bottom w:w="80" w:type="dxa"/>
              <w:left w:w="120" w:type="dxa"/>
              <w:right w:w="120" w:type="dxa"/>
            </w:tcMar>
          </w:tcPr>
          <w:p>
            <w:r>
              <w:rPr>
                <w:rFonts w:ascii="Calibri" w:hAnsi="Calibri"/>
                <w:color w:val="334155"/>
                <w:sz w:val="19"/>
              </w:rPr>
              <w:t>First-30-days onboarding roadmap, welcome packets, kickoff agendas, and client portal setup.</w:t>
            </w:r>
          </w:p>
        </w:tc>
      </w:tr>
      <w:tr>
        <w:tc>
          <w:tcPr>
            <w:tcW w:type="dxa" w:w="3168"/>
            <w:shd w:fill="FFFFFF"/>
            <w:tcMar>
              <w:top w:w="80" w:type="dxa"/>
              <w:bottom w:w="80" w:type="dxa"/>
              <w:left w:w="120" w:type="dxa"/>
              <w:right w:w="120" w:type="dxa"/>
            </w:tcMar>
          </w:tcPr>
          <w:p>
            <w:r>
              <w:rPr>
                <w:rFonts w:ascii="Calibri" w:hAnsi="Calibri"/>
                <w:color w:val="334155"/>
                <w:sz w:val="19"/>
              </w:rPr>
              <w:t>03_workflow_automation.md</w:t>
            </w:r>
          </w:p>
        </w:tc>
        <w:tc>
          <w:tcPr>
            <w:tcW w:type="dxa" w:w="6192"/>
            <w:shd w:fill="FFFFFF"/>
            <w:tcMar>
              <w:top w:w="80" w:type="dxa"/>
              <w:bottom w:w="80" w:type="dxa"/>
              <w:left w:w="120" w:type="dxa"/>
              <w:right w:w="120" w:type="dxa"/>
            </w:tcMar>
          </w:tcPr>
          <w:p>
            <w:r>
              <w:rPr>
                <w:rFonts w:ascii="Calibri" w:hAnsi="Calibri"/>
                <w:color w:val="334155"/>
                <w:sz w:val="19"/>
              </w:rPr>
              <w:t>Zapier and Make workflow recipes for lead capture, billing triggers, and project creation.</w:t>
            </w:r>
          </w:p>
        </w:tc>
      </w:tr>
      <w:tr>
        <w:tc>
          <w:tcPr>
            <w:tcW w:type="dxa" w:w="3168"/>
            <w:shd w:fill="F8FAFC"/>
            <w:tcMar>
              <w:top w:w="80" w:type="dxa"/>
              <w:bottom w:w="80" w:type="dxa"/>
              <w:left w:w="120" w:type="dxa"/>
              <w:right w:w="120" w:type="dxa"/>
            </w:tcMar>
          </w:tcPr>
          <w:p>
            <w:r>
              <w:rPr>
                <w:rFonts w:ascii="Calibri" w:hAnsi="Calibri"/>
                <w:color w:val="334155"/>
                <w:sz w:val="19"/>
              </w:rPr>
              <w:t>04_customer_retention_playbook.md</w:t>
            </w:r>
          </w:p>
        </w:tc>
        <w:tc>
          <w:tcPr>
            <w:tcW w:type="dxa" w:w="6192"/>
            <w:shd w:fill="F8FAFC"/>
            <w:tcMar>
              <w:top w:w="80" w:type="dxa"/>
              <w:bottom w:w="80" w:type="dxa"/>
              <w:left w:w="120" w:type="dxa"/>
              <w:right w:w="120" w:type="dxa"/>
            </w:tcMar>
          </w:tcPr>
          <w:p>
            <w:r>
              <w:rPr>
                <w:rFonts w:ascii="Calibri" w:hAnsi="Calibri"/>
                <w:color w:val="334155"/>
                <w:sz w:val="19"/>
              </w:rPr>
              <w:t>Churn early warning signals, Quarterly Business Review (QBR) cadence, and customer advocacy programs.</w:t>
            </w:r>
          </w:p>
        </w:tc>
      </w:tr>
    </w:tbl>
    <w:p>
      <w:pPr>
        <w:spacing w:after="160"/>
      </w:pPr>
    </w:p>
    <w:p>
      <w:pPr>
        <w:keepNext/>
        <w:spacing w:before="280" w:after="120"/>
      </w:pPr>
      <w:r>
        <w:rPr>
          <w:rFonts w:ascii="Calibri" w:hAnsi="Calibri"/>
          <w:b/>
          <w:color w:val="EA580C"/>
          <w:sz w:val="28"/>
        </w:rPr>
        <w:t>Phase 6: Analytics &amp; QA</w:t>
      </w:r>
    </w:p>
    <w:p>
      <w:pPr>
        <w:spacing w:after="120" w:line="276" w:lineRule="auto"/>
      </w:pPr>
      <w:r>
        <w:rPr>
          <w:rFonts w:ascii="Calibri" w:hAnsi="Calibri"/>
          <w:i/>
          <w:color w:val="334155"/>
          <w:sz w:val="21"/>
        </w:rPr>
        <w:t>Module Folder: `06_analytics_and_qa/`</w:t>
      </w:r>
    </w:p>
    <w:tbl>
      <w:tblPr>
        <w:tblW w:type="auto" w:w="0"/>
        <w:jc w:val="center"/>
        <w:tblLook w:firstColumn="1" w:firstRow="1" w:lastColumn="0" w:lastRow="0" w:noHBand="0" w:noVBand="1" w:val="04A0"/>
      </w:tblPr>
      <w:tblGrid>
        <w:gridCol w:w="4680"/>
        <w:gridCol w:w="4680"/>
      </w:tblGrid>
      <w:tr>
        <w:tc>
          <w:tcPr>
            <w:tcW w:type="dxa" w:w="3168"/>
            <w:shd w:fill="1E293B"/>
            <w:tcMar>
              <w:top w:w="100" w:type="dxa"/>
              <w:bottom w:w="100" w:type="dxa"/>
              <w:left w:w="120" w:type="dxa"/>
              <w:right w:w="120" w:type="dxa"/>
            </w:tcMar>
          </w:tcPr>
          <w:p>
            <w:pPr>
              <w:jc w:val="left"/>
            </w:pPr>
            <w:r>
              <w:rPr>
                <w:rFonts w:ascii="Calibri" w:hAnsi="Calibri"/>
                <w:b/>
                <w:color w:val="FFFFFF"/>
                <w:sz w:val="20"/>
              </w:rPr>
              <w:t>File Name</w:t>
            </w:r>
          </w:p>
        </w:tc>
        <w:tc>
          <w:tcPr>
            <w:tcW w:type="dxa" w:w="6192"/>
            <w:shd w:fill="1E293B"/>
            <w:tcMar>
              <w:top w:w="100" w:type="dxa"/>
              <w:bottom w:w="100" w:type="dxa"/>
              <w:left w:w="120" w:type="dxa"/>
              <w:right w:w="120" w:type="dxa"/>
            </w:tcMar>
          </w:tcPr>
          <w:p>
            <w:pPr>
              <w:jc w:val="left"/>
            </w:pPr>
            <w:r>
              <w:rPr>
                <w:rFonts w:ascii="Calibri" w:hAnsi="Calibri"/>
                <w:b/>
                <w:color w:val="FFFFFF"/>
                <w:sz w:val="20"/>
              </w:rPr>
              <w:t>Framework &amp; Functional Deliverable</w:t>
            </w:r>
          </w:p>
        </w:tc>
      </w:tr>
      <w:tr>
        <w:tc>
          <w:tcPr>
            <w:tcW w:type="dxa" w:w="3168"/>
            <w:shd w:fill="FFFFFF"/>
            <w:tcMar>
              <w:top w:w="80" w:type="dxa"/>
              <w:bottom w:w="80" w:type="dxa"/>
              <w:left w:w="120" w:type="dxa"/>
              <w:right w:w="120" w:type="dxa"/>
            </w:tcMar>
          </w:tcPr>
          <w:p>
            <w:r>
              <w:rPr>
                <w:rFonts w:ascii="Calibri" w:hAnsi="Calibri"/>
                <w:color w:val="334155"/>
                <w:sz w:val="19"/>
              </w:rPr>
              <w:t>01_performance_tracking_dashboard.md</w:t>
            </w:r>
          </w:p>
        </w:tc>
        <w:tc>
          <w:tcPr>
            <w:tcW w:type="dxa" w:w="6192"/>
            <w:shd w:fill="FFFFFF"/>
            <w:tcMar>
              <w:top w:w="80" w:type="dxa"/>
              <w:bottom w:w="80" w:type="dxa"/>
              <w:left w:w="120" w:type="dxa"/>
              <w:right w:w="120" w:type="dxa"/>
            </w:tcMar>
          </w:tcPr>
          <w:p>
            <w:r>
              <w:rPr>
                <w:rFonts w:ascii="Calibri" w:hAnsi="Calibri"/>
                <w:color w:val="334155"/>
                <w:sz w:val="19"/>
              </w:rPr>
              <w:t>CAC, LTV, CAC Payback period, pipeline velocity, and churn metrics tracking model.</w:t>
            </w:r>
          </w:p>
        </w:tc>
      </w:tr>
      <w:tr>
        <w:tc>
          <w:tcPr>
            <w:tcW w:type="dxa" w:w="3168"/>
            <w:shd w:fill="F8FAFC"/>
            <w:tcMar>
              <w:top w:w="80" w:type="dxa"/>
              <w:bottom w:w="80" w:type="dxa"/>
              <w:left w:w="120" w:type="dxa"/>
              <w:right w:w="120" w:type="dxa"/>
            </w:tcMar>
          </w:tcPr>
          <w:p>
            <w:r>
              <w:rPr>
                <w:rFonts w:ascii="Calibri" w:hAnsi="Calibri"/>
                <w:color w:val="334155"/>
                <w:sz w:val="19"/>
              </w:rPr>
              <w:t>02_cro_optimization_guide.md</w:t>
            </w:r>
          </w:p>
        </w:tc>
        <w:tc>
          <w:tcPr>
            <w:tcW w:type="dxa" w:w="6192"/>
            <w:shd w:fill="F8FAFC"/>
            <w:tcMar>
              <w:top w:w="80" w:type="dxa"/>
              <w:bottom w:w="80" w:type="dxa"/>
              <w:left w:w="120" w:type="dxa"/>
              <w:right w:w="120" w:type="dxa"/>
            </w:tcMar>
          </w:tcPr>
          <w:p>
            <w:r>
              <w:rPr>
                <w:rFonts w:ascii="Calibri" w:hAnsi="Calibri"/>
                <w:color w:val="334155"/>
                <w:sz w:val="19"/>
              </w:rPr>
              <w:t>Quantitative funnel drop-off analysis, qualitative heatmaps, and high-impact A/B testing hypotheses.</w:t>
            </w:r>
          </w:p>
        </w:tc>
      </w:tr>
      <w:tr>
        <w:tc>
          <w:tcPr>
            <w:tcW w:type="dxa" w:w="3168"/>
            <w:shd w:fill="FFFFFF"/>
            <w:tcMar>
              <w:top w:w="80" w:type="dxa"/>
              <w:bottom w:w="80" w:type="dxa"/>
              <w:left w:w="120" w:type="dxa"/>
              <w:right w:w="120" w:type="dxa"/>
            </w:tcMar>
          </w:tcPr>
          <w:p>
            <w:r>
              <w:rPr>
                <w:rFonts w:ascii="Calibri" w:hAnsi="Calibri"/>
                <w:color w:val="334155"/>
                <w:sz w:val="19"/>
              </w:rPr>
              <w:t>03_qa_and_error_proofing.md</w:t>
            </w:r>
          </w:p>
        </w:tc>
        <w:tc>
          <w:tcPr>
            <w:tcW w:type="dxa" w:w="6192"/>
            <w:shd w:fill="FFFFFF"/>
            <w:tcMar>
              <w:top w:w="80" w:type="dxa"/>
              <w:bottom w:w="80" w:type="dxa"/>
              <w:left w:w="120" w:type="dxa"/>
              <w:right w:w="120" w:type="dxa"/>
            </w:tcMar>
          </w:tcPr>
          <w:p>
            <w:r>
              <w:rPr>
                <w:rFonts w:ascii="Calibri" w:hAnsi="Calibri"/>
                <w:color w:val="334155"/>
                <w:sz w:val="19"/>
              </w:rPr>
              <w:t>50-point pre-launch verification checklist covering payments, links, forms, and mobile testing.</w:t>
            </w:r>
          </w:p>
        </w:tc>
      </w:tr>
    </w:tbl>
    <w:p>
      <w:pPr>
        <w:spacing w:after="160"/>
      </w:pPr>
    </w:p>
    <w:p>
      <w:pPr>
        <w:keepNext/>
        <w:spacing w:before="400" w:after="160"/>
      </w:pPr>
      <w:r>
        <w:rPr>
          <w:rFonts w:ascii="Calibri" w:hAnsi="Calibri"/>
          <w:b/>
          <w:color w:val="0F172A"/>
          <w:sz w:val="36"/>
        </w:rPr>
        <w:t>5. Best Practices &amp; Execution Guidelines</w:t>
      </w:r>
    </w:p>
    <w:p>
      <w:pPr>
        <w:spacing w:after="120" w:line="276" w:lineRule="auto"/>
      </w:pPr>
      <w:r>
        <w:rPr>
          <w:rFonts w:ascii="Calibri" w:hAnsi="Calibri"/>
          <w:i w:val="0"/>
          <w:color w:val="334155"/>
          <w:sz w:val="21"/>
        </w:rPr>
        <w:t>To maximize output quality when using the Claude Business Starter Kit, follow these three operational rules:</w:t>
      </w:r>
    </w:p>
    <w:p>
      <w:pPr>
        <w:pStyle w:val="ListBullet"/>
        <w:spacing w:after="80"/>
      </w:pPr>
      <w:r>
        <w:rPr>
          <w:rFonts w:ascii="Calibri" w:hAnsi="Calibri"/>
          <w:b/>
          <w:color w:val="1E293B"/>
        </w:rPr>
        <w:t xml:space="preserve">Always Provide Industry Context: </w:t>
      </w:r>
      <w:r>
        <w:rPr>
          <w:rFonts w:ascii="Calibri" w:hAnsi="Calibri"/>
          <w:color w:val="334155"/>
        </w:rPr>
        <w:t>When triggering a prompt, provide your target market, price point, or primary ICP so the framework is customized rather than theoretical.</w:t>
      </w:r>
    </w:p>
    <w:p>
      <w:pPr>
        <w:pStyle w:val="ListBullet"/>
        <w:spacing w:after="80"/>
      </w:pPr>
      <w:r>
        <w:rPr>
          <w:rFonts w:ascii="Calibri" w:hAnsi="Calibri"/>
          <w:b/>
          <w:color w:val="1E293B"/>
        </w:rPr>
        <w:t xml:space="preserve">Execute Sequentially: </w:t>
      </w:r>
      <w:r>
        <w:rPr>
          <w:rFonts w:ascii="Calibri" w:hAnsi="Calibri"/>
          <w:color w:val="334155"/>
        </w:rPr>
        <w:t>Do not attempt sales outreach before validating your offer design and pricing model. Adhering to the 10-week roadmap ensures foundation before distribution.</w:t>
      </w:r>
    </w:p>
    <w:p>
      <w:pPr>
        <w:pStyle w:val="ListBullet"/>
        <w:spacing w:after="80"/>
      </w:pPr>
      <w:r>
        <w:rPr>
          <w:rFonts w:ascii="Calibri" w:hAnsi="Calibri"/>
          <w:b/>
          <w:color w:val="1E293B"/>
        </w:rPr>
        <w:t xml:space="preserve">Enforce the QA Checklists: </w:t>
      </w:r>
      <w:r>
        <w:rPr>
          <w:rFonts w:ascii="Calibri" w:hAnsi="Calibri"/>
          <w:color w:val="334155"/>
        </w:rPr>
        <w:t>Every playbook contains a pre-execution checklist. Instruct the agent to audit its own output against that checklist before concluding the turn.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