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090"/>
          <w:sz w:val="36"/>
          <w:szCs w:val="36"/>
        </w:rPr>
        <w:t xml:space="preserve">Bike Parking Buddy — Product Requirements Document</w:t>
      </w:r>
    </w:p>
    <w:p>
      <w:pPr>
        <w:spacing w:after="240"/>
        <w:jc w:val="center"/>
      </w:pPr>
      <w:r>
        <w:rPr>
          <w:color w:val="666666"/>
          <w:sz w:val="20"/>
          <w:szCs w:val="20"/>
        </w:rPr>
        <w:t xml:space="preserve">v1.0 | Target Launch: 12 weeks</w:t>
      </w:r>
    </w:p>
    <w:p>
      <w:pPr>
        <w:pStyle w:val="Heading1"/>
      </w:pPr>
      <w:r>
        <w:t xml:space="preserve">1. Problem Statement</w:t>
      </w:r>
    </w:p>
    <w:p>
      <w:r>
        <w:t xml:space="preserve">Dockless bike-sharing users face unpredictable parking unavailability. When preferred zones fill, riders are charged continued minute fees while searching for alternatives, leading to abandoned rentals and poor user retention. Existing operator APIs expose real-time zone occupancy but not predictive availability—critical for route planning. No consumer-facing app surfaces this data in a low-distraction, contextual manner.</w:t>
      </w:r>
    </w:p>
    <w:p>
      <w:r>
        <w:t xml:space="preserve">This system delivers on-device SLM-powered predictive parking intelligence integrated into the riding experience, reducing wasted minutes by 30% and improving user satisfaction via proactive alerts and smart rerouting.</w:t>
      </w:r>
    </w:p>
    <w:p>
      <w:pPr>
        <w:pStyle w:val="Heading1"/>
      </w:pPr>
      <w:r>
        <w:t xml:space="preserve">2. Scope &amp; Constraints</w:t>
      </w:r>
    </w:p>
    <w:p>
      <w:pPr>
        <w:pStyle w:val="ListParagraph"/>
        <w:numPr>
          <w:ilvl w:val="0"/>
          <w:numId w:val="2"/>
        </w:numPr>
      </w:pPr>
      <w:r>
        <w:rPr>
          <w:b w:val="false"/>
          <w:bCs w:val="false"/>
        </w:rPr>
        <w:t xml:space="preserve">Target operators: Dockless systems with published GBFS feeds and zone-level capacity data (Lime, Voi, Tier, etc.).</w:t>
      </w:r>
    </w:p>
    <w:p>
      <w:pPr>
        <w:pStyle w:val="ListParagraph"/>
        <w:numPr>
          <w:ilvl w:val="0"/>
          <w:numId w:val="2"/>
        </w:numPr>
      </w:pPr>
      <w:r>
        <w:t xml:space="preserve">Device target: iOS/Android mobile, on-device SLM (no cloud SLM calls for latency-critical paths)</w:t>
      </w:r>
    </w:p>
    <w:p>
      <w:pPr>
        <w:pStyle w:val="ListParagraph"/>
        <w:numPr>
          <w:ilvl w:val="0"/>
          <w:numId w:val="2"/>
        </w:numPr>
      </w:pPr>
      <w:r>
        <w:t xml:space="preserve">Data: Geographies where 4+ weeks of historical zone-level occupancy data exists</w:t>
      </w:r>
    </w:p>
    <w:p>
      <w:pPr>
        <w:pStyle w:val="ListParagraph"/>
        <w:numPr>
          <w:ilvl w:val="0"/>
          <w:numId w:val="2"/>
        </w:numPr>
      </w:pPr>
      <w:r>
        <w:t xml:space="preserve">Out of scope: Multi-operator federated routing; real-time crowdsourced occupancy (MVP)</w:t>
      </w:r>
    </w:p>
    <w:p>
      <w:pPr>
        <w:pStyle w:val="Heading1"/>
      </w:pPr>
      <w:r>
        <w:t xml:space="preserve">3. Goals &amp; Success Metrics</w:t>
      </w:r>
    </w:p>
    <w:p>
      <w:pPr>
        <w:pStyle w:val="Heading2"/>
      </w:pPr>
      <w:r>
        <w:t xml:space="preserve">Primary KPIs</w:t>
      </w:r>
    </w:p>
    <w:p>
      <w:pPr>
        <w:pStyle w:val="ListParagraph"/>
        <w:numPr>
          <w:ilvl w:val="0"/>
          <w:numId w:val="2"/>
        </w:numPr>
      </w:pPr>
      <w:r>
        <w:rPr>
          <w:b w:val="false"/>
          <w:bCs w:val="false"/>
        </w:rPr>
        <w:t xml:space="preserve">Prediction accuracy: ≥78% zone fill classification (30min lookahead)</w:t>
      </w:r>
    </w:p>
    <w:p>
      <w:pPr>
        <w:pStyle w:val="ListParagraph"/>
        <w:numPr>
          <w:ilvl w:val="0"/>
          <w:numId w:val="2"/>
        </w:numPr>
      </w:pPr>
      <w:r>
        <w:t xml:space="preserve">Latency: &lt;200ms SLM response for intent parsing + reroute suggestions</w:t>
      </w:r>
    </w:p>
    <w:p>
      <w:pPr>
        <w:pStyle w:val="ListParagraph"/>
        <w:numPr>
          <w:ilvl w:val="0"/>
          <w:numId w:val="2"/>
        </w:numPr>
      </w:pPr>
      <w:r>
        <w:t xml:space="preserve">User engagement: 40%+ of riders interact with proactive alerts per ride</w:t>
      </w:r>
    </w:p>
    <w:p>
      <w:pPr>
        <w:pStyle w:val="ListParagraph"/>
        <w:numPr>
          <w:ilvl w:val="0"/>
          <w:numId w:val="2"/>
        </w:numPr>
      </w:pPr>
      <w:r>
        <w:t xml:space="preserve">Wasted minutes reduction: 25–35% fewer meter-running redirects</w:t>
      </w:r>
    </w:p>
    <w:p>
      <w:pPr>
        <w:pStyle w:val="Heading1"/>
      </w:pPr>
      <w:r>
        <w:t xml:space="preserve">4. Technical Architecture</w:t>
      </w:r>
    </w:p>
    <w:p>
      <w:pPr>
        <w:pStyle w:val="Heading2"/>
      </w:pPr>
      <w:r>
        <w:t xml:space="preserve">System Layers</w:t>
      </w:r>
    </w:p>
    <w:p>
      <w:r>
        <w:rPr>
          <w:b/>
          <w:bCs/>
        </w:rPr>
        <w:t xml:space="preserve">Data Layer: </w:t>
      </w:r>
      <w:r>
        <w:t xml:space="preserve">GBFS feeds (real-time zone status), historical occupancy snapshots (PostgreSQL + Delta Lake), temporal metadata (time-of-day, day-of-week, local events)</w:t>
      </w:r>
    </w:p>
    <w:p>
      <w:r>
        <w:rPr>
          <w:b/>
          <w:bCs/>
        </w:rPr>
        <w:t xml:space="preserve">ML Prediction Layer: </w:t>
      </w:r>
      <w:r>
        <w:t xml:space="preserve">XGBoost or LightGBM for zone fill forecasting (30min, 60min horizons); lightweight, deterministic, no external inference needed</w:t>
      </w:r>
    </w:p>
    <w:p>
      <w:r>
        <w:rPr>
          <w:b/>
          <w:bCs/>
        </w:rPr>
        <w:t xml:space="preserve">SLM Companion Layer: </w:t>
      </w:r>
      <w:r>
        <w:t xml:space="preserve">Qwen2.5-0.5B or Phi-3.5-mini, fine-tuned via QLoRA on cycling intents; runs on-device; uses tool-calling (function_calling) for predictions + zone semantic search</w:t>
      </w:r>
    </w:p>
    <w:p>
      <w:r>
        <w:rPr>
          <w:b/>
          <w:bCs/>
        </w:rPr>
        <w:t xml:space="preserve">UX Layer: </w:t>
      </w:r>
      <w:r>
        <w:t xml:space="preserve">Minimal overlay on rider app; ambient alerts (voice-first), reroute suggestions with ETA deltas</w:t>
      </w:r>
    </w:p>
    <w:p>
      <w:pPr>
        <w:pStyle w:val="Heading1"/>
      </w:pPr>
      <w:r>
        <w:t xml:space="preserve">5. HNSW Vector Search Integration</w:t>
      </w:r>
    </w:p>
    <w:p>
      <w:r>
        <w:t xml:space="preserve">HNSW (Hierarchical Navigable Small World) enables fast semantic similarity search across parking zones and time-of-day patterns, critical for cold-start scenarios and intent disambiguation.</w:t>
      </w:r>
    </w:p>
    <w:p>
      <w:pPr>
        <w:pStyle w:val="Heading2"/>
      </w:pPr>
      <w:r>
        <w:t xml:space="preserve">Use Cases</w:t>
      </w:r>
    </w:p>
    <w:p>
      <w:pPr>
        <w:pStyle w:val="Heading3"/>
      </w:pPr>
      <w:r>
        <w:t xml:space="preserve">5.1 Historical Pattern Matching</w:t>
      </w:r>
    </w:p>
    <w:p>
      <w:r>
        <w:rPr>
          <w:b/>
          <w:bCs/>
        </w:rPr>
        <w:t xml:space="preserve">Problem: </w:t>
      </w:r>
      <w:r>
        <w:t xml:space="preserve">Given today (Friday 5:30pm, sunny), find the most similar historical day to seed predictions.</w:t>
      </w:r>
    </w:p>
    <w:p>
      <w:pPr>
        <w:pStyle w:val="ListParagraph"/>
        <w:numPr>
          <w:ilvl w:val="0"/>
          <w:numId w:val="2"/>
        </w:numPr>
      </w:pPr>
      <w:r>
        <w:rPr>
          <w:b w:val="false"/>
          <w:bCs w:val="false"/>
        </w:rPr>
        <w:t xml:space="preserve">Embed each historical day-zone record as: [day_of_week, hour, weather_vec, local_events_vec] → 128D vector</w:t>
      </w:r>
    </w:p>
    <w:p>
      <w:pPr>
        <w:pStyle w:val="ListParagraph"/>
        <w:numPr>
          <w:ilvl w:val="0"/>
          <w:numId w:val="2"/>
        </w:numPr>
      </w:pPr>
      <w:r>
        <w:t xml:space="preserve">Index via HNSW with M=16, ef_construction=200 (fast neighbor search)</w:t>
      </w:r>
    </w:p>
    <w:p>
      <w:pPr>
        <w:pStyle w:val="ListParagraph"/>
        <w:numPr>
          <w:ilvl w:val="0"/>
          <w:numId w:val="2"/>
        </w:numPr>
      </w:pPr>
      <w:r>
        <w:t xml:space="preserve">Query: Embed today&amp;#x2019;s context → HNSW knn(k=5, ef=50) → retrieve 5 nearest similar days → use their occupancy curves as priors</w:t>
      </w:r>
    </w:p>
    <w:p>
      <w:pPr>
        <w:pStyle w:val="ListParagraph"/>
        <w:numPr>
          <w:ilvl w:val="0"/>
          <w:numId w:val="2"/>
        </w:numPr>
      </w:pPr>
      <w:r>
        <w:t xml:space="preserve">Reduces cold-start error by ~15% when XGBoost alone is uncertain</w:t>
      </w:r>
    </w:p>
    <w:p>
      <w:pPr>
        <w:pStyle w:val="Heading3"/>
      </w:pPr>
      <w:r>
        <w:t xml:space="preserve">5.2 Zone Semantic Similarity</w:t>
      </w:r>
    </w:p>
    <w:p>
      <w:r>
        <w:rPr>
          <w:b/>
          <w:bCs/>
        </w:rPr>
        <w:t xml:space="preserve">Problem: </w:t>
      </w:r>
      <w:r>
        <w:t xml:space="preserve">SLM suggests &amp;#x201C;try zone X,&amp;#x201D; but user asks &amp;#x201C;is zone Y nearby with better availability?&amp;#x201D; Need fast semantic lookup of zones with similar characteristics (transit connectivity, venue type, occupancy dynamics).</w:t>
      </w:r>
    </w:p>
    <w:p>
      <w:pPr>
        <w:pStyle w:val="ListParagraph"/>
        <w:numPr>
          <w:ilvl w:val="0"/>
          <w:numId w:val="2"/>
        </w:numPr>
      </w:pPr>
      <w:r>
        <w:rPr>
          <w:b w:val="false"/>
          <w:bCs w:val="false"/>
        </w:rPr>
        <w:t xml:space="preserve">Embed each zone as: [lat, lon, venue_type_embedding, avg_daily_turnover, transit_score] → 256D</w:t>
      </w:r>
    </w:p>
    <w:p>
      <w:pPr>
        <w:pStyle w:val="ListParagraph"/>
        <w:numPr>
          <w:ilvl w:val="0"/>
          <w:numId w:val="2"/>
        </w:numPr>
      </w:pPr>
      <w:r>
        <w:t xml:space="preserve">Index zones via HNSW</w:t>
      </w:r>
    </w:p>
    <w:p>
      <w:pPr>
        <w:pStyle w:val="ListParagraph"/>
        <w:numPr>
          <w:ilvl w:val="0"/>
          <w:numId w:val="2"/>
        </w:numPr>
      </w:pPr>
      <w:r>
        <w:t xml:space="preserve">SLM tool: zone_semantic_search(current_zone, k=3) → returns 3 zones with similar occupancy profiles &amp; geography</w:t>
      </w:r>
    </w:p>
    <w:p>
      <w:pPr>
        <w:pStyle w:val="ListParagraph"/>
        <w:numPr>
          <w:ilvl w:val="0"/>
          <w:numId w:val="2"/>
        </w:numPr>
      </w:pPr>
      <w:r>
        <w:t xml:space="preserve">Dramatically improves alt-zone suggestions relevance</w:t>
      </w:r>
    </w:p>
    <w:p>
      <w:pPr>
        <w:pStyle w:val="Heading3"/>
      </w:pPr>
      <w:r>
        <w:t xml:space="preserve">5.3 Intent-to-Prediction Mapping</w:t>
      </w:r>
    </w:p>
    <w:p>
      <w:r>
        <w:rPr>
          <w:b/>
          <w:bCs/>
        </w:rPr>
        <w:t xml:space="preserve">Problem: </w:t>
      </w:r>
      <w:r>
        <w:t xml:space="preserve">User says &amp;#x201C;I&amp;#x2019;m heading to the park in 10 mins.&amp;#x201D; SLM extracts intent vector and queries similar previous intents to contextualize zone fill patterns.</w:t>
      </w:r>
    </w:p>
    <w:p>
      <w:pPr>
        <w:pStyle w:val="ListParagraph"/>
        <w:numPr>
          <w:ilvl w:val="0"/>
          <w:numId w:val="2"/>
        </w:numPr>
      </w:pPr>
      <w:r>
        <w:rPr>
          <w:b w:val="false"/>
          <w:bCs w:val="false"/>
        </w:rPr>
        <w:t xml:space="preserve">Embed user intents (&amp;#x201C;heading to [venue]&amp;#x201D;, &amp;#x201C;meeting friends&amp;#x201D;, &amp;#x201C;picking up something&amp;#x201D;) as 128D vectors via SLM embeddings</w:t>
      </w:r>
    </w:p>
    <w:p>
      <w:pPr>
        <w:pStyle w:val="ListParagraph"/>
        <w:numPr>
          <w:ilvl w:val="0"/>
          <w:numId w:val="2"/>
        </w:numPr>
      </w:pPr>
      <w:r>
        <w:t xml:space="preserve">Index historical (intent, zone, time_to_arrival) tuples</w:t>
      </w:r>
    </w:p>
    <w:p>
      <w:pPr>
        <w:pStyle w:val="ListParagraph"/>
        <w:numPr>
          <w:ilvl w:val="0"/>
          <w:numId w:val="2"/>
        </w:numPr>
      </w:pPr>
      <w:r>
        <w:t xml:space="preserve">At prediction time: embed current intent → HNSW knn(k=10) → weight predictions by historical success rate</w:t>
      </w:r>
    </w:p>
    <w:p>
      <w:pPr>
        <w:pStyle w:val="ListParagraph"/>
        <w:numPr>
          <w:ilvl w:val="0"/>
          <w:numId w:val="2"/>
        </w:numPr>
      </w:pPr>
      <w:r>
        <w:t xml:space="preserve">E.g., &amp;#x201C;picking up food&amp;#x201D; → zones near restaurants fill faster 18:00&amp;#x2013;19:00</w:t>
      </w:r>
    </w:p>
    <w:p>
      <w:pPr>
        <w:pStyle w:val="Heading3"/>
      </w:pPr>
      <w:r>
        <w:t xml:space="preserve">5.4 Implementation Details</w:t>
      </w:r>
    </w:p>
    <w:p>
      <w:pPr>
        <w:pStyle w:val="ListParagraph"/>
        <w:numPr>
          <w:ilvl w:val="0"/>
          <w:numId w:val="2"/>
        </w:numPr>
      </w:pPr>
      <w:r>
        <w:rPr>
          <w:b/>
          <w:bCs/>
        </w:rPr>
        <w:t xml:space="preserve">Library: </w:t>
      </w:r>
      <w:r>
        <w:t xml:space="preserve">hnswlib-js (npm) for on-device index; server-side: hnswlib-py or Milvus for cloud precomputation</w:t>
      </w:r>
    </w:p>
    <w:p>
      <w:pPr>
        <w:pStyle w:val="ListParagraph"/>
        <w:numPr>
          <w:ilvl w:val="0"/>
          <w:numId w:val="2"/>
        </w:numPr>
      </w:pPr>
      <w:r>
        <w:t xml:space="preserve">Index size: ~100k zone-time-context records per city → ~50MB on-device (acceptable)</w:t>
      </w:r>
    </w:p>
    <w:p>
      <w:pPr>
        <w:pStyle w:val="ListParagraph"/>
        <w:numPr>
          <w:ilvl w:val="0"/>
          <w:numId w:val="2"/>
        </w:numPr>
      </w:pPr>
      <w:r>
        <w:t xml:space="preserve">Update frequency: Daily sync of new HNSW indices from backend (precomputed nightly)</w:t>
      </w:r>
    </w:p>
    <w:p>
      <w:pPr>
        <w:pStyle w:val="ListParagraph"/>
        <w:numPr>
          <w:ilvl w:val="0"/>
          <w:numId w:val="2"/>
        </w:numPr>
      </w:pPr>
      <w:r>
        <w:t xml:space="preserve">Query cost: &lt;10ms per search (M=16, ef=50); can batch 5 searches per intent parse</w:t>
      </w:r>
    </w:p>
    <w:p>
      <w:pPr>
        <w:pStyle w:val="Heading1"/>
      </w:pPr>
      <w:r>
        <w:t xml:space="preserve">6.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color w:val="2E5090"/>
                <w:sz w:val="22"/>
                <w:szCs w:val="22"/>
              </w:rPr>
              <w:t xml:space="preserve">Phase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color w:val="2E5090"/>
                <w:sz w:val="22"/>
                <w:szCs w:val="22"/>
              </w:rPr>
              <w:t xml:space="preserve">Deliverables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color w:val="2E5090"/>
                <w:sz w:val="22"/>
                <w:szCs w:val="22"/>
              </w:rPr>
              <w:t xml:space="preserve">Timeframe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color w:val="2E5090"/>
                <w:sz w:val="22"/>
                <w:szCs w:val="22"/>
              </w:rPr>
              <w:t xml:space="preserve">Owner / Notes</w:t>
            </w:r>
          </w:p>
        </w:tc>
      </w:tr>
      <w:tr>
        <w:tc>
          <w:tcPr>
            <w:tcMar>
              <w:top w:type="dxa" w:w="80"/>
              <w:left w:type="dxa" w:w="120"/>
              <w:bottom w:type="dxa" w:w="80"/>
              <w:right w:type="dxa" w:w="120"/>
            </w:tcMar>
          </w:tcPr>
          <w:p>
            <w:r>
              <w:rPr>
                <w:sz w:val="20"/>
                <w:szCs w:val="20"/>
              </w:rPr>
              <w:t xml:space="preserve">Phase 1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 lead; depends on operator API access</w:t>
            </w:r>
          </w:p>
        </w:tc>
      </w:tr>
      <w:tr>
        <w:tc>
          <w:tcPr>
            <w:tcMar>
              <w:top w:type="dxa" w:w="80"/>
              <w:left w:type="dxa" w:w="120"/>
              <w:bottom w:type="dxa" w:w="80"/>
              <w:right w:type="dxa" w:w="120"/>
            </w:tcMar>
          </w:tcPr>
          <w:p>
            <w:r>
              <w:rPr>
                <w:sz w:val="20"/>
                <w:szCs w:val="20"/>
              </w:rPr>
              <w:t xml:space="preserve">Phase 2
Prediction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 lead; test on holdout data from weeks 1–4</w:t>
            </w:r>
          </w:p>
        </w:tc>
      </w:tr>
      <w:tr>
        <w:tc>
          <w:tcPr>
            <w:tcMar>
              <w:top w:type="dxa" w:w="80"/>
              <w:left w:type="dxa" w:w="120"/>
              <w:bottom w:type="dxa" w:w="80"/>
              <w:right w:type="dxa" w:w="120"/>
            </w:tcMar>
          </w:tcPr>
          <w:p>
            <w:r>
              <w:rPr>
                <w:sz w:val="20"/>
                <w:szCs w:val="20"/>
              </w:rPr>
              <w:t xml:space="preserve">Phase 3
SLM &amp; tools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3–6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ML + mobile lead; QLoRA fine-tuning on ~5k intent examples</w:t>
            </w:r>
          </w:p>
        </w:tc>
      </w:tr>
      <w:tr>
        <w:tc>
          <w:tcPr>
            <w:tcMar>
              <w:top w:type="dxa" w:w="80"/>
              <w:left w:type="dxa" w:w="120"/>
              <w:bottom w:type="dxa" w:w="80"/>
              <w:right w:type="dxa" w:w="120"/>
            </w:tcMar>
          </w:tcPr>
          <w:p>
            <w:r>
              <w:rPr>
                <w:sz w:val="20"/>
                <w:szCs w:val="20"/>
              </w:rPr>
              <w:t xml:space="preserve">Phase 4
CV (optional)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5–8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CV specialist; can run parallel to Phase 3 if resources available</w:t>
            </w:r>
          </w:p>
        </w:tc>
      </w:tr>
      <w:tr>
        <w:tc>
          <w:tcPr>
            <w:tcMar>
              <w:top w:type="dxa" w:w="80"/>
              <w:left w:type="dxa" w:w="120"/>
              <w:bottom w:type="dxa" w:w="80"/>
              <w:right w:type="dxa" w:w="120"/>
            </w:tcMar>
          </w:tcPr>
          <w:p>
            <w:r>
              <w:rPr>
                <w:sz w:val="20"/>
                <w:szCs w:val="20"/>
              </w:rPr>
              <w:t xml:space="preserve">Phase 5
UX &amp; test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Weeks 7–11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 product; runs parallel with Phase 4</w:t>
            </w:r>
          </w:p>
        </w:tc>
      </w:tr>
      <w:tr>
        <w:tc>
          <w:tcPr>
            <w:tcMar>
              <w:top w:type="dxa" w:w="80"/>
              <w:left w:type="dxa" w:w="120"/>
              <w:bottom w:type="dxa" w:w="80"/>
              <w:right w:type="dxa" w:w="120"/>
            </w:tcMar>
          </w:tcPr>
          <w:p>
            <w:r>
              <w:rPr>
                <w:sz w:val="20"/>
                <w:szCs w:val="20"/>
              </w:rPr>
              <w:t xml:space="preserve">Phase 6
Launch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Entire team; hold 30% contingency</w:t>
            </w:r>
          </w:p>
        </w:tc>
      </w:tr>
    </w:tbl>
    <w:p>
      <w:pPr>
        <w:pStyle w:val="Heading1"/>
      </w:pPr>
      <w:r>
        <w:t xml:space="preserve">7. Data Models</w:t>
      </w:r>
    </w:p>
    <w:p>
      <w:pPr>
        <w:pStyle w:val="Heading2"/>
      </w:pPr>
      <w: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color w:val="2E5090"/>
                <w:sz w:val="22"/>
                <w:szCs w:val="22"/>
              </w:rPr>
              <w:t xml:space="preserve">Table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color w:val="2E5090"/>
                <w:sz w:val="22"/>
                <w:szCs w:val="22"/>
              </w:rPr>
              <w:t xml:space="preserve">Key Fields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color w:val="2E5090"/>
                <w:sz w:val="22"/>
                <w:szCs w:val="22"/>
              </w:rPr>
              <w:t xml:space="preserve">Type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color w:val="2E5090"/>
                <w:sz w:val="22"/>
                <w:szCs w:val="22"/>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zone_snapshots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zone_id, timestamp, available_bikes, docks_used, occupancy_pct, weather_code, local_events_mask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 Time-series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5min resolution; indexed on (zone_id, timestamp); retained for 6mo; exported to Delta Lake weekly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zone_metadata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zone_id, lat, lon, name, venue_type_id, transit_score, neighborhood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Semi-static; used for zone embeddings; updated monthly or on zone boundary change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model_artifacts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model_id, version, timestamp, xgb_params, holdout_mae, s3_path, city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 + S3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per city per day; versioned for rollback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rider_outcomes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rider_id, session_id, zone_id, predicted_fill, actual_fill, arrival_time, satisfaction_score, intent_embedding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PostgreSQL Event 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Opt-in telemetry; used for fine-tuning SLM intents and validating predictions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zone_embeddings_hnsw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zone_id, embedding_vec (256D), timestamp, model_version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HNSW Index + Parquet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Pre-computed nightly; pushed to mobile app as binary blob (~50MB gzipped for 1 city)</w:t>
            </w:r>
          </w:p>
        </w:tc>
      </w:tr>
    </w:tbl>
    <w:p>
      <w:pPr>
        <w:pStyle w:val="Heading1"/>
      </w:pPr>
      <w:r>
        <w:t xml:space="preserve">8. API Contracts</w:t>
      </w:r>
    </w:p>
    <w:p>
      <w:pPr>
        <w:pStyle w:val="Heading2"/>
      </w:pPr>
      <w:r>
        <w:t xml:space="preserve">Prediction Engine</w:t>
      </w:r>
    </w:p>
    <w:p>
      <w:r>
        <w:rPr>
          <w:b/>
          <w:bCs/>
        </w:rPr>
        <w:t xml:space="preserve">POST /predict</w:t>
      </w:r>
    </w:p>
    <w:p>
      <w:r>
        <w:rPr>
          <w:b/>
          <w:bCs/>
        </w:rPr>
        <w:t xml:space="preserve">Request: </w:t>
      </w:r>
      <w:r>
        <w:t xml:space="preserve">{ zone_id, current_timestamp, intent_embedding, lookahead_mins: 30 }</w:t>
      </w:r>
    </w:p>
    <w:p>
      <w:r>
        <w:rPr>
          <w:b/>
          <w:bCs/>
        </w:rPr>
        <w:t xml:space="preserve">Response: </w:t>
      </w:r>
      <w:r>
        <w:t xml:space="preserve">{ fill_probability: 0.72, confidence: 0.85, alternative_zones: [{id, fill_prob}], reason: "High turnover on Friday evenings" }</w:t>
      </w:r>
    </w:p>
    <w:p>
      <w:pPr>
        <w:pStyle w:val="Heading2"/>
      </w:pPr>
      <w:r>
        <w:t xml:space="preserve">SLM Tool Calls</w:t>
      </w:r>
    </w:p>
    <w:p>
      <w:r>
        <w:rPr>
          <w:b/>
          <w:bCs/>
        </w:rPr>
        <w:t xml:space="preserve">zone_semantic_search(current_zone_id, k: int, filter: {max_distance_m, venue_type}) → [{zone_id, similarity, occupancy_profile}]</w:t>
      </w:r>
    </w:p>
    <w:p>
      <w:r>
        <w:rPr>
          <w:b/>
          <w:bCs/>
        </w:rPr>
        <w:t xml:space="preserve">get_zone_forecast(zone_id, time_horizon_mins) → {zone_id, arrival_time, expected_fill, confidence, recommended_action}</w:t>
      </w:r>
    </w:p>
    <w:p>
      <w:r>
        <w:rPr>
          <w:b/>
          <w:bCs/>
        </w:rPr>
        <w:t xml:space="preserve">log_outcome(zone_id, timestamp, actual_availability, rider_satisfaction) [telemetry for retraining]</w:t>
      </w:r>
    </w:p>
    <w:p>
      <w:pPr>
        <w:pStyle w:val="Heading1"/>
      </w:pPr>
      <w:r>
        <w:t xml:space="preserve">9. Deployment &amp; Scaling</w:t>
      </w:r>
    </w:p>
    <w:p>
      <w:pPr>
        <w:pStyle w:val="Heading2"/>
      </w:pPr>
      <w:r>
        <w:t xml:space="preserve">Server</w:t>
      </w:r>
    </w:p>
    <w:p>
      <w:pPr>
        <w:pStyle w:val="ListParagraph"/>
        <w:numPr>
          <w:ilvl w:val="0"/>
          <w:numId w:val="2"/>
        </w:numPr>
      </w:pPr>
      <w:r>
        <w:rPr>
          <w:b w:val="false"/>
          <w:bCs w:val="false"/>
        </w:rPr>
        <w:t xml:space="preserve">Stack: FastAPI + PostgreSQL + Redis (occupancy cache) + Azure/AWS Kubernetes</w:t>
      </w:r>
    </w:p>
    <w:p>
      <w:pPr>
        <w:pStyle w:val="ListParagraph"/>
        <w:numPr>
          <w:ilvl w:val="0"/>
          <w:numId w:val="2"/>
        </w:numPr>
      </w:pPr>
      <w:r>
        <w:t xml:space="preserve">GBFS ingest: Airflow DAG, 5min poll, upsert zone snapshots</w:t>
      </w:r>
    </w:p>
    <w:p>
      <w:pPr>
        <w:pStyle w:val="ListParagraph"/>
        <w:numPr>
          <w:ilvl w:val="0"/>
          <w:numId w:val="2"/>
        </w:numPr>
      </w:pPr>
      <w:r>
        <w:t xml:space="preserve">Model retraining: Daily, 4hr window, validation on holdout week</w:t>
      </w:r>
    </w:p>
    <w:p>
      <w:pPr>
        <w:pStyle w:val="ListParagraph"/>
        <w:numPr>
          <w:ilvl w:val="0"/>
          <w:numId w:val="2"/>
        </w:numPr>
      </w:pPr>
      <w:r>
        <w:t xml:space="preserve">HNSW index build: Nightly, push to S3, staged rollout to mobile</w:t>
      </w:r>
    </w:p>
    <w:p>
      <w:pPr>
        <w:pStyle w:val="Heading2"/>
      </w:pPr>
      <w:r>
        <w:t xml:space="preserve">Mobile</w:t>
      </w:r>
    </w:p>
    <w:p>
      <w:pPr>
        <w:pStyle w:val="ListParagraph"/>
        <w:numPr>
          <w:ilvl w:val="0"/>
          <w:numId w:val="2"/>
        </w:numPr>
      </w:pPr>
      <w:r>
        <w:rPr>
          <w:b w:val="false"/>
          <w:bCs w:val="false"/>
        </w:rPr>
        <w:t xml:space="preserve">SLM + HNSW indices bundled in app, ~120MB total (gzipped: ~35MB)</w:t>
      </w:r>
    </w:p>
    <w:p>
      <w:pPr>
        <w:pStyle w:val="ListParagraph"/>
        <w:numPr>
          <w:ilvl w:val="0"/>
          <w:numId w:val="2"/>
        </w:numPr>
      </w:pPr>
      <w:r>
        <w:t xml:space="preserve">Daily sync background job (WiFi + AC only)</w:t>
      </w:r>
    </w:p>
    <w:p>
      <w:pPr>
        <w:pStyle w:val="ListParagraph"/>
        <w:numPr>
          <w:ilvl w:val="0"/>
          <w:numId w:val="2"/>
        </w:numPr>
      </w:pPr>
      <w:r>
        <w:t xml:space="preserve">All predictions + voice UX fully offline-capable</w:t>
      </w:r>
    </w:p>
    <w:p>
      <w:pPr>
        <w:pStyle w:val="Heading2"/>
      </w:pPr>
      <w:r>
        <w:t xml:space="preserve">Monitoring</w:t>
      </w:r>
    </w:p>
    <w:p>
      <w:pPr>
        <w:pStyle w:val="ListParagraph"/>
        <w:numPr>
          <w:ilvl w:val="0"/>
          <w:numId w:val="2"/>
        </w:numPr>
      </w:pPr>
      <w:r>
        <w:rPr>
          <w:b w:val="false"/>
          <w:bCs w:val="false"/>
        </w:rPr>
        <w:t xml:space="preserve">Metrics: Prediction MAE, user alert CTR, reroute conversion, wasted minutes saved</w:t>
      </w:r>
    </w:p>
    <w:p>
      <w:pPr>
        <w:pStyle w:val="ListParagraph"/>
        <w:numPr>
          <w:ilvl w:val="0"/>
          <w:numId w:val="2"/>
        </w:numPr>
      </w:pPr>
      <w:r>
        <w:t xml:space="preserve">Alerts: If prediction accuracy &lt;75% or latency &gt;300ms, page on-call</w:t>
      </w:r>
    </w:p>
    <w:p>
      <w:pPr>
        <w:pStyle w:val="Heading1"/>
      </w:pPr>
      <w:r>
        <w:t xml:space="preserve">10. Critical Dependencies &amp; Risks</w:t>
      </w:r>
    </w:p>
    <w:p>
      <w:pPr>
        <w:pStyle w:val="ListParagraph"/>
        <w:numPr>
          <w:ilvl w:val="0"/>
          <w:numId w:val="2"/>
        </w:numPr>
      </w:pPr>
      <w:r>
        <w:rPr>
          <w:b w:val="false"/>
          <w:bCs w:val="false"/>
        </w:rPr>
        <w:t xml:space="preserve">Operator data access: Must negotiate GBFS API key or partnership. Mitigation: target operators with public GBFS first.</w:t>
      </w:r>
    </w:p>
    <w:p>
      <w:pPr>
        <w:pStyle w:val="ListParagraph"/>
        <w:numPr>
          <w:ilvl w:val="0"/>
          <w:numId w:val="2"/>
        </w:numPr>
      </w:pPr>
      <w:r>
        <w:t xml:space="preserve">Mobile app integration: Requires deep link with existing rider app. Mitigation: build as standalone companion app first, then negotiate embed.</w:t>
      </w:r>
    </w:p>
    <w:p>
      <w:pPr>
        <w:pStyle w:val="ListParagraph"/>
        <w:numPr>
          <w:ilvl w:val="0"/>
          <w:numId w:val="2"/>
        </w:numPr>
      </w:pPr>
      <w:r>
        <w:t xml:space="preserve">SLM fine-tuning data: Need ≥10k annotated (intent, zone, outcome) examples. Mitigation: use unsupervised intent extraction + heuristic labeling initially.</w:t>
      </w:r>
    </w:p>
    <w:p>
      <w:pPr>
        <w:pStyle w:val="ListParagraph"/>
        <w:numPr>
          <w:ilvl w:val="0"/>
          <w:numId w:val="2"/>
        </w:numPr>
      </w:pPr>
      <w:r>
        <w:t xml:space="preserve">Cold-start: New cities with &lt;2 weeks history. Mitigation: HNSW-based pattern matching from similar cities + transfer learning.</w:t>
      </w:r>
    </w:p>
    <w:p>
      <w:pPr>
        <w:spacing w:before="240"/>
      </w:pPr>
      <w:r>
        <w:rPr>
          <w:i/>
          <w:iCs/>
          <w:color w:val="99999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2E5090"/>
      <w:sz w:val="32"/>
      <w:szCs w:val="32"/>
    </w:rPr>
  </w:style>
  <w:style w:type="paragraph" w:styleId="Heading2">
    <w:name w:val="Heading 2"/>
    <w:basedOn w:val="Normal"/>
    <w:next w:val="Normal"/>
    <w:pPr>
      <w:spacing w:after="100" w:before="180"/>
      <w:outlineLvl w:val="1"/>
    </w:pPr>
    <w:rPr>
      <w:rFonts w:ascii="Arial" w:cs="Arial" w:eastAsia="Arial" w:hAnsi="Arial"/>
      <w:b/>
      <w:bCs/>
      <w:color w:val="44546A"/>
      <w:sz w:val="28"/>
      <w:szCs w:val="28"/>
    </w:rPr>
  </w:style>
  <w:style w:type="paragraph" w:styleId="Heading3">
    <w:name w:val="Heading 3"/>
    <w:basedOn w:val="Normal"/>
    <w:next w:val="Normal"/>
    <w:pPr>
      <w:spacing w:after="80" w:before="120"/>
      <w:outlineLvl w:val="2"/>
    </w:pPr>
    <w:rPr>
      <w:rFonts w:ascii="Arial" w:cs="Arial" w:eastAsia="Arial" w:hAnsi="Arial"/>
      <w:b/>
      <w:bCs/>
      <w:color w:val="6666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2026-05-22T21:11:16.450Z</dcterms:created>
  <dcterms:modified xsi:type="dcterms:W3CDTF">2026-05-22T21:11:16.450Z</dcterms:modified>
</cp:coreProperties>
</file>

<file path=docProps/custom.xml><?xml version="1.0" encoding="utf-8"?>
<Properties xmlns="http://schemas.openxmlformats.org/officeDocument/2006/custom-properties" xmlns:vt="http://schemas.openxmlformats.org/officeDocument/2006/docPropsVTypes"/>
</file>