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0896" w14:textId="77777777" w:rsidR="00E07345" w:rsidRDefault="00E07345" w:rsidP="00E07345">
      <w:r>
        <w:t>Robot design:</w:t>
      </w:r>
    </w:p>
    <w:p w14:paraId="02C00530" w14:textId="77777777" w:rsidR="00E07345" w:rsidRDefault="00E07345" w:rsidP="00E07345">
      <w:r>
        <w:t>1. Joint design for maximum movement, per limb (the "N–H bond")</w:t>
      </w:r>
    </w:p>
    <w:p w14:paraId="1B93B9BD" w14:textId="77777777" w:rsidR="00E07345" w:rsidRDefault="00E07345" w:rsidP="00E07345">
      <w:r>
        <w:t>The diagram shows the two joint roles each limb needs:</w:t>
      </w:r>
    </w:p>
    <w:p w14:paraId="0D493D17" w14:textId="77777777" w:rsidR="00E07345" w:rsidRDefault="00E07345" w:rsidP="00E07345">
      <w:r>
        <w:t>The active joint sits at the hub and should be a revolute joint with a large angular sweep — ideally hollow-shafted so power and signal cables for the rest of that limb's module can pass straight through it. This is your "valence bond" connection point: every bond module plugs into the hub through an identical interface, so any limb can go in any port.</w:t>
      </w:r>
    </w:p>
    <w:p w14:paraId="4DB95307" w14:textId="77777777" w:rsidR="00E07345" w:rsidRDefault="00E07345" w:rsidP="00E07345">
      <w:r>
        <w:t>The distal joint (where the limb meets the moving plate) is the one that actually limits delta-robot workspace today, because standard ball-and-socket joints in delta forearms are capped around ±30–40° before the housings collide. Two ways to push past that: (a) replace the single ball joint with a stacked double-universal-joint ("double cardan") arrangement, which avoids gimbal lock and gives a larger usable cone, or (b) use a flexure-based passive joint (a 3D-printed or machined compliant hinge) which has zero backlash and can be tuned for a wide angular range at the cost of some load capacity — good for lighter payloads or precision tasks.</w:t>
      </w:r>
    </w:p>
    <w:p w14:paraId="59B30BCF" w14:textId="77777777" w:rsidR="00E07345" w:rsidRDefault="00E07345" w:rsidP="00E07345">
      <w:r>
        <w:t>The middle of the limb is where you decide what kind of constraint you're building. Standard delta uses a parallelogram (two parallel rods, four spherical joints) specifically to lock out platform rotation — that's what makes the kinematics so clean. If you replace that with a single rigid rod with spherical joints at both ends (an SS leg, like a Stewart-platform leg), you get a much simpler, lighter limb with a larger swing range, but now the platform's orientation is no longer automatically constrained — with only 3 such legs you typically end up with a 3-RSS or 3-SS mechanism that has mixed translation/rotation DOF, which is more capable but kinematically messier. My recommendation: keep the parallelogram for the "default" delta configuration (objective 3 cares about avoiding singularities, and the parallelogram's well-understood kinematics help a lot there), but make the parallelogram itself modular — build it from telescoping rods so the effective limb length can change. That single change (variable-length forearm) is one of the most direct ways to expand workspace without touching the rest of the kinematic model.</w:t>
      </w:r>
    </w:p>
    <w:p w14:paraId="44D8DCFD" w14:textId="77777777" w:rsidR="00E07345" w:rsidRDefault="00E07345" w:rsidP="00E07345">
      <w:r>
        <w:t>2. The "polyatomic" modularity standard</w:t>
      </w:r>
    </w:p>
    <w:p w14:paraId="4EA2B91D" w14:textId="77777777" w:rsidR="00E07345" w:rsidRDefault="00E07345" w:rsidP="00E07345">
      <w:r>
        <w:t xml:space="preserve">Think of your module family the way you'd think of a small set of "elements," each with a standard bonding interface (mechanical flange + alignment dowels + a daisy-chained power/data connector, e.g. CAN or </w:t>
      </w:r>
      <w:proofErr w:type="spellStart"/>
      <w:r>
        <w:t>EtherCAT</w:t>
      </w:r>
      <w:proofErr w:type="spellEnd"/>
      <w:r>
        <w:t xml:space="preserve"> running through the hollow joints):</w:t>
      </w:r>
    </w:p>
    <w:p w14:paraId="53A47A41" w14:textId="77777777" w:rsidR="00E07345" w:rsidRDefault="00E07345" w:rsidP="00E07345"/>
    <w:p w14:paraId="67F2FEF4" w14:textId="77777777" w:rsidR="00E07345" w:rsidRDefault="00E07345" w:rsidP="00E07345">
      <w:r>
        <w:t>An R-module: motorized revolute joint, the active joint at the hub</w:t>
      </w:r>
    </w:p>
    <w:p w14:paraId="702BD3B1" w14:textId="77777777" w:rsidR="00E07345" w:rsidRDefault="00E07345" w:rsidP="00E07345">
      <w:r>
        <w:t>An L-module: a fixed or telescoping link</w:t>
      </w:r>
    </w:p>
    <w:p w14:paraId="5C653392" w14:textId="77777777" w:rsidR="00E07345" w:rsidRDefault="00E07345" w:rsidP="00E07345">
      <w:r>
        <w:lastRenderedPageBreak/>
        <w:t>An S-module: the extended-range passive spherical joint</w:t>
      </w:r>
    </w:p>
    <w:p w14:paraId="31785510" w14:textId="77777777" w:rsidR="00E07345" w:rsidRDefault="00E07345" w:rsidP="00E07345">
      <w:r>
        <w:t>A W-module: a small wrist/tooling head for the platform</w:t>
      </w:r>
    </w:p>
    <w:p w14:paraId="7064054D" w14:textId="77777777" w:rsidR="00E07345" w:rsidRDefault="00E07345" w:rsidP="00E07345"/>
    <w:p w14:paraId="482C478B" w14:textId="77777777" w:rsidR="00E07345" w:rsidRDefault="00E07345" w:rsidP="00E07345">
      <w:r>
        <w:t>Three (R+L+S) chains plugged into a 3-port hub at 120° gives you the delta configuration. The same modules chained R–L–R–L–R–L give you a 6-DOF serial arm. A mixed mode — two limbs in parallel for stability, the third reconfigured to extend serially — lets the same hardware reach into a deep bin or a tight cavity while the other two limbs hold the platform steady. This reconfigurability is the actual novel engineering payoff of the molecular framing, and it's also your answer to one of delta's worst failure modes: a broken limb on a standard delta disables the whole robot, but a broken bond module here can be swapped or the system can drop to a reduced-DOF mode using the remaining limbs.</w:t>
      </w:r>
    </w:p>
    <w:p w14:paraId="65C180FA" w14:textId="77777777" w:rsidR="00E07345" w:rsidRDefault="00E07345" w:rsidP="00E07345">
      <w:r>
        <w:t>3. Increasing workspace beyond a standard delta</w:t>
      </w:r>
    </w:p>
    <w:p w14:paraId="4B7DDCB9" w14:textId="77777777" w:rsidR="00E07345" w:rsidRDefault="00E07345" w:rsidP="00E07345">
      <w:r>
        <w:t xml:space="preserve">Beyond the variable-length forearm and extended-range joints already mentioned, the hub itself is a design variable. In NH3 the H–N–H bond angle is fixed by the molecule's electronic structure, but in your robot it's a design parameter — like choosing between sp2 (flatter, ~120°, wide horizontal workspace, good for pick-and-place over a table) and sp3-like (~109.5°, more conical, better vertical reach). You could even make the hub itself modular, offering a couple of standardized "hybridization" geometries depending on the application. Adding a small serial wrist module at the platform </w:t>
      </w:r>
      <w:proofErr w:type="spellStart"/>
      <w:r>
        <w:t>center</w:t>
      </w:r>
      <w:proofErr w:type="spellEnd"/>
      <w:r>
        <w:t xml:space="preserve"> (1–3 extra DOF) is also worth considering — this is essentially what commercial 4-axis deltas already do to add end-effector rotation without overloading the three main translational limbs with orientation duties.</w:t>
      </w:r>
    </w:p>
    <w:p w14:paraId="3689803F" w14:textId="77777777" w:rsidR="00E07345" w:rsidRDefault="00E07345" w:rsidP="00E07345">
      <w:r>
        <w:t>Where delta robots fail, and how this addresses it</w:t>
      </w:r>
    </w:p>
    <w:p w14:paraId="5409BEF6" w14:textId="77777777" w:rsidR="00E07345" w:rsidRDefault="00E07345" w:rsidP="00E07345">
      <w:r>
        <w:t xml:space="preserve">Delta robots fail in roughly four ways: workspace is a small fraction of the robot's footprint (joint angle limits), they hit Type-1 singularities at full extension/retraction near the workspace boundary, they generally can't rotate the end-effector without extra hardware, and a single failed component takes down the whole machine. Your modular approach addresses the first two through telescoping limbs and wider-range joints, the third through an optional wrist module, and the fourth — the one standard </w:t>
      </w:r>
      <w:proofErr w:type="gramStart"/>
      <w:r>
        <w:t>deltas</w:t>
      </w:r>
      <w:proofErr w:type="gramEnd"/>
      <w:r>
        <w:t xml:space="preserve"> have basically no answer for — through hot-swappable modules and graceful degradation to fewer active limbs.</w:t>
      </w:r>
    </w:p>
    <w:p w14:paraId="14EFC78D" w14:textId="77777777" w:rsidR="00E07345" w:rsidRDefault="00E07345" w:rsidP="00E07345">
      <w:r>
        <w:t>Applications where this beats a delta</w:t>
      </w:r>
    </w:p>
    <w:p w14:paraId="4DC71A14" w14:textId="77777777" w:rsidR="00E07345" w:rsidRDefault="00E07345" w:rsidP="00E07345">
      <w:r>
        <w:t>Three categories stand out:</w:t>
      </w:r>
    </w:p>
    <w:p w14:paraId="6A405165" w14:textId="77777777" w:rsidR="00E07345" w:rsidRDefault="00E07345" w:rsidP="00E07345">
      <w:r>
        <w:lastRenderedPageBreak/>
        <w:t>Bin picking from variable-depth containers, where a fixed-geometry delta's flat dome workspace simply can't reach the bottom of a deep bin, but a limb that can telescope or temporarily extend serially can.</w:t>
      </w:r>
    </w:p>
    <w:p w14:paraId="407F919E" w14:textId="77777777" w:rsidR="00E07345" w:rsidRDefault="00E07345" w:rsidP="00E07345">
      <w:r>
        <w:t>Mobile/field robotics — agriculture, inspection, maintenance — where the robot needs to fold into a compact serial chain for transport or for reaching through a narrow access port, then reconfigure into a stable parallel platform once it's at the work site.</w:t>
      </w:r>
    </w:p>
    <w:p w14:paraId="790232E3" w14:textId="77777777" w:rsidR="00E07345" w:rsidRDefault="00E07345" w:rsidP="00E07345">
      <w:r>
        <w:t>Fault-tolerant or hard-to-service environments (space, hazardous facilities) where the modular swap/degrade capability is valuable precisely because a delta robot's all-or-nothing failure mode is unacceptable.</w:t>
      </w:r>
    </w:p>
    <w:p w14:paraId="64671C28" w14:textId="77777777" w:rsidR="00E07345" w:rsidRDefault="00E07345" w:rsidP="00E07345">
      <w:r>
        <w:t>A practical starting roadmap</w:t>
      </w:r>
    </w:p>
    <w:p w14:paraId="62B027BC" w14:textId="77777777" w:rsidR="00E07345" w:rsidRDefault="00E07345" w:rsidP="00E07345">
      <w:r>
        <w:t>I'd start entirely in simulation, because the kinematics are where most of the risk lives. Build a parametric model of a standard 3-limb delta first (validate it against known delta kinematics so you trust your math), then start varying the parameters that map to your molecular analogy — the hub bond angle and the forearm length ratio — and compute workspace volume and singularity loci for each. Once you've found a configuration that meaningfully beats a standard delta in workspace without creating new singularities, design and 3D-print one bond module (a hobby servo + an extended-range ball or flexure joint) and physically measure its actual range of motion versus what the simulation predicted — real joints almost always have less range than the idealized model. Assemble three of these into the hub and benchmark the real workspace against simulation. Only after that should you tackle the harder mechanical-engineering problem: the standardized connector itself, since that's what unlocks the serial-mode reconfiguration and the fault-tolerance story.</w:t>
      </w:r>
    </w:p>
    <w:p w14:paraId="1AF14525" w14:textId="77777777" w:rsidR="00E07345" w:rsidRDefault="00E07345" w:rsidP="00E07345">
      <w:r>
        <w:t>The discriminant is your singularity indicator. In _</w:t>
      </w:r>
      <w:proofErr w:type="spellStart"/>
      <w:r>
        <w:t>angle_yz</w:t>
      </w:r>
      <w:proofErr w:type="spellEnd"/>
      <w:r>
        <w:t xml:space="preserve">, the value d is what determines whether an arm can reach a point at all. d &gt; 0 means reachable with two possible elbow solutions (the formula picks one), d == 0 is exactly the workspace boundary — this is the Type-1 singularity where the arm is fully extended or fully folded and the Jacobian becomes singular. d &lt; 0 means the point is geometrically unreachable for that arm regardless of actuator angle. </w:t>
      </w:r>
      <w:proofErr w:type="gramStart"/>
      <w:r>
        <w:t>So</w:t>
      </w:r>
      <w:proofErr w:type="gramEnd"/>
      <w:r>
        <w:t xml:space="preserve"> workspace mapping and singularity mapping are the same calculation — you're just asking "where does d cross zero" rather than "where does it go negative."</w:t>
      </w:r>
    </w:p>
    <w:p w14:paraId="34F65ADC" w14:textId="77777777" w:rsidR="00E07345" w:rsidRDefault="00E07345" w:rsidP="00E07345">
      <w:r>
        <w:t xml:space="preserve">Why the telescoping result was modest in the example (89.5% → 92.6%). That's actually informative: in this geometry, most of the sampled box was already reachable, so telescoping mainly helps near the corners/edges of the box where the fixed-length arms were running out of reach. If you shrink the bounding box's </w:t>
      </w:r>
      <w:proofErr w:type="spellStart"/>
      <w:r>
        <w:t>xy</w:t>
      </w:r>
      <w:proofErr w:type="spellEnd"/>
      <w:r>
        <w:t>-extent relative to its z-depth (i.e., test a tall, narrow workspace), you'll see telescoping make a much bigger relative difference — that's the regime where it's most useful (reaching deep into a bin, for instance).</w:t>
      </w:r>
    </w:p>
    <w:p w14:paraId="6A086929" w14:textId="77777777" w:rsidR="00E07345" w:rsidRDefault="00E07345" w:rsidP="00E07345">
      <w:r>
        <w:lastRenderedPageBreak/>
        <w:t xml:space="preserve">On the 3-RSS variant — I'd actually steer you away from it as your primary configuration, and here's the honest reason: with the parallelogram removed, the platform's orientation is no longer constrained to match the base, so for a given set of three actuator angles the platform has residual unconstrained rotational freedom. A 3-RSS mechanism with only 3 actuated joints is therefore not a fully-determined positioning device on its own — its end-effector pose depends on more than just the actuator angles, which means you can't get a clean closed-form IK like the one above. To make it fully determined you either need 6 legs (a Stewart-platform/hexapod, 6-RSS, giving full 6-DOF </w:t>
      </w:r>
      <w:proofErr w:type="spellStart"/>
      <w:r>
        <w:t>position+orientation</w:t>
      </w:r>
      <w:proofErr w:type="spellEnd"/>
      <w:r>
        <w:t>), or you keep it at 3 legs but accept that 3 of the 6 platform DOF are passively determined by external constraints (gravity, a guide rail, contact with a surface).</w:t>
      </w:r>
    </w:p>
    <w:p w14:paraId="5FB72F6C" w14:textId="77777777" w:rsidR="00E07345" w:rsidRDefault="00E07345" w:rsidP="00E07345">
      <w:r>
        <w:t>Given your stated objective 3 — easy kinematics, no singularity surprises — I'd treat the variable-forearm-length delta above as your primary "default" configuration (it's a small, well-understood modification of a mechanism whose singularity structure is fully mapped in the literature), and treat any 3-RSS or fully-spherical-jointed reconfiguration as an optional mode you switch into deliberately for specific tasks, with its own separately-validated workspace map — not as the everyday operating mode.</w:t>
      </w:r>
    </w:p>
    <w:p w14:paraId="6645C695" w14:textId="11A320CC" w:rsidR="00D03A5B" w:rsidRDefault="00E07345" w:rsidP="00E07345">
      <w:r>
        <w:t xml:space="preserve">For your next step, I'd suggest plugging your actual intended dimensions (base size, platform size, link lengths, expected payload envelope) into </w:t>
      </w:r>
      <w:proofErr w:type="spellStart"/>
      <w:r>
        <w:t>workspace_</w:t>
      </w:r>
      <w:proofErr w:type="gramStart"/>
      <w:r>
        <w:t>fraction</w:t>
      </w:r>
      <w:proofErr w:type="spellEnd"/>
      <w:r>
        <w:t>(</w:t>
      </w:r>
      <w:proofErr w:type="gramEnd"/>
      <w:r>
        <w:t>) and sweeping rf/re ratios — the classic delta literature suggests re ≈ 1.5–2.5 × rf tends to give the best workspace-to-footprint ratio,</w:t>
      </w:r>
    </w:p>
    <w:sectPr w:rsidR="00D03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97"/>
    <w:rsid w:val="004A1B73"/>
    <w:rsid w:val="00A44937"/>
    <w:rsid w:val="00D03A5B"/>
    <w:rsid w:val="00DB512D"/>
    <w:rsid w:val="00DF3B97"/>
    <w:rsid w:val="00E07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E3229E-11E5-4822-AA29-7629183D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97"/>
    <w:rPr>
      <w:rFonts w:eastAsiaTheme="majorEastAsia" w:cstheme="majorBidi"/>
      <w:color w:val="272727" w:themeColor="text1" w:themeTint="D8"/>
    </w:rPr>
  </w:style>
  <w:style w:type="paragraph" w:styleId="Title">
    <w:name w:val="Title"/>
    <w:basedOn w:val="Normal"/>
    <w:next w:val="Normal"/>
    <w:link w:val="TitleChar"/>
    <w:uiPriority w:val="10"/>
    <w:qFormat/>
    <w:rsid w:val="00DF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97"/>
    <w:pPr>
      <w:spacing w:before="160"/>
      <w:jc w:val="center"/>
    </w:pPr>
    <w:rPr>
      <w:i/>
      <w:iCs/>
      <w:color w:val="404040" w:themeColor="text1" w:themeTint="BF"/>
    </w:rPr>
  </w:style>
  <w:style w:type="character" w:customStyle="1" w:styleId="QuoteChar">
    <w:name w:val="Quote Char"/>
    <w:basedOn w:val="DefaultParagraphFont"/>
    <w:link w:val="Quote"/>
    <w:uiPriority w:val="29"/>
    <w:rsid w:val="00DF3B97"/>
    <w:rPr>
      <w:i/>
      <w:iCs/>
      <w:color w:val="404040" w:themeColor="text1" w:themeTint="BF"/>
    </w:rPr>
  </w:style>
  <w:style w:type="paragraph" w:styleId="ListParagraph">
    <w:name w:val="List Paragraph"/>
    <w:basedOn w:val="Normal"/>
    <w:uiPriority w:val="34"/>
    <w:qFormat/>
    <w:rsid w:val="00DF3B97"/>
    <w:pPr>
      <w:ind w:left="720"/>
      <w:contextualSpacing/>
    </w:pPr>
  </w:style>
  <w:style w:type="character" w:styleId="IntenseEmphasis">
    <w:name w:val="Intense Emphasis"/>
    <w:basedOn w:val="DefaultParagraphFont"/>
    <w:uiPriority w:val="21"/>
    <w:qFormat/>
    <w:rsid w:val="00DF3B97"/>
    <w:rPr>
      <w:i/>
      <w:iCs/>
      <w:color w:val="0F4761" w:themeColor="accent1" w:themeShade="BF"/>
    </w:rPr>
  </w:style>
  <w:style w:type="paragraph" w:styleId="IntenseQuote">
    <w:name w:val="Intense Quote"/>
    <w:basedOn w:val="Normal"/>
    <w:next w:val="Normal"/>
    <w:link w:val="IntenseQuoteChar"/>
    <w:uiPriority w:val="30"/>
    <w:qFormat/>
    <w:rsid w:val="00D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B97"/>
    <w:rPr>
      <w:i/>
      <w:iCs/>
      <w:color w:val="0F4761" w:themeColor="accent1" w:themeShade="BF"/>
    </w:rPr>
  </w:style>
  <w:style w:type="character" w:styleId="IntenseReference">
    <w:name w:val="Intense Reference"/>
    <w:basedOn w:val="DefaultParagraphFont"/>
    <w:uiPriority w:val="32"/>
    <w:qFormat/>
    <w:rsid w:val="00DF3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Senthil</dc:creator>
  <cp:keywords/>
  <dc:description/>
  <cp:lastModifiedBy>Abinaya Senthil</cp:lastModifiedBy>
  <cp:revision>3</cp:revision>
  <dcterms:created xsi:type="dcterms:W3CDTF">2026-06-15T07:54:00Z</dcterms:created>
  <dcterms:modified xsi:type="dcterms:W3CDTF">2026-06-15T08:53:00Z</dcterms:modified>
</cp:coreProperties>
</file>