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6324F"/>
          <w:sz w:val="40"/>
          <w:szCs w:val="40"/>
        </w:rPr>
        <w:t xml:space="preserve">Algorithm and AI Relevance</w:t>
      </w:r>
    </w:p>
    <w:p>
      <w:pPr>
        <w:spacing w:after="40"/>
        <w:jc w:val="center"/>
      </w:pPr>
      <w:r>
        <w:rPr>
          <w:b/>
          <w:bCs/>
          <w:color w:val="2C5F8A"/>
          <w:sz w:val="25"/>
          <w:szCs w:val="25"/>
        </w:rPr>
        <w:t xml:space="preserve">Bimodal Audio–Visual Fusion with Spatial–Temporal Network Analysis for Early Detection of Red Palm Weevil Infestation</w:t>
      </w:r>
    </w:p>
    <w:p>
      <w:pPr>
        <w:spacing w:after="260"/>
        <w:jc w:val="center"/>
      </w:pPr>
      <w:r>
        <w:rPr>
          <w:i/>
          <w:iCs/>
          <w:color w:val="5A5A5A"/>
          <w:sz w:val="19"/>
          <w:szCs w:val="19"/>
        </w:rPr>
        <w:t xml:space="preserve">Supplementary technical note — methodology screening, algorithm formulation, mathematical steps, and AI-perspective analysis</w:t>
      </w:r>
    </w:p>
    <w:p>
      <w:pPr>
        <w:pBdr>
          <w:top w:val="none" w:color="FFFFFF" w:sz="0"/>
          <w:bottom w:val="none" w:color="FFFFFF" w:sz="0"/>
          <w:left w:val="single" w:color="2E7D32" w:sz="24" w:space="8"/>
          <w:right w:val="none" w:color="FFFFFF" w:sz="0"/>
        </w:pBdr>
        <w:shd w:fill="EAF2E9" w:val="clear"/>
        <w:spacing w:after="220" w:before="160"/>
        <w:ind w:left="215"/>
      </w:pPr>
      <w:r>
        <w:rPr>
          <w:b/>
          <w:bCs/>
          <w:i/>
          <w:iCs/>
          <w:color w:val="1E4620"/>
          <w:sz w:val="21"/>
          <w:szCs w:val="21"/>
        </w:rPr>
        <w:t xml:space="preserve">One-line identification: The algorithm is a bimodal (audio + RGB-image) deep-learning detection-and-fusion pipeline — an attention-augmented CNN/BiGRU audio classifier paired with a YOLO/RetinaNet-family visual object detector, combined by confidence-weighted (or Mamdani fuzzy) decision fusion — extended in this project with a graph-based spatial–temporal propagation layer that turns independent per-tree alerts into an early, farm-level outbreak warning.</w:t>
      </w:r>
    </w:p>
    <w:p>
      <w:pPr>
        <w:spacing w:after="140" w:line="300"/>
        <w:jc w:val="both"/>
      </w:pPr>
      <w:r>
        <w:rPr>
          <w:sz w:val="21"/>
          <w:szCs w:val="21"/>
        </w:rPr>
        <w:t xml:space="preserve">This note isolates and formalises the core algorithm of the proposed system described in the project report (“AI-Enabled Audio–Visual Fusion with Spatial-Temporal Network Analysis for Early Detection of Red Palm Weevil Infestation in Coconut Trees”). Four papers were used as the direct methodological reference set: the YOLOv11-Nano visual-only detector, the RED-BIYO audio-visual fuzzy-fusion framework, the lightweight acoustic FFNN classifier, and COMICS, a fourth base paper (CAB-RetinaNet + PEN-BiGRU + fuzzy fusion) newly added to this review. The note is organised in three parts: Part 0 screens and compares the methodologies of all four papers and justifies the algorithm choice; Part A walks through the chosen algorithm's mathematical steps stage by stage; and Part B analyses it from an AI/ML perspective and presents a modified, formally stated version (Algorithm 2).</w:t>
      </w:r>
    </w:p>
    <w:p>
      <w:pPr>
        <w:pStyle w:val="Heading1"/>
        <w:spacing w:after="140" w:before="320"/>
      </w:pPr>
      <w:r>
        <w:rPr>
          <w:b/>
          <w:bCs/>
          <w:color w:val="16324F"/>
          <w:sz w:val="30"/>
          <w:szCs w:val="30"/>
        </w:rPr>
        <w:t xml:space="preserve">Part 0 — Review and Screening of Reference Methodologies</w:t>
      </w:r>
    </w:p>
    <w:p>
      <w:pPr>
        <w:pStyle w:val="Heading2"/>
        <w:spacing w:after="120" w:before="260"/>
      </w:pPr>
      <w:r>
        <w:rPr>
          <w:b/>
          <w:bCs/>
          <w:color w:val="2C5F8A"/>
          <w:sz w:val="25"/>
          <w:szCs w:val="25"/>
        </w:rPr>
        <w:t xml:space="preserve">0.1  Papers screened</w:t>
      </w:r>
    </w:p>
    <w:p>
      <w:pPr>
        <w:spacing w:after="140" w:line="300"/>
        <w:jc w:val="both"/>
      </w:pPr>
      <w:r>
        <w:rPr>
          <w:sz w:val="21"/>
          <w:szCs w:val="21"/>
        </w:rPr>
        <w:t xml:space="preserve">Four papers were screened for their sensing modality, model architecture, fusion strategy, and reported performance, to identify which design elements are worth carrying into the proposed algorithm and which gaps remain open.</w:t>
      </w:r>
    </w:p>
    <w:tbl>
      <w:tblPr>
        <w:tblW w:type="dxa" w:w="10150"/>
        <w:tblBorders>
          <w:top w:val="single" w:color="AAB6C2" w:sz="4"/>
          <w:left w:val="single" w:color="AAB6C2" w:sz="4"/>
          <w:bottom w:val="single" w:color="AAB6C2" w:sz="4"/>
          <w:right w:val="single" w:color="AAB6C2" w:sz="4"/>
          <w:insideH w:val="single" w:color="D2D8DE" w:sz="2"/>
          <w:insideV w:val="single" w:color="D2D8DE" w:sz="2"/>
        </w:tblBorders>
      </w:tblPr>
      <w:tblGrid>
        <w:gridCol w:w="100"/>
        <w:gridCol w:w="100"/>
        <w:gridCol w:w="100"/>
        <w:gridCol w:w="100"/>
        <w:gridCol w:w="100"/>
        <w:gridCol w:w="100"/>
        <w:gridCol w:w="100"/>
      </w:tblGrid>
      <w:tr>
        <w:trPr>
          <w:tblHeader/>
        </w:trPr>
        <w:tc>
          <w:tcPr>
            <w:tcW w:type="dxa" w:w="1500"/>
            <w:shd w:fill="1E4E79" w:val="clear"/>
            <w:tcMar>
              <w:top w:type="dxa" w:w="80"/>
              <w:left w:type="dxa" w:w="110"/>
              <w:bottom w:type="dxa" w:w="80"/>
              <w:right w:type="dxa" w:w="110"/>
            </w:tcMar>
          </w:tcPr>
          <w:p>
            <w:r>
              <w:rPr>
                <w:b/>
                <w:bCs/>
                <w:color w:val="FFFFFF"/>
                <w:sz w:val="17"/>
                <w:szCs w:val="17"/>
              </w:rPr>
              <w:t xml:space="preserve">Paper</w:t>
            </w:r>
          </w:p>
        </w:tc>
        <w:tc>
          <w:tcPr>
            <w:tcW w:type="dxa" w:w="1250"/>
            <w:shd w:fill="1E4E79" w:val="clear"/>
            <w:tcMar>
              <w:top w:type="dxa" w:w="80"/>
              <w:left w:type="dxa" w:w="110"/>
              <w:bottom w:type="dxa" w:w="80"/>
              <w:right w:type="dxa" w:w="110"/>
            </w:tcMar>
          </w:tcPr>
          <w:p>
            <w:r>
              <w:rPr>
                <w:b/>
                <w:bCs/>
                <w:color w:val="FFFFFF"/>
                <w:sz w:val="17"/>
                <w:szCs w:val="17"/>
              </w:rPr>
              <w:t xml:space="preserve">Modality / Sensors</w:t>
            </w:r>
          </w:p>
        </w:tc>
        <w:tc>
          <w:tcPr>
            <w:tcW w:type="dxa" w:w="1550"/>
            <w:shd w:fill="1E4E79" w:val="clear"/>
            <w:tcMar>
              <w:top w:type="dxa" w:w="80"/>
              <w:left w:type="dxa" w:w="110"/>
              <w:bottom w:type="dxa" w:w="80"/>
              <w:right w:type="dxa" w:w="110"/>
            </w:tcMar>
          </w:tcPr>
          <w:p>
            <w:r>
              <w:rPr>
                <w:b/>
                <w:bCs/>
                <w:color w:val="FFFFFF"/>
                <w:sz w:val="17"/>
                <w:szCs w:val="17"/>
              </w:rPr>
              <w:t xml:space="preserve">Visual model</w:t>
            </w:r>
          </w:p>
        </w:tc>
        <w:tc>
          <w:tcPr>
            <w:tcW w:type="dxa" w:w="1450"/>
            <w:shd w:fill="1E4E79" w:val="clear"/>
            <w:tcMar>
              <w:top w:type="dxa" w:w="80"/>
              <w:left w:type="dxa" w:w="110"/>
              <w:bottom w:type="dxa" w:w="80"/>
              <w:right w:type="dxa" w:w="110"/>
            </w:tcMar>
          </w:tcPr>
          <w:p>
            <w:r>
              <w:rPr>
                <w:b/>
                <w:bCs/>
                <w:color w:val="FFFFFF"/>
                <w:sz w:val="17"/>
                <w:szCs w:val="17"/>
              </w:rPr>
              <w:t xml:space="preserve">Audio model</w:t>
            </w:r>
          </w:p>
        </w:tc>
        <w:tc>
          <w:tcPr>
            <w:tcW w:type="dxa" w:w="1150"/>
            <w:shd w:fill="1E4E79" w:val="clear"/>
            <w:tcMar>
              <w:top w:type="dxa" w:w="80"/>
              <w:left w:type="dxa" w:w="110"/>
              <w:bottom w:type="dxa" w:w="80"/>
              <w:right w:type="dxa" w:w="110"/>
            </w:tcMar>
          </w:tcPr>
          <w:p>
            <w:r>
              <w:rPr>
                <w:b/>
                <w:bCs/>
                <w:color w:val="FFFFFF"/>
                <w:sz w:val="17"/>
                <w:szCs w:val="17"/>
              </w:rPr>
              <w:t xml:space="preserve">Fusion</w:t>
            </w:r>
          </w:p>
        </w:tc>
        <w:tc>
          <w:tcPr>
            <w:tcW w:type="dxa" w:w="1500"/>
            <w:shd w:fill="1E4E79" w:val="clear"/>
            <w:tcMar>
              <w:top w:type="dxa" w:w="80"/>
              <w:left w:type="dxa" w:w="110"/>
              <w:bottom w:type="dxa" w:w="80"/>
              <w:right w:type="dxa" w:w="110"/>
            </w:tcMar>
          </w:tcPr>
          <w:p>
            <w:r>
              <w:rPr>
                <w:b/>
                <w:bCs/>
                <w:color w:val="FFFFFF"/>
                <w:sz w:val="17"/>
                <w:szCs w:val="17"/>
              </w:rPr>
              <w:t xml:space="preserve">Reported ACC / key figure</w:t>
            </w:r>
          </w:p>
        </w:tc>
        <w:tc>
          <w:tcPr>
            <w:tcW w:type="dxa" w:w="1750"/>
            <w:shd w:fill="1E4E79" w:val="clear"/>
            <w:tcMar>
              <w:top w:type="dxa" w:w="80"/>
              <w:left w:type="dxa" w:w="110"/>
              <w:bottom w:type="dxa" w:w="80"/>
              <w:right w:type="dxa" w:w="110"/>
            </w:tcMar>
          </w:tcPr>
          <w:p>
            <w:r>
              <w:rPr>
                <w:b/>
                <w:bCs/>
                <w:color w:val="FFFFFF"/>
                <w:sz w:val="17"/>
                <w:szCs w:val="17"/>
              </w:rPr>
              <w:t xml:space="preserve">Key limitation</w:t>
            </w:r>
          </w:p>
        </w:tc>
      </w:tr>
      <w:tr>
        <w:tc>
          <w:tcPr>
            <w:tcW w:type="dxa" w:w="1500"/>
            <w:shd w:fill="F4F7FB" w:val="clear"/>
            <w:tcMar>
              <w:top w:type="dxa" w:w="80"/>
              <w:left w:type="dxa" w:w="110"/>
              <w:bottom w:type="dxa" w:w="80"/>
              <w:right w:type="dxa" w:w="110"/>
            </w:tcMar>
          </w:tcPr>
          <w:p>
            <w:r>
              <w:rPr>
                <w:b w:val="false"/>
                <w:bCs w:val="false"/>
                <w:color w:val="1E2A38"/>
                <w:sz w:val="17"/>
                <w:szCs w:val="17"/>
              </w:rPr>
              <w:t xml:space="preserve">YOLOv11-Nano
(Sarveshwaran B. et al., DELCON 2025)</w:t>
            </w:r>
          </w:p>
        </w:tc>
        <w:tc>
          <w:tcPr>
            <w:tcW w:type="dxa" w:w="1250"/>
            <w:shd w:fill="F4F7FB" w:val="clear"/>
            <w:tcMar>
              <w:top w:type="dxa" w:w="80"/>
              <w:left w:type="dxa" w:w="110"/>
              <w:bottom w:type="dxa" w:w="80"/>
              <w:right w:type="dxa" w:w="110"/>
            </w:tcMar>
          </w:tcPr>
          <w:p>
            <w:r>
              <w:rPr>
                <w:b w:val="false"/>
                <w:bCs w:val="false"/>
                <w:color w:val="1E2A38"/>
                <w:sz w:val="17"/>
                <w:szCs w:val="17"/>
              </w:rPr>
              <w:t xml:space="preserve">Visual only (trunk imagery)</w:t>
            </w:r>
          </w:p>
        </w:tc>
        <w:tc>
          <w:tcPr>
            <w:tcW w:type="dxa" w:w="1550"/>
            <w:shd w:fill="F4F7FB" w:val="clear"/>
            <w:tcMar>
              <w:top w:type="dxa" w:w="80"/>
              <w:left w:type="dxa" w:w="110"/>
              <w:bottom w:type="dxa" w:w="80"/>
              <w:right w:type="dxa" w:w="110"/>
            </w:tcMar>
          </w:tcPr>
          <w:p>
            <w:r>
              <w:rPr>
                <w:b w:val="false"/>
                <w:bCs w:val="false"/>
                <w:color w:val="1E2A38"/>
                <w:sz w:val="17"/>
                <w:szCs w:val="17"/>
              </w:rPr>
              <w:t xml:space="preserve">YOLOv11-Nano (single-stage detector)</w:t>
            </w:r>
          </w:p>
        </w:tc>
        <w:tc>
          <w:tcPr>
            <w:tcW w:type="dxa" w:w="1450"/>
            <w:shd w:fill="F4F7FB" w:val="clear"/>
            <w:tcMar>
              <w:top w:type="dxa" w:w="80"/>
              <w:left w:type="dxa" w:w="110"/>
              <w:bottom w:type="dxa" w:w="80"/>
              <w:right w:type="dxa" w:w="110"/>
            </w:tcMar>
          </w:tcPr>
          <w:p>
            <w:r>
              <w:rPr>
                <w:b w:val="false"/>
                <w:bCs w:val="false"/>
                <w:color w:val="1E2A38"/>
                <w:sz w:val="17"/>
                <w:szCs w:val="17"/>
              </w:rPr>
              <w:t xml:space="preserve">—</w:t>
            </w:r>
          </w:p>
        </w:tc>
        <w:tc>
          <w:tcPr>
            <w:tcW w:type="dxa" w:w="1150"/>
            <w:shd w:fill="F4F7FB" w:val="clear"/>
            <w:tcMar>
              <w:top w:type="dxa" w:w="80"/>
              <w:left w:type="dxa" w:w="110"/>
              <w:bottom w:type="dxa" w:w="80"/>
              <w:right w:type="dxa" w:w="110"/>
            </w:tcMar>
          </w:tcPr>
          <w:p>
            <w:r>
              <w:rPr>
                <w:b w:val="false"/>
                <w:bCs w:val="false"/>
                <w:color w:val="1E2A38"/>
                <w:sz w:val="17"/>
                <w:szCs w:val="17"/>
              </w:rPr>
              <w:t xml:space="preserve">— (single modality)</w:t>
            </w:r>
          </w:p>
        </w:tc>
        <w:tc>
          <w:tcPr>
            <w:tcW w:type="dxa" w:w="1500"/>
            <w:shd w:fill="F4F7FB" w:val="clear"/>
            <w:tcMar>
              <w:top w:type="dxa" w:w="80"/>
              <w:left w:type="dxa" w:w="110"/>
              <w:bottom w:type="dxa" w:w="80"/>
              <w:right w:type="dxa" w:w="110"/>
            </w:tcMar>
          </w:tcPr>
          <w:p>
            <w:r>
              <w:rPr>
                <w:b w:val="false"/>
                <w:bCs w:val="false"/>
                <w:color w:val="1E2A38"/>
                <w:sz w:val="17"/>
                <w:szCs w:val="17"/>
              </w:rPr>
              <w:t xml:space="preserve">Acc 95.95%, F1 94.67%, but mAP@0.5 only 54%</w:t>
            </w:r>
          </w:p>
        </w:tc>
        <w:tc>
          <w:tcPr>
            <w:tcW w:type="dxa" w:w="1750"/>
            <w:shd w:fill="F4F7FB" w:val="clear"/>
            <w:tcMar>
              <w:top w:type="dxa" w:w="80"/>
              <w:left w:type="dxa" w:w="110"/>
              <w:bottom w:type="dxa" w:w="80"/>
              <w:right w:type="dxa" w:w="110"/>
            </w:tcMar>
          </w:tcPr>
          <w:p>
            <w:r>
              <w:rPr>
                <w:b w:val="false"/>
                <w:bCs w:val="false"/>
                <w:color w:val="1E2A38"/>
                <w:sz w:val="17"/>
                <w:szCs w:val="17"/>
              </w:rPr>
              <w:t xml:space="preserve">Weak localisation (low mAP); no audio channel; no early (pre-visible) detection</w:t>
            </w:r>
          </w:p>
        </w:tc>
      </w:tr>
      <w:tr>
        <w:tc>
          <w:tcPr>
            <w:tcW w:type="dxa" w:w="1500"/>
            <w:shd w:fill="FFFFFF" w:val="clear"/>
            <w:tcMar>
              <w:top w:type="dxa" w:w="80"/>
              <w:left w:type="dxa" w:w="110"/>
              <w:bottom w:type="dxa" w:w="80"/>
              <w:right w:type="dxa" w:w="110"/>
            </w:tcMar>
          </w:tcPr>
          <w:p>
            <w:r>
              <w:rPr>
                <w:b w:val="false"/>
                <w:bCs w:val="false"/>
                <w:color w:val="1E2A38"/>
                <w:sz w:val="17"/>
                <w:szCs w:val="17"/>
              </w:rPr>
              <w:t xml:space="preserve">Acoustic FFNN
(Abinaya S. et al., DELCON 2025)</w:t>
            </w:r>
          </w:p>
        </w:tc>
        <w:tc>
          <w:tcPr>
            <w:tcW w:type="dxa" w:w="1250"/>
            <w:shd w:fill="FFFFFF" w:val="clear"/>
            <w:tcMar>
              <w:top w:type="dxa" w:w="80"/>
              <w:left w:type="dxa" w:w="110"/>
              <w:bottom w:type="dxa" w:w="80"/>
              <w:right w:type="dxa" w:w="110"/>
            </w:tcMar>
          </w:tcPr>
          <w:p>
            <w:r>
              <w:rPr>
                <w:b w:val="false"/>
                <w:bCs w:val="false"/>
                <w:color w:val="1E2A38"/>
                <w:sz w:val="17"/>
                <w:szCs w:val="17"/>
              </w:rPr>
              <w:t xml:space="preserve">Audio only (MFCC + spectral contrast)</w:t>
            </w:r>
          </w:p>
        </w:tc>
        <w:tc>
          <w:tcPr>
            <w:tcW w:type="dxa" w:w="1550"/>
            <w:shd w:fill="FFFFFF" w:val="clear"/>
            <w:tcMar>
              <w:top w:type="dxa" w:w="80"/>
              <w:left w:type="dxa" w:w="110"/>
              <w:bottom w:type="dxa" w:w="80"/>
              <w:right w:type="dxa" w:w="110"/>
            </w:tcMar>
          </w:tcPr>
          <w:p>
            <w:r>
              <w:rPr>
                <w:b w:val="false"/>
                <w:bCs w:val="false"/>
                <w:color w:val="1E2A38"/>
                <w:sz w:val="17"/>
                <w:szCs w:val="17"/>
              </w:rPr>
              <w:t xml:space="preserve">—</w:t>
            </w:r>
          </w:p>
        </w:tc>
        <w:tc>
          <w:tcPr>
            <w:tcW w:type="dxa" w:w="1450"/>
            <w:shd w:fill="FFFFFF" w:val="clear"/>
            <w:tcMar>
              <w:top w:type="dxa" w:w="80"/>
              <w:left w:type="dxa" w:w="110"/>
              <w:bottom w:type="dxa" w:w="80"/>
              <w:right w:type="dxa" w:w="110"/>
            </w:tcMar>
          </w:tcPr>
          <w:p>
            <w:r>
              <w:rPr>
                <w:b w:val="false"/>
                <w:bCs w:val="false"/>
                <w:color w:val="1E2A38"/>
                <w:sz w:val="17"/>
                <w:szCs w:val="17"/>
              </w:rPr>
              <w:t xml:space="preserve">Feed-forward NN (512→256→128→1)</w:t>
            </w:r>
          </w:p>
        </w:tc>
        <w:tc>
          <w:tcPr>
            <w:tcW w:type="dxa" w:w="1150"/>
            <w:shd w:fill="FFFFFF" w:val="clear"/>
            <w:tcMar>
              <w:top w:type="dxa" w:w="80"/>
              <w:left w:type="dxa" w:w="110"/>
              <w:bottom w:type="dxa" w:w="80"/>
              <w:right w:type="dxa" w:w="110"/>
            </w:tcMar>
          </w:tcPr>
          <w:p>
            <w:r>
              <w:rPr>
                <w:b w:val="false"/>
                <w:bCs w:val="false"/>
                <w:color w:val="1E2A38"/>
                <w:sz w:val="17"/>
                <w:szCs w:val="17"/>
              </w:rPr>
              <w:t xml:space="preserve">— (single modality)</w:t>
            </w:r>
          </w:p>
        </w:tc>
        <w:tc>
          <w:tcPr>
            <w:tcW w:type="dxa" w:w="1500"/>
            <w:shd w:fill="FFFFFF" w:val="clear"/>
            <w:tcMar>
              <w:top w:type="dxa" w:w="80"/>
              <w:left w:type="dxa" w:w="110"/>
              <w:bottom w:type="dxa" w:w="80"/>
              <w:right w:type="dxa" w:w="110"/>
            </w:tcMar>
          </w:tcPr>
          <w:p>
            <w:r>
              <w:rPr>
                <w:b w:val="false"/>
                <w:bCs w:val="false"/>
                <w:color w:val="1E2A38"/>
                <w:sz w:val="17"/>
                <w:szCs w:val="17"/>
              </w:rPr>
              <w:t xml:space="preserve">Test acc 85.6%, F1 0.72 (infested class)</w:t>
            </w:r>
          </w:p>
        </w:tc>
        <w:tc>
          <w:tcPr>
            <w:tcW w:type="dxa" w:w="1750"/>
            <w:shd w:fill="FFFFFF" w:val="clear"/>
            <w:tcMar>
              <w:top w:type="dxa" w:w="80"/>
              <w:left w:type="dxa" w:w="110"/>
              <w:bottom w:type="dxa" w:w="80"/>
              <w:right w:type="dxa" w:w="110"/>
            </w:tcMar>
          </w:tcPr>
          <w:p>
            <w:r>
              <w:rPr>
                <w:b w:val="false"/>
                <w:bCs w:val="false"/>
                <w:color w:val="1E2A38"/>
                <w:sz w:val="17"/>
                <w:szCs w:val="17"/>
              </w:rPr>
              <w:t xml:space="preserve">Lower precision/recall than vision branch; noise-sensitive; audio-only</w:t>
            </w:r>
          </w:p>
        </w:tc>
      </w:tr>
      <w:tr>
        <w:tc>
          <w:tcPr>
            <w:tcW w:type="dxa" w:w="1500"/>
            <w:shd w:fill="F4F7FB" w:val="clear"/>
            <w:tcMar>
              <w:top w:type="dxa" w:w="80"/>
              <w:left w:type="dxa" w:w="110"/>
              <w:bottom w:type="dxa" w:w="80"/>
              <w:right w:type="dxa" w:w="110"/>
            </w:tcMar>
          </w:tcPr>
          <w:p>
            <w:r>
              <w:rPr>
                <w:b w:val="false"/>
                <w:bCs w:val="false"/>
                <w:color w:val="1E2A38"/>
                <w:sz w:val="17"/>
                <w:szCs w:val="17"/>
              </w:rPr>
              <w:t xml:space="preserve">RED-BIYO
(Siron Anita Susan T. et al., IJCIS 2026)</w:t>
            </w:r>
          </w:p>
        </w:tc>
        <w:tc>
          <w:tcPr>
            <w:tcW w:type="dxa" w:w="1250"/>
            <w:shd w:fill="F4F7FB" w:val="clear"/>
            <w:tcMar>
              <w:top w:type="dxa" w:w="80"/>
              <w:left w:type="dxa" w:w="110"/>
              <w:bottom w:type="dxa" w:w="80"/>
              <w:right w:type="dxa" w:w="110"/>
            </w:tcMar>
          </w:tcPr>
          <w:p>
            <w:r>
              <w:rPr>
                <w:b w:val="false"/>
                <w:bCs w:val="false"/>
                <w:color w:val="1E2A38"/>
                <w:sz w:val="17"/>
                <w:szCs w:val="17"/>
              </w:rPr>
              <w:t xml:space="preserve">Audio + stem image</w:t>
            </w:r>
          </w:p>
        </w:tc>
        <w:tc>
          <w:tcPr>
            <w:tcW w:type="dxa" w:w="1550"/>
            <w:shd w:fill="F4F7FB" w:val="clear"/>
            <w:tcMar>
              <w:top w:type="dxa" w:w="80"/>
              <w:left w:type="dxa" w:w="110"/>
              <w:bottom w:type="dxa" w:w="80"/>
              <w:right w:type="dxa" w:w="110"/>
            </w:tcMar>
          </w:tcPr>
          <w:p>
            <w:r>
              <w:rPr>
                <w:b w:val="false"/>
                <w:bCs w:val="false"/>
                <w:color w:val="1E2A38"/>
                <w:sz w:val="17"/>
                <w:szCs w:val="17"/>
              </w:rPr>
              <w:t xml:space="preserve">YOLOv9 (ResNeSt + FPN/PAN)</w:t>
            </w:r>
          </w:p>
        </w:tc>
        <w:tc>
          <w:tcPr>
            <w:tcW w:type="dxa" w:w="1450"/>
            <w:shd w:fill="F4F7FB" w:val="clear"/>
            <w:tcMar>
              <w:top w:type="dxa" w:w="80"/>
              <w:left w:type="dxa" w:w="110"/>
              <w:bottom w:type="dxa" w:w="80"/>
              <w:right w:type="dxa" w:w="110"/>
            </w:tcMar>
          </w:tcPr>
          <w:p>
            <w:r>
              <w:rPr>
                <w:b w:val="false"/>
                <w:bCs w:val="false"/>
                <w:color w:val="1E2A38"/>
                <w:sz w:val="17"/>
                <w:szCs w:val="17"/>
              </w:rPr>
              <w:t xml:space="preserve">SCNN-BiGRU (spiking CNN)</w:t>
            </w:r>
          </w:p>
        </w:tc>
        <w:tc>
          <w:tcPr>
            <w:tcW w:type="dxa" w:w="1150"/>
            <w:shd w:fill="F4F7FB" w:val="clear"/>
            <w:tcMar>
              <w:top w:type="dxa" w:w="80"/>
              <w:left w:type="dxa" w:w="110"/>
              <w:bottom w:type="dxa" w:w="80"/>
              <w:right w:type="dxa" w:w="110"/>
            </w:tcMar>
          </w:tcPr>
          <w:p>
            <w:r>
              <w:rPr>
                <w:b w:val="false"/>
                <w:bCs w:val="false"/>
                <w:color w:val="1E2A38"/>
                <w:sz w:val="17"/>
                <w:szCs w:val="17"/>
              </w:rPr>
              <w:t xml:space="preserve">Mamdani fuzzy rules (Gaussian MFs)</w:t>
            </w:r>
          </w:p>
        </w:tc>
        <w:tc>
          <w:tcPr>
            <w:tcW w:type="dxa" w:w="1500"/>
            <w:shd w:fill="F4F7FB" w:val="clear"/>
            <w:tcMar>
              <w:top w:type="dxa" w:w="80"/>
              <w:left w:type="dxa" w:w="110"/>
              <w:bottom w:type="dxa" w:w="80"/>
              <w:right w:type="dxa" w:w="110"/>
            </w:tcMar>
          </w:tcPr>
          <w:p>
            <w:r>
              <w:rPr>
                <w:b w:val="false"/>
                <w:bCs w:val="false"/>
                <w:color w:val="1E2A38"/>
                <w:sz w:val="17"/>
                <w:szCs w:val="17"/>
              </w:rPr>
              <w:t xml:space="preserve">Acc 99.54%, MCC 97.93%</w:t>
            </w:r>
          </w:p>
        </w:tc>
        <w:tc>
          <w:tcPr>
            <w:tcW w:type="dxa" w:w="1750"/>
            <w:shd w:fill="F4F7FB" w:val="clear"/>
            <w:tcMar>
              <w:top w:type="dxa" w:w="80"/>
              <w:left w:type="dxa" w:w="110"/>
              <w:bottom w:type="dxa" w:w="80"/>
              <w:right w:type="dxa" w:w="110"/>
            </w:tcMar>
          </w:tcPr>
          <w:p>
            <w:r>
              <w:rPr>
                <w:b w:val="false"/>
                <w:bCs w:val="false"/>
                <w:color w:val="1E2A38"/>
                <w:sz w:val="17"/>
                <w:szCs w:val="17"/>
              </w:rPr>
              <w:t xml:space="preserve">Per-tree, per-scan only; no spatial/temporal modelling; SCNN adds inference overhead</w:t>
            </w:r>
          </w:p>
        </w:tc>
      </w:tr>
      <w:tr>
        <w:tc>
          <w:tcPr>
            <w:tcW w:type="dxa" w:w="1500"/>
            <w:shd w:fill="FFFFFF" w:val="clear"/>
            <w:tcMar>
              <w:top w:type="dxa" w:w="80"/>
              <w:left w:type="dxa" w:w="110"/>
              <w:bottom w:type="dxa" w:w="80"/>
              <w:right w:type="dxa" w:w="110"/>
            </w:tcMar>
          </w:tcPr>
          <w:p>
            <w:r>
              <w:rPr>
                <w:b w:val="false"/>
                <w:bCs w:val="false"/>
                <w:color w:val="1E2A38"/>
                <w:sz w:val="17"/>
                <w:szCs w:val="17"/>
              </w:rPr>
              <w:t xml:space="preserve">COMICS
(Sundari L. K. S. et al., IEEE Sensors J. 2026) — newly added</w:t>
            </w:r>
          </w:p>
        </w:tc>
        <w:tc>
          <w:tcPr>
            <w:tcW w:type="dxa" w:w="1250"/>
            <w:shd w:fill="FFFFFF" w:val="clear"/>
            <w:tcMar>
              <w:top w:type="dxa" w:w="80"/>
              <w:left w:type="dxa" w:w="110"/>
              <w:bottom w:type="dxa" w:w="80"/>
              <w:right w:type="dxa" w:w="110"/>
            </w:tcMar>
          </w:tcPr>
          <w:p>
            <w:r>
              <w:rPr>
                <w:b w:val="false"/>
                <w:bCs w:val="false"/>
                <w:color w:val="1E2A38"/>
                <w:sz w:val="17"/>
                <w:szCs w:val="17"/>
              </w:rPr>
              <w:t xml:space="preserve">Audio + stem image</w:t>
            </w:r>
          </w:p>
        </w:tc>
        <w:tc>
          <w:tcPr>
            <w:tcW w:type="dxa" w:w="1550"/>
            <w:shd w:fill="FFFFFF" w:val="clear"/>
            <w:tcMar>
              <w:top w:type="dxa" w:w="80"/>
              <w:left w:type="dxa" w:w="110"/>
              <w:bottom w:type="dxa" w:w="80"/>
              <w:right w:type="dxa" w:w="110"/>
            </w:tcMar>
          </w:tcPr>
          <w:p>
            <w:r>
              <w:rPr>
                <w:b w:val="false"/>
                <w:bCs w:val="false"/>
                <w:color w:val="1E2A38"/>
                <w:sz w:val="17"/>
                <w:szCs w:val="17"/>
              </w:rPr>
              <w:t xml:space="preserve">CAB-RetinaNet (ResNeXt + FPN P3–P7 + B-module channel attention)</w:t>
            </w:r>
          </w:p>
        </w:tc>
        <w:tc>
          <w:tcPr>
            <w:tcW w:type="dxa" w:w="1450"/>
            <w:shd w:fill="FFFFFF" w:val="clear"/>
            <w:tcMar>
              <w:top w:type="dxa" w:w="80"/>
              <w:left w:type="dxa" w:w="110"/>
              <w:bottom w:type="dxa" w:w="80"/>
              <w:right w:type="dxa" w:w="110"/>
            </w:tcMar>
          </w:tcPr>
          <w:p>
            <w:r>
              <w:rPr>
                <w:b w:val="false"/>
                <w:bCs w:val="false"/>
                <w:color w:val="1E2A38"/>
                <w:sz w:val="17"/>
                <w:szCs w:val="17"/>
              </w:rPr>
              <w:t xml:space="preserve">PEN-BiGRU (positional encoding + self-attention + BiGRU)</w:t>
            </w:r>
          </w:p>
        </w:tc>
        <w:tc>
          <w:tcPr>
            <w:tcW w:type="dxa" w:w="1150"/>
            <w:shd w:fill="FFFFFF" w:val="clear"/>
            <w:tcMar>
              <w:top w:type="dxa" w:w="80"/>
              <w:left w:type="dxa" w:w="110"/>
              <w:bottom w:type="dxa" w:w="80"/>
              <w:right w:type="dxa" w:w="110"/>
            </w:tcMar>
          </w:tcPr>
          <w:p>
            <w:r>
              <w:rPr>
                <w:b w:val="false"/>
                <w:bCs w:val="false"/>
                <w:color w:val="1E2A38"/>
                <w:sz w:val="17"/>
                <w:szCs w:val="17"/>
              </w:rPr>
              <w:t xml:space="preserve">Mamdani fuzzy rules; real IoT Blynk deployment + battery-life study</w:t>
            </w:r>
          </w:p>
        </w:tc>
        <w:tc>
          <w:tcPr>
            <w:tcW w:type="dxa" w:w="1500"/>
            <w:shd w:fill="FFFFFF" w:val="clear"/>
            <w:tcMar>
              <w:top w:type="dxa" w:w="80"/>
              <w:left w:type="dxa" w:w="110"/>
              <w:bottom w:type="dxa" w:w="80"/>
              <w:right w:type="dxa" w:w="110"/>
            </w:tcMar>
          </w:tcPr>
          <w:p>
            <w:r>
              <w:rPr>
                <w:b w:val="false"/>
                <w:bCs w:val="false"/>
                <w:color w:val="1E2A38"/>
                <w:sz w:val="17"/>
                <w:szCs w:val="17"/>
              </w:rPr>
              <w:t xml:space="preserve">Acc 99.54%, F1 94.87%, validated under rain/wind/machinery noise</w:t>
            </w:r>
          </w:p>
        </w:tc>
        <w:tc>
          <w:tcPr>
            <w:tcW w:type="dxa" w:w="1750"/>
            <w:shd w:fill="FFFFFF" w:val="clear"/>
            <w:tcMar>
              <w:top w:type="dxa" w:w="80"/>
              <w:left w:type="dxa" w:w="110"/>
              <w:bottom w:type="dxa" w:w="80"/>
              <w:right w:type="dxa" w:w="110"/>
            </w:tcMar>
          </w:tcPr>
          <w:p>
            <w:r>
              <w:rPr>
                <w:b w:val="false"/>
                <w:bCs w:val="false"/>
                <w:color w:val="1E2A38"/>
                <w:sz w:val="17"/>
                <w:szCs w:val="17"/>
              </w:rPr>
              <w:t xml:space="preserve">Accuracy drops in heavy rain/snow; still per-tree, per-scan; large-scale real-time feasibility “requires further evaluation” (authors' own words)</w:t>
            </w:r>
          </w:p>
        </w:tc>
      </w:tr>
    </w:tbl>
    <w:p>
      <w:pPr>
        <w:spacing w:after="260" w:before="80"/>
        <w:jc w:val="center"/>
      </w:pPr>
      <w:r>
        <w:rPr>
          <w:i/>
          <w:iCs/>
          <w:color w:val="5A5A5A"/>
          <w:sz w:val="19"/>
          <w:szCs w:val="19"/>
        </w:rPr>
        <w:t xml:space="preserve">Table 0.1 — Screening summary of the four reference methodologies.</w:t>
      </w:r>
    </w:p>
    <w:p>
      <w:pPr>
        <w:pStyle w:val="Heading2"/>
        <w:spacing w:after="120" w:before="260"/>
      </w:pPr>
      <w:r>
        <w:rPr>
          <w:b/>
          <w:bCs/>
          <w:color w:val="2C5F8A"/>
          <w:sz w:val="25"/>
          <w:szCs w:val="25"/>
        </w:rPr>
        <w:t xml:space="preserve">0.2  What the screening shows</w:t>
      </w:r>
    </w:p>
    <w:p>
      <w:pPr>
        <w:pStyle w:val="ListParagraph"/>
        <w:numPr>
          <w:ilvl w:val="0"/>
          <w:numId w:val="1"/>
        </w:numPr>
        <w:spacing w:after="100" w:line="290"/>
      </w:pPr>
      <w:r>
        <w:rPr>
          <w:sz w:val="21"/>
          <w:szCs w:val="21"/>
        </w:rPr>
        <w:t xml:space="preserve">Bimodal beats single-modality on this task, consistently: both fusion papers (RED-BIYO and COMICS) independently reach ~99.5% accuracy, well above the visual-only YOLOv11-Nano (95.95% acc / 54% mAP@0.5) and the audio-only FFNN (85.6%). This is the strongest, most reproducible signal across all four papers and is the primary justification for keeping a bimodal architecture rather than a single sensor.</w:t>
      </w:r>
    </w:p>
    <w:p>
      <w:pPr>
        <w:pStyle w:val="ListParagraph"/>
        <w:numPr>
          <w:ilvl w:val="0"/>
          <w:numId w:val="1"/>
        </w:numPr>
        <w:spacing w:after="100" w:line="290"/>
      </w:pPr>
      <w:r>
        <w:rPr>
          <w:sz w:val="21"/>
          <w:szCs w:val="21"/>
        </w:rPr>
        <w:t xml:space="preserve">Attention mechanisms measurably help both branches. COMICS's CAB-RetinaNet (ResNeXt cardinality grouping + FPN + a channel-attention “B-module”) and PEN-BiGRU (positional encoding + self-attention ahead of the BiGRU) are architectural refinements over RED-BIYO's plainer YOLOv9 and SCNN-BiGRU, and COMICS is the only one of the four papers to report robustness figures under rain, wind, and machinery noise — directly answering the noise-sensitivity weakness flagged in the audio-only FFNN paper.</w:t>
      </w:r>
    </w:p>
    <w:p>
      <w:pPr>
        <w:pStyle w:val="ListParagraph"/>
        <w:numPr>
          <w:ilvl w:val="0"/>
          <w:numId w:val="1"/>
        </w:numPr>
        <w:spacing w:after="100" w:line="290"/>
      </w:pPr>
      <w:r>
        <w:rPr>
          <w:sz w:val="21"/>
          <w:szCs w:val="21"/>
        </w:rPr>
        <w:t xml:space="preserve">Fuzzy (Mamdani) decision fusion is now a twice-validated design choice — both bimodal papers use it — but it is also where both stop: RED-BIYO's Table I and COMICS's Table I fuzzy rule bases both operate on a single tree at a single scan; neither aggregates across trees or across time.</w:t>
      </w:r>
    </w:p>
    <w:p>
      <w:pPr>
        <w:pStyle w:val="ListParagraph"/>
        <w:numPr>
          <w:ilvl w:val="0"/>
          <w:numId w:val="1"/>
        </w:numPr>
        <w:spacing w:after="100" w:line="290"/>
      </w:pPr>
      <w:r>
        <w:rPr>
          <w:sz w:val="21"/>
          <w:szCs w:val="21"/>
        </w:rPr>
        <w:t xml:space="preserve">None of the four papers model spread. Not one performs any cross-tree spatial reasoning or multi-scan temporal smoothing — every reported metric (accuracy, F1, mAP, MCC) is a per-tree, per-scan classification metric. This confirms, across two independent bimodal systems now rather than one, that the farm-level early-warning gap identified in the project report is real and unaddressed in the current literature.</w:t>
      </w:r>
    </w:p>
    <w:p>
      <w:pPr>
        <w:pStyle w:val="ListParagraph"/>
        <w:numPr>
          <w:ilvl w:val="0"/>
          <w:numId w:val="1"/>
        </w:numPr>
        <w:spacing w:after="100" w:line="290"/>
      </w:pPr>
      <w:r>
        <w:rPr>
          <w:sz w:val="21"/>
          <w:szCs w:val="21"/>
        </w:rPr>
        <w:t xml:space="preserve">Edge feasibility is asserted more than proven. COMICS is the only paper with hardware current-draw and battery-life numbers (INMP441 microphone: 122 days on 4000 mAh; ESP32 MCU with audio processing: 5.5 days), which is valuable real deployment data, but even COMICS's authors note real-time, large-scale feasibility “requires further evaluation.” YOLOv11-Nano and RED-BIYO's SCNN-BiGRU were both benchmarked on workstation-class hardware (Core i7 / RTX 3060), not the field-class hardware they are intended for.</w:t>
      </w:r>
    </w:p>
    <w:p>
      <w:pPr>
        <w:pStyle w:val="Heading2"/>
        <w:spacing w:after="120" w:before="260"/>
      </w:pPr>
      <w:r>
        <w:rPr>
          <w:b/>
          <w:bCs/>
          <w:color w:val="2C5F8A"/>
          <w:sz w:val="25"/>
          <w:szCs w:val="25"/>
        </w:rPr>
        <w:t xml:space="preserve">0.3  Why this specific algorithm was selected</w:t>
      </w:r>
    </w:p>
    <w:p>
      <w:pPr>
        <w:spacing w:after="140" w:line="300"/>
        <w:jc w:val="both"/>
      </w:pPr>
      <w:r>
        <w:rPr>
          <w:sz w:val="21"/>
          <w:szCs w:val="21"/>
        </w:rPr>
        <w:t xml:space="preserve">Given the screening above, the proposed algorithm is deliberately not a copy of any single reference paper but a targeted recombination of the elements that survived screening, plus the one layer none of them have:</w:t>
      </w:r>
    </w:p>
    <w:p>
      <w:pPr>
        <w:pStyle w:val="ListParagraph"/>
        <w:numPr>
          <w:ilvl w:val="0"/>
          <w:numId w:val="1"/>
        </w:numPr>
        <w:spacing w:after="100" w:line="290"/>
      </w:pPr>
      <w:r>
        <w:rPr>
          <w:sz w:val="21"/>
          <w:szCs w:val="21"/>
        </w:rPr>
        <w:t xml:space="preserve">Keep the bimodal core (audio + RGB image), because it is the only design choice validated by two independent papers reaching ~99.5% accuracy — dropping either modality reproduces the accuracy loss seen in the single-modality papers (YOLOv11-Nano's low mAP@0.5, or the FFNN's lower F1).</w:t>
      </w:r>
    </w:p>
    <w:p>
      <w:pPr>
        <w:pStyle w:val="ListParagraph"/>
        <w:numPr>
          <w:ilvl w:val="0"/>
          <w:numId w:val="1"/>
        </w:numPr>
        <w:spacing w:after="100" w:line="290"/>
      </w:pPr>
      <w:r>
        <w:rPr>
          <w:sz w:val="21"/>
          <w:szCs w:val="21"/>
        </w:rPr>
        <w:t xml:space="preserve">Make the attention-augmented branches (CAB-RetinaNet-style channel attention for vision; PEN-BiGRU-style positional self-attention for audio) the recommended configuration where compute allows, since COMICS is the only paper to show they also buy measurable noise robustness — while keeping the lighter YOLO-Nano / plain CNN-BiGRU pairing available as a fallback for the most constrained edge hardware, since COMICS itself flags real-time large-scale feasibility as unresolved.</w:t>
      </w:r>
    </w:p>
    <w:p>
      <w:pPr>
        <w:pStyle w:val="ListParagraph"/>
        <w:numPr>
          <w:ilvl w:val="0"/>
          <w:numId w:val="1"/>
        </w:numPr>
        <w:spacing w:after="100" w:line="290"/>
      </w:pPr>
      <w:r>
        <w:rPr>
          <w:sz w:val="21"/>
          <w:szCs w:val="21"/>
        </w:rPr>
        <w:t xml:space="preserve">Keep Mamdani fuzzy fusion as the reference decision layer (it is what both bimodal base papers use and what the IoT Blynk alerting pattern in both was built around), while allowing the simpler confidence-weighted linear fusion as a lower-latency alternative for the edge-first deployment target.</w:t>
      </w:r>
    </w:p>
    <w:p>
      <w:pPr>
        <w:pStyle w:val="ListParagraph"/>
        <w:numPr>
          <w:ilvl w:val="0"/>
          <w:numId w:val="1"/>
        </w:numPr>
        <w:spacing w:after="100" w:line="290"/>
      </w:pPr>
      <w:r>
        <w:rPr>
          <w:sz w:val="21"/>
          <w:szCs w:val="21"/>
        </w:rPr>
        <w:t xml:space="preserve">Add the spatial–temporal graph propagation layer as the project's own contribution, precisely because the screening shows this is the one element present in zero of the four reference papers, despite RPW being a spreading pest — this is what converts four separately-validated per-tree classifiers into a system that can flag an emerging outbreak earlier than any per-tree threshold alone.</w:t>
      </w:r>
    </w:p>
    <w:p>
      <w:pPr>
        <w:spacing w:after="140" w:line="300"/>
        <w:jc w:val="both"/>
      </w:pPr>
      <w:r>
        <w:rPr>
          <w:sz w:val="21"/>
          <w:szCs w:val="21"/>
        </w:rPr>
        <w:t xml:space="preserve">Section A below formalises this selected algorithm; Section B revisits the same screening from an AI-methods standpoint and states the fully modified algorithm (Algorithm 2).</w:t>
      </w:r>
    </w:p>
    <w:p>
      <w:r>
        <w:br w:type="page"/>
      </w:r>
    </w:p>
    <w:p>
      <w:pPr>
        <w:pStyle w:val="Heading1"/>
        <w:spacing w:after="140" w:before="320"/>
      </w:pPr>
      <w:r>
        <w:rPr>
          <w:b/>
          <w:bCs/>
          <w:color w:val="16324F"/>
          <w:sz w:val="30"/>
          <w:szCs w:val="30"/>
        </w:rPr>
        <w:t xml:space="preserve">Part A — Mathematical Steps in the Algorithm</w:t>
      </w:r>
    </w:p>
    <w:p>
      <w:pPr>
        <w:spacing w:after="140" w:line="300"/>
        <w:jc w:val="both"/>
      </w:pPr>
      <w:r>
        <w:rPr>
          <w:sz w:val="21"/>
          <w:szCs w:val="21"/>
        </w:rPr>
        <w:t xml:space="preserve">The proposed pipeline extends the design patterns validated by the screening in Part 0 — the audio–visual fuzzy-fusion pipeline shared by RED-BIYO and COMICS, the lightweight spectrogram-classifier pipeline of the acoustic FFNN paper, and the attention mechanisms (CAB-RetinaNet, PEN-BiGRU) newly confirmed by COMICS — together with a Nano-scale YOLO option for constrained hardware. It adds a spatial–temporal network-analysis layer that none of the four screened papers has. Figure A.1 gives the full flow; the steps below walk through each block's mathematics.</w:t>
      </w:r>
    </w:p>
    <w:p>
      <w:pPr>
        <w:pStyle w:val="Heading2"/>
        <w:spacing w:after="120" w:before="260"/>
      </w:pPr>
      <w:r>
        <w:rPr>
          <w:b/>
          <w:bCs/>
          <w:color w:val="2C5F8A"/>
          <w:sz w:val="25"/>
          <w:szCs w:val="25"/>
        </w:rPr>
        <w:t xml:space="preserve">A.1  Flowchart</w:t>
      </w:r>
    </w:p>
    <w:p>
      <w:pPr>
        <w:spacing w:after="40" w:before="100"/>
        <w:jc w:val="center"/>
      </w:pPr>
      <w:r>
        <w:drawing>
          <wp:inline distT="0" distB="0" distL="0" distR="0">
            <wp:extent cx="44767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6286500"/>
                    </a:xfrm>
                    <a:prstGeom prst="rect">
                      <a:avLst/>
                    </a:prstGeom>
                  </pic:spPr>
                </pic:pic>
              </a:graphicData>
            </a:graphic>
          </wp:inline>
        </w:drawing>
      </w:r>
    </w:p>
    <w:p>
      <w:pPr>
        <w:spacing w:after="260" w:before="80"/>
        <w:jc w:val="center"/>
      </w:pPr>
      <w:r>
        <w:rPr>
          <w:i/>
          <w:iCs/>
          <w:color w:val="5A5A5A"/>
          <w:sz w:val="19"/>
          <w:szCs w:val="19"/>
        </w:rPr>
        <w:t xml:space="preserve">Figure A.1 — Algorithm 1: end-to-end flow from dual-sensor acquisition to farm-level alert.</w:t>
      </w:r>
    </w:p>
    <w:p>
      <w:pPr>
        <w:pStyle w:val="Heading2"/>
        <w:spacing w:after="120" w:before="260"/>
      </w:pPr>
      <w:r>
        <w:rPr>
          <w:b/>
          <w:bCs/>
          <w:color w:val="2C5F8A"/>
          <w:sz w:val="25"/>
          <w:szCs w:val="25"/>
        </w:rPr>
        <w:t xml:space="preserve">A.2  Step-by-step mathematical walkthrough</w:t>
      </w:r>
    </w:p>
    <w:p>
      <w:pPr>
        <w:pStyle w:val="Heading3"/>
        <w:spacing w:after="90" w:before="200"/>
      </w:pPr>
      <w:r>
        <w:rPr>
          <w:b/>
          <w:bCs/>
          <w:color w:val="16324F"/>
          <w:sz w:val="22"/>
          <w:szCs w:val="22"/>
        </w:rPr>
        <w:t xml:space="preserve">Step 1 — Dual-sensor data acquisition</w:t>
      </w:r>
    </w:p>
    <w:p>
      <w:pPr>
        <w:spacing w:after="140" w:line="300"/>
        <w:jc w:val="both"/>
      </w:pPr>
      <w:r>
        <w:rPr>
          <w:sz w:val="21"/>
          <w:szCs w:val="21"/>
        </w:rPr>
        <w:t xml:space="preserve">Each monitored tree i produces two raw streams at time t: an acoustic signal x_i(n) captured by a trunk-mounted piezo/MEMS microphone (an INMP441 digital microphone, per the COMICS hardware design, embedded ~30 cm into the stem), and an RGB image I_i captured by a fixed, handheld, or UAV-mounted camera (mounted at a 45° angle, ~1.5 m height, per COMICS's installation guidance). No thermal channel is captured (dropped from the original three-modality plan on feasibility grounds).</w:t>
      </w:r>
    </w:p>
    <w:p>
      <w:pPr>
        <w:pStyle w:val="Heading3"/>
        <w:spacing w:after="90" w:before="200"/>
      </w:pPr>
      <w:r>
        <w:rPr>
          <w:b/>
          <w:bCs/>
          <w:color w:val="16324F"/>
          <w:sz w:val="22"/>
          <w:szCs w:val="22"/>
        </w:rPr>
        <w:t xml:space="preserve">Step 2a — Audio pre-processing (framing, windowing, STFT)</w:t>
      </w:r>
    </w:p>
    <w:p>
      <w:pPr>
        <w:spacing w:after="140" w:line="300"/>
        <w:jc w:val="both"/>
      </w:pPr>
      <w:r>
        <w:rPr>
          <w:sz w:val="21"/>
          <w:szCs w:val="21"/>
        </w:rPr>
        <w:t xml:space="preserve">The raw signal is split into overlapping frames and multiplied by a Hamming window to reduce spectral leakage:</w:t>
      </w:r>
    </w:p>
    <w:p>
      <w:pPr>
        <w:shd w:fill="F4F6F8" w:val="clear"/>
        <w:spacing w:after="60" w:before="60"/>
        <w:ind w:left="504"/>
      </w:pPr>
      <w:r>
        <w:rPr>
          <w:rFonts w:ascii="Consolas" w:cs="Consolas" w:eastAsia="Consolas" w:hAnsi="Consolas"/>
          <w:color w:val="1E2A38"/>
          <w:sz w:val="21"/>
          <w:szCs w:val="21"/>
        </w:rPr>
        <w:t xml:space="preserve">x_w(n) = x(n)·w(n),  0 ≤ n ≤ N-1</w:t>
      </w:r>
    </w:p>
    <w:p>
      <w:pPr>
        <w:shd w:fill="F4F6F8" w:val="clear"/>
        <w:spacing w:after="60" w:before="60"/>
        <w:ind w:left="504"/>
      </w:pPr>
      <w:r>
        <w:rPr>
          <w:rFonts w:ascii="Consolas" w:cs="Consolas" w:eastAsia="Consolas" w:hAnsi="Consolas"/>
          <w:color w:val="1E2A38"/>
          <w:sz w:val="21"/>
          <w:szCs w:val="21"/>
        </w:rPr>
        <w:t xml:space="preserve">w(n) = 0.54 − 0.46·cos(2πn / (N−1))            ...(Eq. 1)</w:t>
      </w:r>
    </w:p>
    <w:p>
      <w:pPr>
        <w:spacing w:after="140" w:line="300"/>
        <w:jc w:val="both"/>
      </w:pPr>
      <w:r>
        <w:rPr>
          <w:sz w:val="21"/>
          <w:szCs w:val="21"/>
        </w:rPr>
        <w:t xml:space="preserve">A 512-point Short-Time Fourier Transform converts each windowed frame into a time–frequency representation, and the magnitude is taken to form the spectrogram:</w:t>
      </w:r>
    </w:p>
    <w:p>
      <w:pPr>
        <w:shd w:fill="F4F6F8" w:val="clear"/>
        <w:spacing w:after="60" w:before="60"/>
        <w:ind w:left="504"/>
      </w:pPr>
      <w:r>
        <w:rPr>
          <w:rFonts w:ascii="Consolas" w:cs="Consolas" w:eastAsia="Consolas" w:hAnsi="Consolas"/>
          <w:color w:val="1E2A38"/>
          <w:sz w:val="21"/>
          <w:szCs w:val="21"/>
        </w:rPr>
        <w:t xml:space="preserve">STFT(m,k) = Σ_{n=0}^{N-1} x_w(n)·e^{-j2πkn/N}</w:t>
      </w:r>
    </w:p>
    <w:p>
      <w:pPr>
        <w:shd w:fill="F4F6F8" w:val="clear"/>
        <w:spacing w:after="60" w:before="60"/>
        <w:ind w:left="504"/>
      </w:pPr>
      <w:r>
        <w:rPr>
          <w:rFonts w:ascii="Consolas" w:cs="Consolas" w:eastAsia="Consolas" w:hAnsi="Consolas"/>
          <w:color w:val="1E2A38"/>
          <w:sz w:val="21"/>
          <w:szCs w:val="21"/>
        </w:rPr>
        <w:t xml:space="preserve">S(m,k) = |STFT(m,k)|                              ...(Eq. 2)</w:t>
      </w:r>
    </w:p>
    <w:p>
      <w:pPr>
        <w:spacing w:after="140" w:line="300"/>
        <w:jc w:val="both"/>
      </w:pPr>
      <w:r>
        <w:rPr>
          <w:sz w:val="21"/>
          <w:szCs w:val="21"/>
        </w:rPr>
        <w:t xml:space="preserve">Min–max normalisation maps the spectrogram to [0,1] so that amplitude differences across recordings do not bias the classifier:</w:t>
      </w:r>
    </w:p>
    <w:p>
      <w:pPr>
        <w:shd w:fill="F4F6F8" w:val="clear"/>
        <w:spacing w:after="60" w:before="60"/>
        <w:ind w:left="504"/>
      </w:pPr>
      <w:r>
        <w:rPr>
          <w:rFonts w:ascii="Consolas" w:cs="Consolas" w:eastAsia="Consolas" w:hAnsi="Consolas"/>
          <w:color w:val="1E2A38"/>
          <w:sz w:val="21"/>
          <w:szCs w:val="21"/>
        </w:rPr>
        <w:t xml:space="preserve">S_norm(m,k) = (S(m,k) − S_min) / (S_max − S_min)        ...(Eq. 3)</w:t>
      </w:r>
    </w:p>
    <w:p>
      <w:pPr>
        <w:pStyle w:val="Heading3"/>
        <w:spacing w:after="90" w:before="200"/>
      </w:pPr>
      <w:r>
        <w:rPr>
          <w:b/>
          <w:bCs/>
          <w:color w:val="16324F"/>
          <w:sz w:val="22"/>
          <w:szCs w:val="22"/>
        </w:rPr>
        <w:t xml:space="preserve">Step 3a — Audio classification: spatial + temporal (+ attention) feature learning → P_audio</w:t>
      </w:r>
    </w:p>
    <w:p>
      <w:pPr>
        <w:spacing w:after="140" w:line="300"/>
        <w:jc w:val="both"/>
      </w:pPr>
      <w:r>
        <w:rPr>
          <w:sz w:val="21"/>
          <w:szCs w:val="21"/>
        </w:rPr>
        <w:t xml:space="preserve">A convolutional front end extracts spatial–frequency patterns from S_norm, and a recurrent layer (Bidirectional GRU) captures how those patterns evolve across frames. At each recurrent step r the BiGRU computes reset gate b_r, update gate d_r, candidate state, and final hidden state:</w:t>
      </w:r>
    </w:p>
    <w:p>
      <w:pPr>
        <w:shd w:fill="F4F6F8" w:val="clear"/>
        <w:spacing w:after="60" w:before="60"/>
        <w:ind w:left="504"/>
      </w:pPr>
      <w:r>
        <w:rPr>
          <w:rFonts w:ascii="Consolas" w:cs="Consolas" w:eastAsia="Consolas" w:hAnsi="Consolas"/>
          <w:color w:val="1E2A38"/>
          <w:sz w:val="21"/>
          <w:szCs w:val="21"/>
        </w:rPr>
        <w:t xml:space="preserve">b_r = σ(Z_b p_r + J_b q_{r-1} + f_b)</w:t>
      </w:r>
    </w:p>
    <w:p>
      <w:pPr>
        <w:shd w:fill="F4F6F8" w:val="clear"/>
        <w:spacing w:after="60" w:before="60"/>
        <w:ind w:left="504"/>
      </w:pPr>
      <w:r>
        <w:rPr>
          <w:rFonts w:ascii="Consolas" w:cs="Consolas" w:eastAsia="Consolas" w:hAnsi="Consolas"/>
          <w:color w:val="1E2A38"/>
          <w:sz w:val="21"/>
          <w:szCs w:val="21"/>
        </w:rPr>
        <w:t xml:space="preserve">d_r = σ(Z_d p_r + J_d q_{r-1} + f_d)</w:t>
      </w:r>
    </w:p>
    <w:p>
      <w:pPr>
        <w:shd w:fill="F4F6F8" w:val="clear"/>
        <w:spacing w:after="60" w:before="60"/>
        <w:ind w:left="504"/>
      </w:pPr>
      <w:r>
        <w:rPr>
          <w:rFonts w:ascii="Consolas" w:cs="Consolas" w:eastAsia="Consolas" w:hAnsi="Consolas"/>
          <w:color w:val="1E2A38"/>
          <w:sz w:val="21"/>
          <w:szCs w:val="21"/>
        </w:rPr>
        <w:t xml:space="preserve">q̃_r = tanh(Z_q p_r + J_q (q_{r-1}⊗b_r) + f_r)</w:t>
      </w:r>
    </w:p>
    <w:p>
      <w:pPr>
        <w:shd w:fill="F4F6F8" w:val="clear"/>
        <w:spacing w:after="60" w:before="60"/>
        <w:ind w:left="504"/>
      </w:pPr>
      <w:r>
        <w:rPr>
          <w:rFonts w:ascii="Consolas" w:cs="Consolas" w:eastAsia="Consolas" w:hAnsi="Consolas"/>
          <w:color w:val="1E2A38"/>
          <w:sz w:val="21"/>
          <w:szCs w:val="21"/>
        </w:rPr>
        <w:t xml:space="preserve">q_r = (1-d_r)⊗q_{r-1} + d_r⊗q̃_r                    ...(Eq. 4–7)</w:t>
      </w:r>
    </w:p>
    <w:p>
      <w:pPr>
        <w:spacing w:after="140" w:line="300"/>
        <w:jc w:val="both"/>
      </w:pPr>
      <w:r>
        <w:rPr>
          <w:sz w:val="21"/>
          <w:szCs w:val="21"/>
        </w:rPr>
        <w:t xml:space="preserve">Forward and backward hidden states are concatenated (h_r = h⃒_r ⊕ h←_r). In the attention-augmented variant validated by COMICS (PEN-BiGRU), a positional encoding is added to the input sequence before the BiGRU so temporal order is preserved, and a self-attention layer re-weights the BiGRU's output so that frames carrying RPW-specific frequency content are emphasised over frames dominated by wind, rain, or machinery noise:</w:t>
      </w:r>
    </w:p>
    <w:p>
      <w:pPr>
        <w:shd w:fill="F4F6F8" w:val="clear"/>
        <w:spacing w:after="60" w:before="60"/>
        <w:ind w:left="504"/>
      </w:pPr>
      <w:r>
        <w:rPr>
          <w:rFonts w:ascii="Consolas" w:cs="Consolas" w:eastAsia="Consolas" w:hAnsi="Consolas"/>
          <w:color w:val="1E2A38"/>
          <w:sz w:val="21"/>
          <w:szCs w:val="21"/>
        </w:rPr>
        <w:t xml:space="preserve">Attention(Q,K,V) = Softmax( Q·K^T / √d_k ) · V              ...(Eq. 8)</w:t>
      </w:r>
    </w:p>
    <w:p>
      <w:pPr>
        <w:spacing w:after="140" w:line="300"/>
        <w:jc w:val="both"/>
      </w:pPr>
      <w:r>
        <w:rPr>
          <w:sz w:val="21"/>
          <w:szCs w:val="21"/>
        </w:rPr>
        <w:t xml:space="preserve">where Q, K, V are the query/key/value projections of the BiGRU output and d_k scales the dot product to prevent large values. The attended output is passed through a fully connected layer with a sigmoid, giving the audio-branch infestation probability P_audio ∈ [0,1]. For the most constrained edge-deployment targets, PEN-BiGRU is replaceable by the plain CNN-BiGRU above, or by the simpler feed-forward network (512→256→128→1 neurons, ReLU/sigmoid) validated in the acoustic FFNN base paper on MFCC + spectral-contrast features, trading some noise-robustness for lower latency.</w:t>
      </w:r>
    </w:p>
    <w:p>
      <w:pPr>
        <w:pStyle w:val="Heading3"/>
        <w:spacing w:after="90" w:before="200"/>
      </w:pPr>
      <w:r>
        <w:rPr>
          <w:b/>
          <w:bCs/>
          <w:color w:val="16324F"/>
          <w:sz w:val="22"/>
          <w:szCs w:val="22"/>
        </w:rPr>
        <w:t xml:space="preserve">Step 2b — Image pre-processing (Savitzky–Golay denoising)</w:t>
      </w:r>
    </w:p>
    <w:p>
      <w:pPr>
        <w:spacing w:after="140" w:line="300"/>
        <w:jc w:val="both"/>
      </w:pPr>
      <w:r>
        <w:rPr>
          <w:sz w:val="21"/>
          <w:szCs w:val="21"/>
        </w:rPr>
        <w:t xml:space="preserve">Each RGB stem image, represented as intensity values Y = {Y_1...Y_n}, is denoised with a Savitzky–Golay (SavG) filter, which approximates each point Y_i as a weighted sum of its neighbours using m convolution coefficients C_k:</w:t>
      </w:r>
    </w:p>
    <w:p>
      <w:pPr>
        <w:shd w:fill="F4F6F8" w:val="clear"/>
        <w:spacing w:after="60" w:before="60"/>
        <w:ind w:left="504"/>
      </w:pPr>
      <w:r>
        <w:rPr>
          <w:rFonts w:ascii="Consolas" w:cs="Consolas" w:eastAsia="Consolas" w:hAnsi="Consolas"/>
          <w:color w:val="1E2A38"/>
          <w:sz w:val="21"/>
          <w:szCs w:val="21"/>
        </w:rPr>
        <w:t xml:space="preserve">Y_i = Σ_{k=-(m-1)/2}^{(m-1)/2} C_k·y_{i+k},   (m-1)/2 ≤ i ≤ n-(m-1)/2     ...(Eq. 9)</w:t>
      </w:r>
    </w:p>
    <w:p>
      <w:pPr>
        <w:spacing w:after="140" w:line="300"/>
        <w:jc w:val="both"/>
      </w:pPr>
      <w:r>
        <w:rPr>
          <w:sz w:val="21"/>
          <w:szCs w:val="21"/>
        </w:rPr>
        <w:t xml:space="preserve">Filter quality is checked with the correlation coefficient between the original image X and the filtered image Y; a value approaching 1.00 indicates the filter is optimally tuned:</w:t>
      </w:r>
    </w:p>
    <w:p>
      <w:pPr>
        <w:shd w:fill="F4F6F8" w:val="clear"/>
        <w:spacing w:after="60" w:before="60"/>
        <w:ind w:left="504"/>
      </w:pPr>
      <w:r>
        <w:rPr>
          <w:rFonts w:ascii="Consolas" w:cs="Consolas" w:eastAsia="Consolas" w:hAnsi="Consolas"/>
          <w:color w:val="1E2A38"/>
          <w:sz w:val="21"/>
          <w:szCs w:val="21"/>
        </w:rPr>
        <w:t xml:space="preserve">COR = Σ(X_i-X̄)(Y_i-Ȳ) / √[Σ(X_i-X̄)² · Σ(Y_i-Ȳ)²]         ...(Eq. 10)</w:t>
      </w:r>
    </w:p>
    <w:p>
      <w:pPr>
        <w:spacing w:after="140" w:line="300"/>
        <w:jc w:val="both"/>
      </w:pPr>
      <w:r>
        <w:rPr>
          <w:sz w:val="21"/>
          <w:szCs w:val="21"/>
        </w:rPr>
        <w:t xml:space="preserve">The denoised image is then resized to 640×640 and, during training only, augmented with random horizontal flip (p=0.5), rotation in [−20°, +20°], and zoom up to 25%.</w:t>
      </w:r>
    </w:p>
    <w:p>
      <w:pPr>
        <w:pStyle w:val="Heading3"/>
        <w:spacing w:after="90" w:before="200"/>
      </w:pPr>
      <w:r>
        <w:rPr>
          <w:b/>
          <w:bCs/>
          <w:color w:val="16324F"/>
          <w:sz w:val="22"/>
          <w:szCs w:val="22"/>
        </w:rPr>
        <w:t xml:space="preserve">Step 3b — Visual detection: attention-augmented backbone–neck–head → P_visual</w:t>
      </w:r>
    </w:p>
    <w:p>
      <w:pPr>
        <w:spacing w:after="140" w:line="300"/>
        <w:jc w:val="both"/>
      </w:pPr>
      <w:r>
        <w:rPr>
          <w:sz w:val="21"/>
          <w:szCs w:val="21"/>
        </w:rPr>
        <w:t xml:space="preserve">The backbone extracts hierarchical features through convolution + batch-norm + SiLU blocks:</w:t>
      </w:r>
    </w:p>
    <w:p>
      <w:pPr>
        <w:shd w:fill="F4F6F8" w:val="clear"/>
        <w:spacing w:after="60" w:before="60"/>
        <w:ind w:left="504"/>
      </w:pPr>
      <w:r>
        <w:rPr>
          <w:rFonts w:ascii="Consolas" w:cs="Consolas" w:eastAsia="Consolas" w:hAnsi="Consolas"/>
          <w:color w:val="1E2A38"/>
          <w:sz w:val="21"/>
          <w:szCs w:val="21"/>
        </w:rPr>
        <w:t xml:space="preserve">Conv(I,N,c,b) = SiLU(BatchNorm(I,℘))                  ...(Eq. 11)</w:t>
      </w:r>
    </w:p>
    <w:p>
      <w:pPr>
        <w:spacing w:after="140" w:line="300"/>
        <w:jc w:val="both"/>
      </w:pPr>
      <w:r>
        <w:rPr>
          <w:sz w:val="21"/>
          <w:szCs w:val="21"/>
        </w:rPr>
        <w:t xml:space="preserve">In the attention-augmented variant validated by COMICS (CAB-RetinaNet), the backbone uses ResNeXt grouped (“cardinality”) convolutions rather than plain convolutions, and a channel-attention “B-module” is inserted after the feature-pyramid stage to reweight feature channels toward damage-relevant spatial cues before detection, which the COMICS ablation shows reduces false positives/negatives relative to plain RetinaNet. The neck (FPN, extended to P3–P7 in CAB-RetinaNet; FPN+PAN in the YOLO variant) fuses multi-scale feature maps top-down and bottom-up so that both small (early borehole) and large (visible damage) targets are represented:</w:t>
      </w:r>
    </w:p>
    <w:p>
      <w:pPr>
        <w:shd w:fill="F4F6F8" w:val="clear"/>
        <w:spacing w:after="60" w:before="60"/>
        <w:ind w:left="504"/>
      </w:pPr>
      <w:r>
        <w:rPr>
          <w:rFonts w:ascii="Consolas" w:cs="Consolas" w:eastAsia="Consolas" w:hAnsi="Consolas"/>
          <w:color w:val="1E2A38"/>
          <w:sz w:val="21"/>
          <w:szCs w:val="21"/>
        </w:rPr>
        <w:t xml:space="preserve">P_l = UpSample(C_{l+1}) + C_l</w:t>
      </w:r>
    </w:p>
    <w:p>
      <w:pPr>
        <w:shd w:fill="F4F6F8" w:val="clear"/>
        <w:spacing w:after="60" w:before="60"/>
        <w:ind w:left="504"/>
      </w:pPr>
      <w:r>
        <w:rPr>
          <w:rFonts w:ascii="Consolas" w:cs="Consolas" w:eastAsia="Consolas" w:hAnsi="Consolas"/>
          <w:color w:val="1E2A38"/>
          <w:sz w:val="21"/>
          <w:szCs w:val="21"/>
        </w:rPr>
        <w:t xml:space="preserve">U_l = Conv(Concat(P_{l-1}, DownSample(P_l)))            ...(Eq. 12)</w:t>
      </w:r>
    </w:p>
    <w:p>
      <w:pPr>
        <w:spacing w:after="140" w:line="300"/>
        <w:jc w:val="both"/>
      </w:pPr>
      <w:r>
        <w:rPr>
          <w:sz w:val="21"/>
          <w:szCs w:val="21"/>
        </w:rPr>
        <w:t xml:space="preserve">The head regresses bounding boxes and an objectness/class score, passed through a sigmoid so it lies in [0,1]; the maximum score among detected regions for tree i is taken as the visual-branch infestation probability P_visual:</w:t>
      </w:r>
    </w:p>
    <w:p>
      <w:pPr>
        <w:shd w:fill="F4F6F8" w:val="clear"/>
        <w:spacing w:after="60" w:before="60"/>
        <w:ind w:left="504"/>
      </w:pPr>
      <w:r>
        <w:rPr>
          <w:rFonts w:ascii="Consolas" w:cs="Consolas" w:eastAsia="Consolas" w:hAnsi="Consolas"/>
          <w:color w:val="1E2A38"/>
          <w:sz w:val="21"/>
          <w:szCs w:val="21"/>
        </w:rPr>
        <w:t xml:space="preserve">o = σ(t_c);   P_visual = max_k o_k                      ...(Eq. 13)</w:t>
      </w:r>
    </w:p>
    <w:p>
      <w:pPr>
        <w:spacing w:after="140" w:line="300"/>
        <w:jc w:val="both"/>
      </w:pPr>
      <w:r>
        <w:rPr>
          <w:sz w:val="21"/>
          <w:szCs w:val="21"/>
        </w:rPr>
        <w:t xml:space="preserve">Training minimises a composite loss over localisation, objectness, and classification terms, l = λ_loc·l_loc + λ_obj·l_obj + λ_cls·l_cls, as in the YOLOv9/YOLOv11-Nano and CAB-RetinaNet base papers alike. For the lightest edge targets, the YOLO-Nano single-stage detector is used in place of CAB-RetinaNet, trading the attention/multi-scale refinement for lower latency and smaller model size.</w:t>
      </w:r>
    </w:p>
    <w:p>
      <w:pPr>
        <w:pStyle w:val="Heading3"/>
        <w:spacing w:after="90" w:before="200"/>
      </w:pPr>
      <w:r>
        <w:rPr>
          <w:b/>
          <w:bCs/>
          <w:color w:val="16324F"/>
          <w:sz w:val="22"/>
          <w:szCs w:val="22"/>
        </w:rPr>
        <w:t xml:space="preserve">Step 4 — Per-tree confidence fusion</w:t>
      </w:r>
    </w:p>
    <w:p>
      <w:pPr>
        <w:spacing w:after="140" w:line="300"/>
        <w:jc w:val="both"/>
      </w:pPr>
      <w:r>
        <w:rPr>
          <w:sz w:val="21"/>
          <w:szCs w:val="21"/>
        </w:rPr>
        <w:t xml:space="preserve">P_audio and P_visual are combined into a single per-tree confidence score C_i. Two equivalent formulations are used in the screened literature and are both compatible with this pipeline: a Mamdani fuzzy-rule fusion (used identically in both RED-BIYO and COMICS, where each probability is fuzzified into Low/Medium/High Gaussian membership terms and IF–THEN rules such as “IF audio is High AND visual is High THEN Not Healthy” are aggregated and defuzzified), or the lighter confidence-weighted linear fusion adopted as the default in this project for edge deployment:</w:t>
      </w:r>
    </w:p>
    <w:p>
      <w:pPr>
        <w:shd w:fill="F4F6F8" w:val="clear"/>
        <w:spacing w:after="60" w:before="60"/>
        <w:ind w:left="504"/>
      </w:pPr>
      <w:r>
        <w:rPr>
          <w:rFonts w:ascii="Consolas" w:cs="Consolas" w:eastAsia="Consolas" w:hAnsi="Consolas"/>
          <w:color w:val="1E2A38"/>
          <w:sz w:val="21"/>
          <w:szCs w:val="21"/>
        </w:rPr>
        <w:t xml:space="preserve">C_i = w1·P_audio + w2·P_visual,   w1+w2 = 1          ...(Eq. 14)</w:t>
      </w:r>
    </w:p>
    <w:p>
      <w:pPr>
        <w:spacing w:after="140" w:line="300"/>
        <w:jc w:val="both"/>
      </w:pPr>
      <w:r>
        <w:rPr>
          <w:sz w:val="21"/>
          <w:szCs w:val="21"/>
        </w:rPr>
        <w:t xml:space="preserve">w1, w2 are tuned on a validation split (or replaced by the fuzzy rule base when compute budget allows), reflecting that acoustic and visual evidence are not always equally reliable — e.g. wind, rain, or machinery noise degrades P_audio (the specific failure mode COMICS's noise study quantifies), while occlusion or poor lighting degrades P_visual.</w:t>
      </w:r>
    </w:p>
    <w:p>
      <w:pPr>
        <w:pStyle w:val="Heading3"/>
        <w:spacing w:after="90" w:before="200"/>
      </w:pPr>
      <w:r>
        <w:rPr>
          <w:b/>
          <w:bCs/>
          <w:color w:val="16324F"/>
          <w:sz w:val="22"/>
          <w:szCs w:val="22"/>
        </w:rPr>
        <w:t xml:space="preserve">Step 5 — Geotagging and central aggregation</w:t>
      </w:r>
    </w:p>
    <w:p>
      <w:pPr>
        <w:spacing w:after="140" w:line="300"/>
        <w:jc w:val="both"/>
      </w:pPr>
      <w:r>
        <w:rPr>
          <w:sz w:val="21"/>
          <w:szCs w:val="21"/>
        </w:rPr>
        <w:t xml:space="preserve">Each fused score C_i is tagged with the tree's location (from GPS/fixed installation ID) and the scan timestamp t, and transmitted to a central server (via the GSM/cloud link pattern both RED-BIYO and COMICS use to reach their IoT Blynk apps). This is the step that is entirely absent from all four screened papers and is the entry point into the network-analysis layer.</w:t>
      </w:r>
    </w:p>
    <w:p>
      <w:pPr>
        <w:pStyle w:val="Heading3"/>
        <w:spacing w:after="90" w:before="200"/>
      </w:pPr>
      <w:r>
        <w:rPr>
          <w:b/>
          <w:bCs/>
          <w:color w:val="16324F"/>
          <w:sz w:val="22"/>
          <w:szCs w:val="22"/>
        </w:rPr>
        <w:t xml:space="preserve">Step 6 — Spatial graph construction</w:t>
      </w:r>
    </w:p>
    <w:p>
      <w:pPr>
        <w:spacing w:after="140" w:line="300"/>
        <w:jc w:val="both"/>
      </w:pPr>
      <w:r>
        <w:rPr>
          <w:sz w:val="21"/>
          <w:szCs w:val="21"/>
        </w:rPr>
        <w:t xml:space="preserve">The plantation is modelled as a graph G = (V, E) where each tree is a node v_i ∈ V. Edges connect spatially proximate trees, either by k-nearest-neighbours or by a fixed radius r, with an edge weight that decays with physical distance (a Gaussian/RBF kernel is a natural default since RPW spread probability falls off with distance):</w:t>
      </w:r>
    </w:p>
    <w:p>
      <w:pPr>
        <w:shd w:fill="F4F6F8" w:val="clear"/>
        <w:spacing w:after="60" w:before="60"/>
        <w:ind w:left="504"/>
      </w:pPr>
      <w:r>
        <w:rPr>
          <w:rFonts w:ascii="Consolas" w:cs="Consolas" w:eastAsia="Consolas" w:hAnsi="Consolas"/>
          <w:color w:val="1E2A38"/>
          <w:sz w:val="21"/>
          <w:szCs w:val="21"/>
        </w:rPr>
        <w:t xml:space="preserve">e_ij = exp( − d(i,j)² / (2σ²) )   if d(i,j) ≤ r,  else 0     ...(Eq. 15)</w:t>
      </w:r>
    </w:p>
    <w:p>
      <w:pPr>
        <w:pStyle w:val="Heading3"/>
        <w:spacing w:after="90" w:before="200"/>
      </w:pPr>
      <w:r>
        <w:rPr>
          <w:b/>
          <w:bCs/>
          <w:color w:val="16324F"/>
          <w:sz w:val="22"/>
          <w:szCs w:val="22"/>
        </w:rPr>
        <w:t xml:space="preserve">Step 7 — Spatial–temporal confidence propagation</w:t>
      </w:r>
    </w:p>
    <w:p>
      <w:pPr>
        <w:spacing w:after="140" w:line="300"/>
        <w:jc w:val="both"/>
      </w:pPr>
      <w:r>
        <w:rPr>
          <w:sz w:val="21"/>
          <w:szCs w:val="21"/>
        </w:rPr>
        <w:t xml:space="preserve">This is the key mathematical novelty of the algorithm and the specific element the Part 0 screening found in none of the four reference papers. Confidence is smoothed across the graph so that a tree with rising but individually sub-threshold confidence, surrounded by neighbours that are also rising, gets pulled toward alert status faster than an isolated rising score would — mirroring how RPW infestation actually spreads palm to palm. The spatial update is a one-hop diffusion (graph Laplacian smoothing):</w:t>
      </w:r>
    </w:p>
    <w:p>
      <w:pPr>
        <w:shd w:fill="F4F6F8" w:val="clear"/>
        <w:spacing w:after="60" w:before="60"/>
        <w:ind w:left="504"/>
      </w:pPr>
      <w:r>
        <w:rPr>
          <w:rFonts w:ascii="Consolas" w:cs="Consolas" w:eastAsia="Consolas" w:hAnsi="Consolas"/>
          <w:color w:val="1E2A38"/>
          <w:sz w:val="21"/>
          <w:szCs w:val="21"/>
        </w:rPr>
        <w:t xml:space="preserve">C_i(t+1) = α·C_i(t) + (1−α)· [Σ_j e_ij·C_j(t)] / [Σ_j e_ij]     ...(Eq. 16)</w:t>
      </w:r>
    </w:p>
    <w:p>
      <w:pPr>
        <w:spacing w:after="140" w:line="300"/>
        <w:jc w:val="both"/>
      </w:pPr>
      <w:r>
        <w:rPr>
          <w:sz w:val="21"/>
          <w:szCs w:val="21"/>
        </w:rPr>
        <w:t xml:space="preserve">and a temporal update applies exponential smoothing across successive scans so that a single noisy reading cannot trigger an alert on its own:</w:t>
      </w:r>
    </w:p>
    <w:p>
      <w:pPr>
        <w:shd w:fill="F4F6F8" w:val="clear"/>
        <w:spacing w:after="60" w:before="60"/>
        <w:ind w:left="504"/>
      </w:pPr>
      <w:r>
        <w:rPr>
          <w:rFonts w:ascii="Consolas" w:cs="Consolas" w:eastAsia="Consolas" w:hAnsi="Consolas"/>
          <w:color w:val="1E2A38"/>
          <w:sz w:val="21"/>
          <w:szCs w:val="21"/>
        </w:rPr>
        <w:t xml:space="preserve">C̄_i(t) = β·C_i(t) + (1−β)·C̄_i(t−1)                      ...(Eq. 17)</w:t>
      </w:r>
    </w:p>
    <w:p>
      <w:pPr>
        <w:spacing w:after="140" w:line="300"/>
        <w:jc w:val="both"/>
      </w:pPr>
      <w:r>
        <w:rPr>
          <w:sz w:val="21"/>
          <w:szCs w:val="21"/>
        </w:rPr>
        <w:t xml:space="preserve">α ∈ [0,1] controls how much weight is given to a tree's own reading versus its neighbours (α → 1 recovers the pure per-tree base-paper behaviour of RED-BIYO/COMICS); β ∈ [0,1] controls how much weight is given to the newest scan versus accumulated history.</w:t>
      </w:r>
    </w:p>
    <w:p>
      <w:pPr>
        <w:pStyle w:val="Heading3"/>
        <w:spacing w:after="90" w:before="200"/>
      </w:pPr>
      <w:r>
        <w:rPr>
          <w:b/>
          <w:bCs/>
          <w:color w:val="16324F"/>
          <w:sz w:val="22"/>
          <w:szCs w:val="22"/>
        </w:rPr>
        <w:t xml:space="preserve">Step 8 — Farm-level outbreak scoring</w:t>
      </w:r>
    </w:p>
    <w:p>
      <w:pPr>
        <w:spacing w:after="140" w:line="300"/>
        <w:jc w:val="both"/>
      </w:pPr>
      <w:r>
        <w:rPr>
          <w:sz w:val="21"/>
          <w:szCs w:val="21"/>
        </w:rPr>
        <w:t xml:space="preserve">A cluster-aware outbreak score counts spatially contiguous trees whose smoothed confidence exceeds a low watch-threshold θ_low, only counting a cluster if it has at least k members — this is what lets the system flag an emerging outbreak before any single tree crosses the hard alert threshold used by every screened paper:</w:t>
      </w:r>
    </w:p>
    <w:p>
      <w:pPr>
        <w:shd w:fill="F4F6F8" w:val="clear"/>
        <w:spacing w:after="60" w:before="60"/>
        <w:ind w:left="504"/>
      </w:pPr>
      <w:r>
        <w:rPr>
          <w:rFonts w:ascii="Consolas" w:cs="Consolas" w:eastAsia="Consolas" w:hAnsi="Consolas"/>
          <w:color w:val="1E2A38"/>
          <w:sz w:val="21"/>
          <w:szCs w:val="21"/>
        </w:rPr>
        <w:t xml:space="preserve">O = Σ_i 1[C̄_i(t) &gt; θ_low]  over connected clusters of size ≥ k     ...(Eq. 18)</w:t>
      </w:r>
    </w:p>
    <w:p>
      <w:pPr>
        <w:pStyle w:val="Heading3"/>
        <w:spacing w:after="90" w:before="200"/>
      </w:pPr>
      <w:r>
        <w:rPr>
          <w:b/>
          <w:bCs/>
          <w:color w:val="16324F"/>
          <w:sz w:val="22"/>
          <w:szCs w:val="22"/>
        </w:rPr>
        <w:t xml:space="preserve">Step 9 — Decision layer</w:t>
      </w:r>
    </w:p>
    <w:p>
      <w:pPr>
        <w:spacing w:after="140" w:line="300"/>
        <w:jc w:val="both"/>
      </w:pPr>
      <w:r>
        <w:rPr>
          <w:sz w:val="21"/>
          <w:szCs w:val="21"/>
        </w:rPr>
        <w:t xml:space="preserve">Two independent alert conditions are checked at every scan:</w:t>
      </w:r>
    </w:p>
    <w:p>
      <w:pPr>
        <w:shd w:fill="F4F6F8" w:val="clear"/>
        <w:spacing w:after="60" w:before="60"/>
        <w:ind w:left="504"/>
      </w:pPr>
      <w:r>
        <w:rPr>
          <w:rFonts w:ascii="Consolas" w:cs="Consolas" w:eastAsia="Consolas" w:hAnsi="Consolas"/>
          <w:color w:val="1E2A38"/>
          <w:sz w:val="21"/>
          <w:szCs w:val="21"/>
        </w:rPr>
        <w:t xml:space="preserve">IF  C̄_i(t) &gt; θ_high            →  Tree-level alert for tree i</w:t>
      </w:r>
    </w:p>
    <w:p>
      <w:pPr>
        <w:shd w:fill="F4F6F8" w:val="clear"/>
        <w:spacing w:after="60" w:before="60"/>
        <w:ind w:left="504"/>
      </w:pPr>
      <w:r>
        <w:rPr>
          <w:rFonts w:ascii="Consolas" w:cs="Consolas" w:eastAsia="Consolas" w:hAnsi="Consolas"/>
          <w:color w:val="1E2A38"/>
          <w:sz w:val="21"/>
          <w:szCs w:val="21"/>
        </w:rPr>
        <w:t xml:space="preserve">IF  O(t) &gt; θ_cluster              →  Farm-level outbreak alert          ...(Eq. 19)</w:t>
      </w:r>
    </w:p>
    <w:p>
      <w:pPr>
        <w:pStyle w:val="Heading3"/>
        <w:spacing w:after="90" w:before="200"/>
      </w:pPr>
      <w:r>
        <w:rPr>
          <w:b/>
          <w:bCs/>
          <w:color w:val="16324F"/>
          <w:sz w:val="22"/>
          <w:szCs w:val="22"/>
        </w:rPr>
        <w:t xml:space="preserve">Step 10 — Farmer-facing notification</w:t>
      </w:r>
    </w:p>
    <w:p>
      <w:pPr>
        <w:spacing w:after="140" w:line="300"/>
        <w:jc w:val="both"/>
      </w:pPr>
      <w:r>
        <w:rPr>
          <w:sz w:val="21"/>
          <w:szCs w:val="21"/>
        </w:rPr>
        <w:t xml:space="preserve">Alerts are pushed to an IoT dashboard / mobile app, in the spirit of the Blynk-based notifier used identically in both RED-BIYO and COMICS, carrying the tree ID(s), location, confidence trend, and, for outbreak alerts, the flagged cluster boundary.</w:t>
      </w:r>
    </w:p>
    <w:p>
      <w:r>
        <w:br w:type="page"/>
      </w:r>
    </w:p>
    <w:p>
      <w:pPr>
        <w:pStyle w:val="Heading1"/>
        <w:spacing w:after="140" w:before="320"/>
      </w:pPr>
      <w:r>
        <w:rPr>
          <w:b/>
          <w:bCs/>
          <w:color w:val="16324F"/>
          <w:sz w:val="30"/>
          <w:szCs w:val="30"/>
        </w:rPr>
        <w:t xml:space="preserve">Part B — AI Perspective and the Modified Algorithm</w:t>
      </w:r>
    </w:p>
    <w:p>
      <w:pPr>
        <w:pStyle w:val="Heading2"/>
        <w:spacing w:after="120" w:before="260"/>
      </w:pPr>
      <w:r>
        <w:rPr>
          <w:b/>
          <w:bCs/>
          <w:color w:val="2C5F8A"/>
          <w:sz w:val="25"/>
          <w:szCs w:val="25"/>
        </w:rPr>
        <w:t xml:space="preserve">B.1  What each stage represents from an AI standpoint</w:t>
      </w:r>
    </w:p>
    <w:p>
      <w:pPr>
        <w:spacing w:after="140" w:line="300"/>
        <w:jc w:val="both"/>
      </w:pPr>
      <w:r>
        <w:rPr>
          <w:sz w:val="21"/>
          <w:szCs w:val="21"/>
        </w:rPr>
        <w:t xml:space="preserve">Read as a whole, Algorithm 1 chains together four distinct families of AI technique, each chosen for what it is good at:</w:t>
      </w:r>
    </w:p>
    <w:p>
      <w:pPr>
        <w:pStyle w:val="ListParagraph"/>
        <w:numPr>
          <w:ilvl w:val="0"/>
          <w:numId w:val="1"/>
        </w:numPr>
        <w:spacing w:after="100" w:line="290"/>
      </w:pPr>
      <w:r>
        <w:rPr>
          <w:sz w:val="21"/>
          <w:szCs w:val="21"/>
        </w:rPr>
        <w:t xml:space="preserve">Representation learning (Steps 2–3): STFT + CNN/BiGRU (or PEN-BiGRU) and the YOLO/CAB-RetinaNet backbone-neck are both learned feature extractors — the network discovers which spectro-temporal or spatial patterns correlate with infestation rather than relying on hand-crafted rules, which is exactly what makes early, weakly-visible/weakly-audible symptoms detectable at all.</w:t>
      </w:r>
    </w:p>
    <w:p>
      <w:pPr>
        <w:pStyle w:val="ListParagraph"/>
        <w:numPr>
          <w:ilvl w:val="0"/>
          <w:numId w:val="1"/>
        </w:numPr>
        <w:spacing w:after="100" w:line="290"/>
      </w:pPr>
      <w:r>
        <w:rPr>
          <w:sz w:val="21"/>
          <w:szCs w:val="21"/>
        </w:rPr>
        <w:t xml:space="preserve">Supervised discriminative modelling (Steps 3a/3b outputs): both branches end in a probability estimate trained against expert-labelled data (infested/non-infested audio clips; boreholes/damage bounding boxes) — this is standard supervised deep learning, and it is why the accuracy figures reported across all four screened papers (audio-only ≈85.6%, vision-only ≈95.95% acc / 54% mAP, bimodal ≈99.54%) are meaningful, comparable benchmarks for each branch and for fusion.</w:t>
      </w:r>
    </w:p>
    <w:p>
      <w:pPr>
        <w:pStyle w:val="ListParagraph"/>
        <w:numPr>
          <w:ilvl w:val="0"/>
          <w:numId w:val="1"/>
        </w:numPr>
        <w:spacing w:after="100" w:line="290"/>
      </w:pPr>
      <w:r>
        <w:rPr>
          <w:sz w:val="21"/>
          <w:szCs w:val="21"/>
        </w:rPr>
        <w:t xml:space="preserve">Attention as a learned reliability filter (COMICS-specific addition, Steps 3a/3b): self-attention in PEN-BiGRU and channel attention in CAB-RetinaNet's B-module are both instances of the same AI idea — let the network learn which parts of its own feature map to trust, rather than trusting all of it equally. This is precisely why COMICS is the only screened paper with reported noise-robustness figures.</w:t>
      </w:r>
    </w:p>
    <w:p>
      <w:pPr>
        <w:pStyle w:val="ListParagraph"/>
        <w:numPr>
          <w:ilvl w:val="0"/>
          <w:numId w:val="1"/>
        </w:numPr>
        <w:spacing w:after="100" w:line="290"/>
      </w:pPr>
      <w:r>
        <w:rPr>
          <w:sz w:val="21"/>
          <w:szCs w:val="21"/>
        </w:rPr>
        <w:t xml:space="preserve">Decision-level multimodal fusion (Step 4): whether implemented as a fuzzy inference system (Mamdani rules + centroid defuzzification, used identically by RED-BIYO and COMICS) or as learned linear weights, this is the AI-relevant step that compensates for each sensor's failure mode — audio is weather-sensitive, vision is occlusion/lighting-sensitive — by letting the more reliable modality dominate the fused decision.</w:t>
      </w:r>
    </w:p>
    <w:p>
      <w:pPr>
        <w:pStyle w:val="ListParagraph"/>
        <w:numPr>
          <w:ilvl w:val="0"/>
          <w:numId w:val="1"/>
        </w:numPr>
        <w:spacing w:after="100" w:line="290"/>
      </w:pPr>
      <w:r>
        <w:rPr>
          <w:sz w:val="21"/>
          <w:szCs w:val="21"/>
        </w:rPr>
        <w:t xml:space="preserve">Graph-based relational inference (Steps 6–8): this is the part with no precedent in any of the four screened papers. Equation 16 is a one-hop message-passing / label-propagation update — structurally the same operation a Graph Neural Network's spatial-convolution layer performs (aggregate neighbour features, mix with the node's own state). Framing plantation-wide monitoring this way is what turns a set of independently-validated per-tree classifiers into a system that reasons about spread, which is the actual epidemiological behaviour of RPW.</w:t>
      </w:r>
    </w:p>
    <w:p>
      <w:pPr>
        <w:pStyle w:val="Heading2"/>
        <w:spacing w:after="120" w:before="260"/>
      </w:pPr>
      <w:r>
        <w:rPr>
          <w:b/>
          <w:bCs/>
          <w:color w:val="2C5F8A"/>
          <w:sz w:val="25"/>
          <w:szCs w:val="25"/>
        </w:rPr>
        <w:t xml:space="preserve">B.2  Where the base-paper algorithms stop, and what changes</w:t>
      </w:r>
    </w:p>
    <w:tbl>
      <w:tblPr>
        <w:tblW w:type="dxa" w:w="8400"/>
        <w:tblBorders>
          <w:top w:val="single" w:color="AAB6C2" w:sz="4"/>
          <w:left w:val="single" w:color="AAB6C2" w:sz="4"/>
          <w:bottom w:val="single" w:color="AAB6C2" w:sz="4"/>
          <w:right w:val="single" w:color="AAB6C2" w:sz="4"/>
          <w:insideH w:val="single" w:color="D2D8DE" w:sz="2"/>
          <w:insideV w:val="single" w:color="D2D8DE" w:sz="2"/>
        </w:tblBorders>
      </w:tblPr>
      <w:tblGrid>
        <w:gridCol w:w="100"/>
        <w:gridCol w:w="100"/>
        <w:gridCol w:w="100"/>
        <w:gridCol w:w="100"/>
      </w:tblGrid>
      <w:tr>
        <w:trPr>
          <w:tblHeader/>
        </w:trPr>
        <w:tc>
          <w:tcPr>
            <w:tcW w:type="dxa" w:w="1600"/>
            <w:shd w:fill="1E4E79" w:val="clear"/>
            <w:tcMar>
              <w:top w:type="dxa" w:w="80"/>
              <w:left w:type="dxa" w:w="110"/>
              <w:bottom w:type="dxa" w:w="80"/>
              <w:right w:type="dxa" w:w="110"/>
            </w:tcMar>
          </w:tcPr>
          <w:p>
            <w:r>
              <w:rPr>
                <w:b/>
                <w:bCs/>
                <w:color w:val="FFFFFF"/>
                <w:sz w:val="16"/>
                <w:szCs w:val="16"/>
              </w:rPr>
              <w:t xml:space="preserve">Aspect</w:t>
            </w:r>
          </w:p>
        </w:tc>
        <w:tc>
          <w:tcPr>
            <w:tcW w:type="dxa" w:w="2050"/>
            <w:shd w:fill="1E4E79" w:val="clear"/>
            <w:tcMar>
              <w:top w:type="dxa" w:w="80"/>
              <w:left w:type="dxa" w:w="110"/>
              <w:bottom w:type="dxa" w:w="80"/>
              <w:right w:type="dxa" w:w="110"/>
            </w:tcMar>
          </w:tcPr>
          <w:p>
            <w:r>
              <w:rPr>
                <w:b/>
                <w:bCs/>
                <w:color w:val="FFFFFF"/>
                <w:sz w:val="16"/>
                <w:szCs w:val="16"/>
              </w:rPr>
              <w:t xml:space="preserve">YOLOv11-Nano / Acoustic FFNN (single-modality)</w:t>
            </w:r>
          </w:p>
        </w:tc>
        <w:tc>
          <w:tcPr>
            <w:tcW w:type="dxa" w:w="2050"/>
            <w:shd w:fill="1E4E79" w:val="clear"/>
            <w:tcMar>
              <w:top w:type="dxa" w:w="80"/>
              <w:left w:type="dxa" w:w="110"/>
              <w:bottom w:type="dxa" w:w="80"/>
              <w:right w:type="dxa" w:w="110"/>
            </w:tcMar>
          </w:tcPr>
          <w:p>
            <w:r>
              <w:rPr>
                <w:b/>
                <w:bCs/>
                <w:color w:val="FFFFFF"/>
                <w:sz w:val="16"/>
                <w:szCs w:val="16"/>
              </w:rPr>
              <w:t xml:space="preserve">RED-BIYO / COMICS (bimodal, per-tree)</w:t>
            </w:r>
          </w:p>
        </w:tc>
        <w:tc>
          <w:tcPr>
            <w:tcW w:type="dxa" w:w="2700"/>
            <w:shd w:fill="1E4E79" w:val="clear"/>
            <w:tcMar>
              <w:top w:type="dxa" w:w="80"/>
              <w:left w:type="dxa" w:w="110"/>
              <w:bottom w:type="dxa" w:w="80"/>
              <w:right w:type="dxa" w:w="110"/>
            </w:tcMar>
          </w:tcPr>
          <w:p>
            <w:r>
              <w:rPr>
                <w:b/>
                <w:bCs/>
                <w:color w:val="FFFFFF"/>
                <w:sz w:val="16"/>
                <w:szCs w:val="16"/>
              </w:rPr>
              <w:t xml:space="preserve">Proposed modified algorithm</w:t>
            </w:r>
          </w:p>
        </w:tc>
      </w:tr>
      <w:tr>
        <w:tc>
          <w:tcPr>
            <w:tcW w:type="dxa" w:w="1600"/>
            <w:shd w:fill="F4F7FB" w:val="clear"/>
            <w:tcMar>
              <w:top w:type="dxa" w:w="80"/>
              <w:left w:type="dxa" w:w="110"/>
              <w:bottom w:type="dxa" w:w="80"/>
              <w:right w:type="dxa" w:w="110"/>
            </w:tcMar>
          </w:tcPr>
          <w:p>
            <w:r>
              <w:rPr>
                <w:b w:val="false"/>
                <w:bCs w:val="false"/>
                <w:color w:val="1E2A38"/>
                <w:sz w:val="16"/>
                <w:szCs w:val="16"/>
              </w:rPr>
              <w:t xml:space="preserve">Sensing modalities</w:t>
            </w:r>
          </w:p>
        </w:tc>
        <w:tc>
          <w:tcPr>
            <w:tcW w:type="dxa" w:w="2050"/>
            <w:shd w:fill="F4F7FB" w:val="clear"/>
            <w:tcMar>
              <w:top w:type="dxa" w:w="80"/>
              <w:left w:type="dxa" w:w="110"/>
              <w:bottom w:type="dxa" w:w="80"/>
              <w:right w:type="dxa" w:w="110"/>
            </w:tcMar>
          </w:tcPr>
          <w:p>
            <w:r>
              <w:rPr>
                <w:b w:val="false"/>
                <w:bCs w:val="false"/>
                <w:color w:val="1E2A38"/>
                <w:sz w:val="16"/>
                <w:szCs w:val="16"/>
              </w:rPr>
              <w:t xml:space="preserve">One modality only (vision or audio)</w:t>
            </w:r>
          </w:p>
        </w:tc>
        <w:tc>
          <w:tcPr>
            <w:tcW w:type="dxa" w:w="2050"/>
            <w:shd w:fill="F4F7FB" w:val="clear"/>
            <w:tcMar>
              <w:top w:type="dxa" w:w="80"/>
              <w:left w:type="dxa" w:w="110"/>
              <w:bottom w:type="dxa" w:w="80"/>
              <w:right w:type="dxa" w:w="110"/>
            </w:tcMar>
          </w:tcPr>
          <w:p>
            <w:r>
              <w:rPr>
                <w:b w:val="false"/>
                <w:bCs w:val="false"/>
                <w:color w:val="1E2A38"/>
                <w:sz w:val="16"/>
                <w:szCs w:val="16"/>
              </w:rPr>
              <w:t xml:space="preserve">Audio + stem image</w:t>
            </w:r>
          </w:p>
        </w:tc>
        <w:tc>
          <w:tcPr>
            <w:tcW w:type="dxa" w:w="2700"/>
            <w:shd w:fill="F4F7FB" w:val="clear"/>
            <w:tcMar>
              <w:top w:type="dxa" w:w="80"/>
              <w:left w:type="dxa" w:w="110"/>
              <w:bottom w:type="dxa" w:w="80"/>
              <w:right w:type="dxa" w:w="110"/>
            </w:tcMar>
          </w:tcPr>
          <w:p>
            <w:r>
              <w:rPr>
                <w:b w:val="false"/>
                <w:bCs w:val="false"/>
                <w:color w:val="1E2A38"/>
                <w:sz w:val="16"/>
                <w:szCs w:val="16"/>
              </w:rPr>
              <w:t xml:space="preserve">Audio + RGB image; thermal explicitly dropped for feasibility</w:t>
            </w:r>
          </w:p>
        </w:tc>
      </w:tr>
      <w:tr>
        <w:tc>
          <w:tcPr>
            <w:tcW w:type="dxa" w:w="1600"/>
            <w:shd w:fill="FFFFFF" w:val="clear"/>
            <w:tcMar>
              <w:top w:type="dxa" w:w="80"/>
              <w:left w:type="dxa" w:w="110"/>
              <w:bottom w:type="dxa" w:w="80"/>
              <w:right w:type="dxa" w:w="110"/>
            </w:tcMar>
          </w:tcPr>
          <w:p>
            <w:r>
              <w:rPr>
                <w:b w:val="false"/>
                <w:bCs w:val="false"/>
                <w:color w:val="1E2A38"/>
                <w:sz w:val="16"/>
                <w:szCs w:val="16"/>
              </w:rPr>
              <w:t xml:space="preserve">Feature extraction</w:t>
            </w:r>
          </w:p>
        </w:tc>
        <w:tc>
          <w:tcPr>
            <w:tcW w:type="dxa" w:w="2050"/>
            <w:shd w:fill="FFFFFF" w:val="clear"/>
            <w:tcMar>
              <w:top w:type="dxa" w:w="80"/>
              <w:left w:type="dxa" w:w="110"/>
              <w:bottom w:type="dxa" w:w="80"/>
              <w:right w:type="dxa" w:w="110"/>
            </w:tcMar>
          </w:tcPr>
          <w:p>
            <w:r>
              <w:rPr>
                <w:b w:val="false"/>
                <w:bCs w:val="false"/>
                <w:color w:val="1E2A38"/>
                <w:sz w:val="16"/>
                <w:szCs w:val="16"/>
              </w:rPr>
              <w:t xml:space="preserve">Plain YOLO backbone, or plain FFNN on MFCC</w:t>
            </w:r>
          </w:p>
        </w:tc>
        <w:tc>
          <w:tcPr>
            <w:tcW w:type="dxa" w:w="2050"/>
            <w:shd w:fill="FFFFFF" w:val="clear"/>
            <w:tcMar>
              <w:top w:type="dxa" w:w="80"/>
              <w:left w:type="dxa" w:w="110"/>
              <w:bottom w:type="dxa" w:w="80"/>
              <w:right w:type="dxa" w:w="110"/>
            </w:tcMar>
          </w:tcPr>
          <w:p>
            <w:r>
              <w:rPr>
                <w:b w:val="false"/>
                <w:bCs w:val="false"/>
                <w:color w:val="1E2A38"/>
                <w:sz w:val="16"/>
                <w:szCs w:val="16"/>
              </w:rPr>
              <w:t xml:space="preserve">YOLOv9/ResNeSt + SCNN-BiGRU</w:t>
            </w:r>
          </w:p>
        </w:tc>
        <w:tc>
          <w:tcPr>
            <w:tcW w:type="dxa" w:w="2700"/>
            <w:shd w:fill="FFFFFF" w:val="clear"/>
            <w:tcMar>
              <w:top w:type="dxa" w:w="80"/>
              <w:left w:type="dxa" w:w="110"/>
              <w:bottom w:type="dxa" w:w="80"/>
              <w:right w:type="dxa" w:w="110"/>
            </w:tcMar>
          </w:tcPr>
          <w:p>
            <w:r>
              <w:rPr>
                <w:b w:val="false"/>
                <w:bCs w:val="false"/>
                <w:color w:val="1E2A38"/>
                <w:sz w:val="16"/>
                <w:szCs w:val="16"/>
              </w:rPr>
              <w:t xml:space="preserve">YOLO-Nano or CAB-RetinaNet (ResNeXt+FPN+channel attn); CNN-BiGRU or PEN-BiGRU (positional+self-attn)</w:t>
            </w:r>
          </w:p>
        </w:tc>
      </w:tr>
      <w:tr>
        <w:tc>
          <w:tcPr>
            <w:tcW w:type="dxa" w:w="1600"/>
            <w:shd w:fill="F4F7FB" w:val="clear"/>
            <w:tcMar>
              <w:top w:type="dxa" w:w="80"/>
              <w:left w:type="dxa" w:w="110"/>
              <w:bottom w:type="dxa" w:w="80"/>
              <w:right w:type="dxa" w:w="110"/>
            </w:tcMar>
          </w:tcPr>
          <w:p>
            <w:r>
              <w:rPr>
                <w:b w:val="false"/>
                <w:bCs w:val="false"/>
                <w:color w:val="1E2A38"/>
                <w:sz w:val="16"/>
                <w:szCs w:val="16"/>
              </w:rPr>
              <w:t xml:space="preserve">Fusion mechanism</w:t>
            </w:r>
          </w:p>
        </w:tc>
        <w:tc>
          <w:tcPr>
            <w:tcW w:type="dxa" w:w="2050"/>
            <w:shd w:fill="F4F7FB" w:val="clear"/>
            <w:tcMar>
              <w:top w:type="dxa" w:w="80"/>
              <w:left w:type="dxa" w:w="110"/>
              <w:bottom w:type="dxa" w:w="80"/>
              <w:right w:type="dxa" w:w="110"/>
            </w:tcMar>
          </w:tcPr>
          <w:p>
            <w:r>
              <w:rPr>
                <w:b w:val="false"/>
                <w:bCs w:val="false"/>
                <w:color w:val="1E2A38"/>
                <w:sz w:val="16"/>
                <w:szCs w:val="16"/>
              </w:rPr>
              <w:t xml:space="preserve">— (no fusion)</w:t>
            </w:r>
          </w:p>
        </w:tc>
        <w:tc>
          <w:tcPr>
            <w:tcW w:type="dxa" w:w="2050"/>
            <w:shd w:fill="F4F7FB" w:val="clear"/>
            <w:tcMar>
              <w:top w:type="dxa" w:w="80"/>
              <w:left w:type="dxa" w:w="110"/>
              <w:bottom w:type="dxa" w:w="80"/>
              <w:right w:type="dxa" w:w="110"/>
            </w:tcMar>
          </w:tcPr>
          <w:p>
            <w:r>
              <w:rPr>
                <w:b w:val="false"/>
                <w:bCs w:val="false"/>
                <w:color w:val="1E2A38"/>
                <w:sz w:val="16"/>
                <w:szCs w:val="16"/>
              </w:rPr>
              <w:t xml:space="preserve">Mamdani fuzzy IF–THEN rules, Gaussian MFs</w:t>
            </w:r>
          </w:p>
        </w:tc>
        <w:tc>
          <w:tcPr>
            <w:tcW w:type="dxa" w:w="2700"/>
            <w:shd w:fill="F4F7FB" w:val="clear"/>
            <w:tcMar>
              <w:top w:type="dxa" w:w="80"/>
              <w:left w:type="dxa" w:w="110"/>
              <w:bottom w:type="dxa" w:w="80"/>
              <w:right w:type="dxa" w:w="110"/>
            </w:tcMar>
          </w:tcPr>
          <w:p>
            <w:r>
              <w:rPr>
                <w:b w:val="false"/>
                <w:bCs w:val="false"/>
                <w:color w:val="1E2A38"/>
                <w:sz w:val="16"/>
                <w:szCs w:val="16"/>
              </w:rPr>
              <w:t xml:space="preserve">Confidence-weighted linear fusion (Eq. 14) by default, fuzzy rule base as drop-in alternative</w:t>
            </w:r>
          </w:p>
        </w:tc>
      </w:tr>
      <w:tr>
        <w:tc>
          <w:tcPr>
            <w:tcW w:type="dxa" w:w="1600"/>
            <w:shd w:fill="FFFFFF" w:val="clear"/>
            <w:tcMar>
              <w:top w:type="dxa" w:w="80"/>
              <w:left w:type="dxa" w:w="110"/>
              <w:bottom w:type="dxa" w:w="80"/>
              <w:right w:type="dxa" w:w="110"/>
            </w:tcMar>
          </w:tcPr>
          <w:p>
            <w:r>
              <w:rPr>
                <w:b w:val="false"/>
                <w:bCs w:val="false"/>
                <w:color w:val="1E2A38"/>
                <w:sz w:val="16"/>
                <w:szCs w:val="16"/>
              </w:rPr>
              <w:t xml:space="preserve">Unit of decision</w:t>
            </w:r>
          </w:p>
        </w:tc>
        <w:tc>
          <w:tcPr>
            <w:tcW w:type="dxa" w:w="2050"/>
            <w:shd w:fill="FFFFFF" w:val="clear"/>
            <w:tcMar>
              <w:top w:type="dxa" w:w="80"/>
              <w:left w:type="dxa" w:w="110"/>
              <w:bottom w:type="dxa" w:w="80"/>
              <w:right w:type="dxa" w:w="110"/>
            </w:tcMar>
          </w:tcPr>
          <w:p>
            <w:r>
              <w:rPr>
                <w:b w:val="false"/>
                <w:bCs w:val="false"/>
                <w:color w:val="1E2A38"/>
                <w:sz w:val="16"/>
                <w:szCs w:val="16"/>
              </w:rPr>
              <w:t xml:space="preserve">One tree, one scan</w:t>
            </w:r>
          </w:p>
        </w:tc>
        <w:tc>
          <w:tcPr>
            <w:tcW w:type="dxa" w:w="2050"/>
            <w:shd w:fill="FFFFFF" w:val="clear"/>
            <w:tcMar>
              <w:top w:type="dxa" w:w="80"/>
              <w:left w:type="dxa" w:w="110"/>
              <w:bottom w:type="dxa" w:w="80"/>
              <w:right w:type="dxa" w:w="110"/>
            </w:tcMar>
          </w:tcPr>
          <w:p>
            <w:r>
              <w:rPr>
                <w:b w:val="false"/>
                <w:bCs w:val="false"/>
                <w:color w:val="1E2A38"/>
                <w:sz w:val="16"/>
                <w:szCs w:val="16"/>
              </w:rPr>
              <w:t xml:space="preserve">One tree, one scan, in isolation</w:t>
            </w:r>
          </w:p>
        </w:tc>
        <w:tc>
          <w:tcPr>
            <w:tcW w:type="dxa" w:w="2700"/>
            <w:shd w:fill="FFFFFF" w:val="clear"/>
            <w:tcMar>
              <w:top w:type="dxa" w:w="80"/>
              <w:left w:type="dxa" w:w="110"/>
              <w:bottom w:type="dxa" w:w="80"/>
              <w:right w:type="dxa" w:w="110"/>
            </w:tcMar>
          </w:tcPr>
          <w:p>
            <w:r>
              <w:rPr>
                <w:b w:val="false"/>
                <w:bCs w:val="false"/>
                <w:color w:val="1E2A38"/>
                <w:sz w:val="16"/>
                <w:szCs w:val="16"/>
              </w:rPr>
              <w:t xml:space="preserve">One tree per scan, plus a farm-level cluster score aggregated over the plantation graph</w:t>
            </w:r>
          </w:p>
        </w:tc>
      </w:tr>
      <w:tr>
        <w:tc>
          <w:tcPr>
            <w:tcW w:type="dxa" w:w="1600"/>
            <w:shd w:fill="F4F7FB" w:val="clear"/>
            <w:tcMar>
              <w:top w:type="dxa" w:w="80"/>
              <w:left w:type="dxa" w:w="110"/>
              <w:bottom w:type="dxa" w:w="80"/>
              <w:right w:type="dxa" w:w="110"/>
            </w:tcMar>
          </w:tcPr>
          <w:p>
            <w:r>
              <w:rPr>
                <w:b w:val="false"/>
                <w:bCs w:val="false"/>
                <w:color w:val="1E2A38"/>
                <w:sz w:val="16"/>
                <w:szCs w:val="16"/>
              </w:rPr>
              <w:t xml:space="preserve">Temporal handling</w:t>
            </w:r>
          </w:p>
        </w:tc>
        <w:tc>
          <w:tcPr>
            <w:tcW w:type="dxa" w:w="2050"/>
            <w:shd w:fill="F4F7FB" w:val="clear"/>
            <w:tcMar>
              <w:top w:type="dxa" w:w="80"/>
              <w:left w:type="dxa" w:w="110"/>
              <w:bottom w:type="dxa" w:w="80"/>
              <w:right w:type="dxa" w:w="110"/>
            </w:tcMar>
          </w:tcPr>
          <w:p>
            <w:r>
              <w:rPr>
                <w:b w:val="false"/>
                <w:bCs w:val="false"/>
                <w:color w:val="1E2A38"/>
                <w:sz w:val="16"/>
                <w:szCs w:val="16"/>
              </w:rPr>
              <w:t xml:space="preserve">None</w:t>
            </w:r>
          </w:p>
        </w:tc>
        <w:tc>
          <w:tcPr>
            <w:tcW w:type="dxa" w:w="2050"/>
            <w:shd w:fill="F4F7FB" w:val="clear"/>
            <w:tcMar>
              <w:top w:type="dxa" w:w="80"/>
              <w:left w:type="dxa" w:w="110"/>
              <w:bottom w:type="dxa" w:w="80"/>
              <w:right w:type="dxa" w:w="110"/>
            </w:tcMar>
          </w:tcPr>
          <w:p>
            <w:r>
              <w:rPr>
                <w:b w:val="false"/>
                <w:bCs w:val="false"/>
                <w:color w:val="1E2A38"/>
                <w:sz w:val="16"/>
                <w:szCs w:val="16"/>
              </w:rPr>
              <w:t xml:space="preserve">None — each scan evaluated independently</w:t>
            </w:r>
          </w:p>
        </w:tc>
        <w:tc>
          <w:tcPr>
            <w:tcW w:type="dxa" w:w="2700"/>
            <w:shd w:fill="F4F7FB" w:val="clear"/>
            <w:tcMar>
              <w:top w:type="dxa" w:w="80"/>
              <w:left w:type="dxa" w:w="110"/>
              <w:bottom w:type="dxa" w:w="80"/>
              <w:right w:type="dxa" w:w="110"/>
            </w:tcMar>
          </w:tcPr>
          <w:p>
            <w:r>
              <w:rPr>
                <w:b w:val="false"/>
                <w:bCs w:val="false"/>
                <w:color w:val="1E2A38"/>
                <w:sz w:val="16"/>
                <w:szCs w:val="16"/>
              </w:rPr>
              <w:t xml:space="preserve">Exponential smoothing across scans (Eq. 17) so a single noisy reading cannot trigger an alert alone</w:t>
            </w:r>
          </w:p>
        </w:tc>
      </w:tr>
      <w:tr>
        <w:tc>
          <w:tcPr>
            <w:tcW w:type="dxa" w:w="1600"/>
            <w:shd w:fill="FFFFFF" w:val="clear"/>
            <w:tcMar>
              <w:top w:type="dxa" w:w="80"/>
              <w:left w:type="dxa" w:w="110"/>
              <w:bottom w:type="dxa" w:w="80"/>
              <w:right w:type="dxa" w:w="110"/>
            </w:tcMar>
          </w:tcPr>
          <w:p>
            <w:r>
              <w:rPr>
                <w:b w:val="false"/>
                <w:bCs w:val="false"/>
                <w:color w:val="1E2A38"/>
                <w:sz w:val="16"/>
                <w:szCs w:val="16"/>
              </w:rPr>
              <w:t xml:space="preserve">Spatial handling</w:t>
            </w:r>
          </w:p>
        </w:tc>
        <w:tc>
          <w:tcPr>
            <w:tcW w:type="dxa" w:w="2050"/>
            <w:shd w:fill="FFFFFF" w:val="clear"/>
            <w:tcMar>
              <w:top w:type="dxa" w:w="80"/>
              <w:left w:type="dxa" w:w="110"/>
              <w:bottom w:type="dxa" w:w="80"/>
              <w:right w:type="dxa" w:w="110"/>
            </w:tcMar>
          </w:tcPr>
          <w:p>
            <w:r>
              <w:rPr>
                <w:b w:val="false"/>
                <w:bCs w:val="false"/>
                <w:color w:val="1E2A38"/>
                <w:sz w:val="16"/>
                <w:szCs w:val="16"/>
              </w:rPr>
              <w:t xml:space="preserve">None</w:t>
            </w:r>
          </w:p>
        </w:tc>
        <w:tc>
          <w:tcPr>
            <w:tcW w:type="dxa" w:w="2050"/>
            <w:shd w:fill="FFFFFF" w:val="clear"/>
            <w:tcMar>
              <w:top w:type="dxa" w:w="80"/>
              <w:left w:type="dxa" w:w="110"/>
              <w:bottom w:type="dxa" w:w="80"/>
              <w:right w:type="dxa" w:w="110"/>
            </w:tcMar>
          </w:tcPr>
          <w:p>
            <w:r>
              <w:rPr>
                <w:b w:val="false"/>
                <w:bCs w:val="false"/>
                <w:color w:val="1E2A38"/>
                <w:sz w:val="16"/>
                <w:szCs w:val="16"/>
              </w:rPr>
              <w:t xml:space="preserve">None</w:t>
            </w:r>
          </w:p>
        </w:tc>
        <w:tc>
          <w:tcPr>
            <w:tcW w:type="dxa" w:w="2700"/>
            <w:shd w:fill="FFFFFF" w:val="clear"/>
            <w:tcMar>
              <w:top w:type="dxa" w:w="80"/>
              <w:left w:type="dxa" w:w="110"/>
              <w:bottom w:type="dxa" w:w="80"/>
              <w:right w:type="dxa" w:w="110"/>
            </w:tcMar>
          </w:tcPr>
          <w:p>
            <w:r>
              <w:rPr>
                <w:b w:val="false"/>
                <w:bCs w:val="false"/>
                <w:color w:val="1E2A38"/>
                <w:sz w:val="16"/>
                <w:szCs w:val="16"/>
              </w:rPr>
              <w:t xml:space="preserve">Explicit spatial graph over trees with proximity-weighted propagation (Eq. 15–16)</w:t>
            </w:r>
          </w:p>
        </w:tc>
      </w:tr>
      <w:tr>
        <w:tc>
          <w:tcPr>
            <w:tcW w:type="dxa" w:w="1600"/>
            <w:shd w:fill="F4F7FB" w:val="clear"/>
            <w:tcMar>
              <w:top w:type="dxa" w:w="80"/>
              <w:left w:type="dxa" w:w="110"/>
              <w:bottom w:type="dxa" w:w="80"/>
              <w:right w:type="dxa" w:w="110"/>
            </w:tcMar>
          </w:tcPr>
          <w:p>
            <w:r>
              <w:rPr>
                <w:b w:val="false"/>
                <w:bCs w:val="false"/>
                <w:color w:val="1E2A38"/>
                <w:sz w:val="16"/>
                <w:szCs w:val="16"/>
              </w:rPr>
              <w:t xml:space="preserve">Alert output</w:t>
            </w:r>
          </w:p>
        </w:tc>
        <w:tc>
          <w:tcPr>
            <w:tcW w:type="dxa" w:w="2050"/>
            <w:shd w:fill="F4F7FB" w:val="clear"/>
            <w:tcMar>
              <w:top w:type="dxa" w:w="80"/>
              <w:left w:type="dxa" w:w="110"/>
              <w:bottom w:type="dxa" w:w="80"/>
              <w:right w:type="dxa" w:w="110"/>
            </w:tcMar>
          </w:tcPr>
          <w:p>
            <w:r>
              <w:rPr>
                <w:b w:val="false"/>
                <w:bCs w:val="false"/>
                <w:color w:val="1E2A38"/>
                <w:sz w:val="16"/>
                <w:szCs w:val="16"/>
              </w:rPr>
              <w:t xml:space="preserve">Detection box / classification label</w:t>
            </w:r>
          </w:p>
        </w:tc>
        <w:tc>
          <w:tcPr>
            <w:tcW w:type="dxa" w:w="2050"/>
            <w:shd w:fill="F4F7FB" w:val="clear"/>
            <w:tcMar>
              <w:top w:type="dxa" w:w="80"/>
              <w:left w:type="dxa" w:w="110"/>
              <w:bottom w:type="dxa" w:w="80"/>
              <w:right w:type="dxa" w:w="110"/>
            </w:tcMar>
          </w:tcPr>
          <w:p>
            <w:r>
              <w:rPr>
                <w:b w:val="false"/>
                <w:bCs w:val="false"/>
                <w:color w:val="1E2A38"/>
                <w:sz w:val="16"/>
                <w:szCs w:val="16"/>
              </w:rPr>
              <w:t xml:space="preserve">Per-tree Healthy / Not-Healthy</w:t>
            </w:r>
          </w:p>
        </w:tc>
        <w:tc>
          <w:tcPr>
            <w:tcW w:type="dxa" w:w="2700"/>
            <w:shd w:fill="F4F7FB" w:val="clear"/>
            <w:tcMar>
              <w:top w:type="dxa" w:w="80"/>
              <w:left w:type="dxa" w:w="110"/>
              <w:bottom w:type="dxa" w:w="80"/>
              <w:right w:type="dxa" w:w="110"/>
            </w:tcMar>
          </w:tcPr>
          <w:p>
            <w:r>
              <w:rPr>
                <w:b w:val="false"/>
                <w:bCs w:val="false"/>
                <w:color w:val="1E2A38"/>
                <w:sz w:val="16"/>
                <w:szCs w:val="16"/>
              </w:rPr>
              <w:t xml:space="preserve">Per-tree alert AND a separate, earlier-firing farm-level outbreak alert (Eq. 18–19)</w:t>
            </w:r>
          </w:p>
        </w:tc>
      </w:tr>
      <w:tr>
        <w:tc>
          <w:tcPr>
            <w:tcW w:type="dxa" w:w="1600"/>
            <w:shd w:fill="FFFFFF" w:val="clear"/>
            <w:tcMar>
              <w:top w:type="dxa" w:w="80"/>
              <w:left w:type="dxa" w:w="110"/>
              <w:bottom w:type="dxa" w:w="80"/>
              <w:right w:type="dxa" w:w="110"/>
            </w:tcMar>
          </w:tcPr>
          <w:p>
            <w:r>
              <w:rPr>
                <w:b w:val="false"/>
                <w:bCs w:val="false"/>
                <w:color w:val="1E2A38"/>
                <w:sz w:val="16"/>
                <w:szCs w:val="16"/>
              </w:rPr>
              <w:t xml:space="preserve">Target hardware</w:t>
            </w:r>
          </w:p>
        </w:tc>
        <w:tc>
          <w:tcPr>
            <w:tcW w:type="dxa" w:w="2050"/>
            <w:shd w:fill="FFFFFF" w:val="clear"/>
            <w:tcMar>
              <w:top w:type="dxa" w:w="80"/>
              <w:left w:type="dxa" w:w="110"/>
              <w:bottom w:type="dxa" w:w="80"/>
              <w:right w:type="dxa" w:w="110"/>
            </w:tcMar>
          </w:tcPr>
          <w:p>
            <w:r>
              <w:rPr>
                <w:b w:val="false"/>
                <w:bCs w:val="false"/>
                <w:color w:val="1E2A38"/>
                <w:sz w:val="16"/>
                <w:szCs w:val="16"/>
              </w:rPr>
              <w:t xml:space="preserve">Workstation / GPU-class</w:t>
            </w:r>
          </w:p>
        </w:tc>
        <w:tc>
          <w:tcPr>
            <w:tcW w:type="dxa" w:w="2050"/>
            <w:shd w:fill="FFFFFF" w:val="clear"/>
            <w:tcMar>
              <w:top w:type="dxa" w:w="80"/>
              <w:left w:type="dxa" w:w="110"/>
              <w:bottom w:type="dxa" w:w="80"/>
              <w:right w:type="dxa" w:w="110"/>
            </w:tcMar>
          </w:tcPr>
          <w:p>
            <w:r>
              <w:rPr>
                <w:b w:val="false"/>
                <w:bCs w:val="false"/>
                <w:color w:val="1E2A38"/>
                <w:sz w:val="16"/>
                <w:szCs w:val="16"/>
              </w:rPr>
              <w:t xml:space="preserve">Workstation / GPU-class (RED-BIYO); field IoT unit with measured battery life (COMICS)</w:t>
            </w:r>
          </w:p>
        </w:tc>
        <w:tc>
          <w:tcPr>
            <w:tcW w:type="dxa" w:w="2700"/>
            <w:shd w:fill="FFFFFF" w:val="clear"/>
            <w:tcMar>
              <w:top w:type="dxa" w:w="80"/>
              <w:left w:type="dxa" w:w="110"/>
              <w:bottom w:type="dxa" w:w="80"/>
              <w:right w:type="dxa" w:w="110"/>
            </w:tcMar>
          </w:tcPr>
          <w:p>
            <w:r>
              <w:rPr>
                <w:b w:val="false"/>
                <w:bCs w:val="false"/>
                <w:color w:val="1E2A38"/>
                <w:sz w:val="16"/>
                <w:szCs w:val="16"/>
              </w:rPr>
              <w:t xml:space="preserve">Edge-first: Nano/lightweight branch as default, attention-augmented branch where compute allows</w:t>
            </w:r>
          </w:p>
        </w:tc>
      </w:tr>
    </w:tbl>
    <w:p>
      <w:pPr>
        <w:spacing w:after="260" w:before="80"/>
        <w:jc w:val="center"/>
      </w:pPr>
      <w:r>
        <w:rPr>
          <w:i/>
          <w:iCs/>
          <w:color w:val="5A5A5A"/>
          <w:sz w:val="19"/>
          <w:szCs w:val="19"/>
        </w:rPr>
        <w:t xml:space="preserve">Table B.1 — Delta from single-modality, to bimodal per-tree, to the proposed modified algorithm.</w:t>
      </w:r>
    </w:p>
    <w:p>
      <w:pPr>
        <w:pStyle w:val="Heading2"/>
        <w:spacing w:after="120" w:before="260"/>
      </w:pPr>
      <w:r>
        <w:rPr>
          <w:b/>
          <w:bCs/>
          <w:color w:val="2C5F8A"/>
          <w:sz w:val="25"/>
          <w:szCs w:val="25"/>
        </w:rPr>
        <w:t xml:space="preserve">B.3  Modified Algorithm (Algorithm 2, formal statement)</w:t>
      </w:r>
    </w:p>
    <w:p>
      <w:pPr>
        <w:spacing w:after="140" w:line="300"/>
        <w:jc w:val="both"/>
      </w:pPr>
      <w:r>
        <w:rPr>
          <w:sz w:val="21"/>
          <w:szCs w:val="21"/>
        </w:rPr>
        <w:t xml:space="preserve">Input: streams {x_i(n), I_i} for trees i = 1..M; tree locations {loc_i}; thresholds θ_low, θ_high, θ_cluster; smoothing constants α, β; minimum cluster size k.</w:t>
      </w:r>
    </w:p>
    <w:p>
      <w:pPr>
        <w:spacing w:after="140" w:line="300"/>
        <w:jc w:val="both"/>
      </w:pPr>
      <w:r>
        <w:rPr>
          <w:sz w:val="21"/>
          <w:szCs w:val="21"/>
        </w:rPr>
        <w:t xml:space="preserve">Output: per-tree alert set A_tree ⊆ {1..M}; farm-level outbreak flag with implicated cluster.</w:t>
      </w:r>
    </w:p>
    <w:p>
      <w:pPr>
        <w:pStyle w:val="ListParagraph"/>
        <w:numPr>
          <w:ilvl w:val="0"/>
          <w:numId w:val="2"/>
        </w:numPr>
        <w:spacing w:after="100" w:line="290"/>
      </w:pPr>
      <w:r>
        <w:rPr>
          <w:sz w:val="21"/>
          <w:szCs w:val="21"/>
        </w:rPr>
        <w:t xml:space="preserve">For each tree i, pre-process the audio stream (Hamming window → STFT → magnitude → min–max normalise) to obtain S_norm,i, and pre-process the paired image I_i with the SavG filter (Eq. 9), resized and denoised.</w:t>
      </w:r>
    </w:p>
    <w:p>
      <w:pPr>
        <w:pStyle w:val="ListParagraph"/>
        <w:numPr>
          <w:ilvl w:val="0"/>
          <w:numId w:val="2"/>
        </w:numPr>
        <w:spacing w:after="100" w:line="290"/>
      </w:pPr>
      <w:r>
        <w:rPr>
          <w:sz w:val="21"/>
          <w:szCs w:val="21"/>
        </w:rPr>
        <w:t xml:space="preserve">Pass S_norm,i through the audio classifier (CNN+BiGRU, or PEN-BiGRU with positional encoding + self-attention) to obtain P_audio,i ∈ [0,1].</w:t>
      </w:r>
    </w:p>
    <w:p>
      <w:pPr>
        <w:pStyle w:val="ListParagraph"/>
        <w:numPr>
          <w:ilvl w:val="0"/>
          <w:numId w:val="2"/>
        </w:numPr>
        <w:spacing w:after="100" w:line="290"/>
      </w:pPr>
      <w:r>
        <w:rPr>
          <w:sz w:val="21"/>
          <w:szCs w:val="21"/>
        </w:rPr>
        <w:t xml:space="preserve">Run the visual detector (YOLO-Nano, or CAB-RetinaNet with ResNeXt + FPN + channel attention) on I_i to obtain P_visual,i = max score over detections.</w:t>
      </w:r>
    </w:p>
    <w:p>
      <w:pPr>
        <w:pStyle w:val="ListParagraph"/>
        <w:numPr>
          <w:ilvl w:val="0"/>
          <w:numId w:val="2"/>
        </w:numPr>
        <w:spacing w:after="100" w:line="290"/>
      </w:pPr>
      <w:r>
        <w:rPr>
          <w:sz w:val="21"/>
          <w:szCs w:val="21"/>
        </w:rPr>
        <w:t xml:space="preserve">Fuse: C_i(t) = w1·P_audio,i + w2·P_visual,i (or the Mamdani fuzzy rule base as an alternative).</w:t>
      </w:r>
    </w:p>
    <w:p>
      <w:pPr>
        <w:pStyle w:val="ListParagraph"/>
        <w:numPr>
          <w:ilvl w:val="0"/>
          <w:numId w:val="2"/>
        </w:numPr>
        <w:spacing w:after="100" w:line="290"/>
      </w:pPr>
      <w:r>
        <w:rPr>
          <w:sz w:val="21"/>
          <w:szCs w:val="21"/>
        </w:rPr>
        <w:t xml:space="preserve">Tag C_i(t) with (loc_i, t) and push to the central aggregator.</w:t>
      </w:r>
    </w:p>
    <w:p>
      <w:pPr>
        <w:pStyle w:val="ListParagraph"/>
        <w:numPr>
          <w:ilvl w:val="0"/>
          <w:numId w:val="2"/>
        </w:numPr>
        <w:spacing w:after="100" w:line="290"/>
      </w:pPr>
      <w:r>
        <w:rPr>
          <w:sz w:val="21"/>
          <w:szCs w:val="21"/>
        </w:rPr>
        <w:t xml:space="preserve">(Re)build / update the spatial graph G = (V,E) with edge weights e_ij = exp(−d(i,j)²/2σ²) for d(i,j) ≤ r.</w:t>
      </w:r>
    </w:p>
    <w:p>
      <w:pPr>
        <w:pStyle w:val="ListParagraph"/>
        <w:numPr>
          <w:ilvl w:val="0"/>
          <w:numId w:val="2"/>
        </w:numPr>
        <w:spacing w:after="100" w:line="290"/>
      </w:pPr>
      <w:r>
        <w:rPr>
          <w:sz w:val="21"/>
          <w:szCs w:val="21"/>
        </w:rPr>
        <w:t xml:space="preserve">Propagate spatially: C_i(t) ← α·C_i(t) + (1−α)·Σ_j e_ij C_j(t) / Σ_j e_ij.</w:t>
      </w:r>
    </w:p>
    <w:p>
      <w:pPr>
        <w:pStyle w:val="ListParagraph"/>
        <w:numPr>
          <w:ilvl w:val="0"/>
          <w:numId w:val="2"/>
        </w:numPr>
        <w:spacing w:after="100" w:line="290"/>
      </w:pPr>
      <w:r>
        <w:rPr>
          <w:sz w:val="21"/>
          <w:szCs w:val="21"/>
        </w:rPr>
        <w:t xml:space="preserve">Smooth temporally: C̄_i(t) = β·C_i(t) + (1−β)·C̄_i(t−1).</w:t>
      </w:r>
    </w:p>
    <w:p>
      <w:pPr>
        <w:pStyle w:val="ListParagraph"/>
        <w:numPr>
          <w:ilvl w:val="0"/>
          <w:numId w:val="2"/>
        </w:numPr>
        <w:spacing w:after="100" w:line="290"/>
      </w:pPr>
      <w:r>
        <w:rPr>
          <w:sz w:val="21"/>
          <w:szCs w:val="21"/>
        </w:rPr>
        <w:t xml:space="preserve">If C̄_i(t) &gt; θ_high, add i to A_tree and raise a tree-level alert.</w:t>
      </w:r>
    </w:p>
    <w:p>
      <w:pPr>
        <w:pStyle w:val="ListParagraph"/>
        <w:numPr>
          <w:ilvl w:val="0"/>
          <w:numId w:val="2"/>
        </w:numPr>
        <w:spacing w:after="100" w:line="290"/>
      </w:pPr>
      <w:r>
        <w:rPr>
          <w:sz w:val="21"/>
          <w:szCs w:val="21"/>
        </w:rPr>
        <w:t xml:space="preserve">Find connected clusters of nodes with C̄_i(t) &gt; θ_low; for any cluster of size ≥ k, compute O and raise a farm-level outbreak alert if O &gt; θ_cluster.</w:t>
      </w:r>
    </w:p>
    <w:p>
      <w:pPr>
        <w:pStyle w:val="ListParagraph"/>
        <w:numPr>
          <w:ilvl w:val="0"/>
          <w:numId w:val="2"/>
        </w:numPr>
        <w:spacing w:after="100" w:line="290"/>
      </w:pPr>
      <w:r>
        <w:rPr>
          <w:sz w:val="21"/>
          <w:szCs w:val="21"/>
        </w:rPr>
        <w:t xml:space="preserve">Push all raised alerts, with location and confidence trend, to the farmer-facing IoT dashboard; return to Step 1 at the next scan interval.</w:t>
      </w:r>
    </w:p>
    <w:p>
      <w:pPr>
        <w:pStyle w:val="Heading2"/>
        <w:spacing w:after="120" w:before="260"/>
      </w:pPr>
      <w:r>
        <w:rPr>
          <w:b/>
          <w:bCs/>
          <w:color w:val="2C5F8A"/>
          <w:sz w:val="25"/>
          <w:szCs w:val="25"/>
        </w:rPr>
        <w:t xml:space="preserve">B.4  Why this is a meaningful modification, not just an addition</w:t>
      </w:r>
    </w:p>
    <w:p>
      <w:pPr>
        <w:spacing w:after="140" w:line="300"/>
        <w:jc w:val="both"/>
      </w:pPr>
      <w:r>
        <w:rPr>
          <w:sz w:val="21"/>
          <w:szCs w:val="21"/>
        </w:rPr>
        <w:t xml:space="preserve">The change is not merely appending a graph on top of an unchanged detector. Because Steps 7–9 feed back into the alert decision (Step 9/10) rather than only reporting a metric, the modified algorithm changes what counts as a positive: a tree can now be flagged sooner than its own hard threshold would allow, purely because its neighbours are also trending upward — which is the specific failure mode (late, isolated, per-tree-only alerts) that the Part 0 screening confirmed is shared by all four reference papers, including both bimodal ones. Equally, temporal smoothing (Eq. 17) makes the system more conservative against single noisy scans than any of the four screened papers, which only ever evaluated one scan at a time.</w:t>
      </w:r>
    </w:p>
    <w:p>
      <w:pPr>
        <w:pStyle w:val="Heading2"/>
        <w:spacing w:after="120" w:before="260"/>
      </w:pPr>
      <w:r>
        <w:rPr>
          <w:b/>
          <w:bCs/>
          <w:color w:val="2C5F8A"/>
          <w:sz w:val="25"/>
          <w:szCs w:val="25"/>
        </w:rPr>
        <w:t xml:space="preserve">B.5  Limitations carried into the modified algorithm</w:t>
      </w:r>
    </w:p>
    <w:p>
      <w:pPr>
        <w:pStyle w:val="ListParagraph"/>
        <w:numPr>
          <w:ilvl w:val="0"/>
          <w:numId w:val="1"/>
        </w:numPr>
        <w:spacing w:after="100" w:line="290"/>
      </w:pPr>
      <w:r>
        <w:rPr>
          <w:sz w:val="21"/>
          <w:szCs w:val="21"/>
        </w:rPr>
        <w:t xml:space="preserve">The linear fusion weights w1, w2 and the propagation constants α, β are hyperparameters that need field calibration; poorly chosen values can either over-smooth genuine isolated infestations or under-smooth noisy sensors.</w:t>
      </w:r>
    </w:p>
    <w:p>
      <w:pPr>
        <w:pStyle w:val="ListParagraph"/>
        <w:numPr>
          <w:ilvl w:val="0"/>
          <w:numId w:val="1"/>
        </w:numPr>
        <w:spacing w:after="100" w:line="290"/>
      </w:pPr>
      <w:r>
        <w:rPr>
          <w:sz w:val="21"/>
          <w:szCs w:val="21"/>
        </w:rPr>
        <w:t xml:space="preserve">Graph construction assumes tree geolocation is available and reasonably accurate (GPS or fixed-plot mapping); dense plantations with GPS multipath error will need a fallback (e.g. planting-grid index instead of raw coordinates).</w:t>
      </w:r>
    </w:p>
    <w:p>
      <w:pPr>
        <w:pStyle w:val="ListParagraph"/>
        <w:numPr>
          <w:ilvl w:val="0"/>
          <w:numId w:val="1"/>
        </w:numPr>
        <w:spacing w:after="100" w:line="290"/>
      </w:pPr>
      <w:r>
        <w:rPr>
          <w:sz w:val="21"/>
          <w:szCs w:val="21"/>
        </w:rPr>
        <w:t xml:space="preserve">The attention-augmented branches (CAB-RetinaNet, PEN-BiGRU) are heavier than their plain counterparts; per COMICS's own hardware study, audio-processing MCU power draw already dominates battery life (~5.5 days vs. 122 days for the microphone alone), so the attention-augmented configuration should be reserved for gateway/edge-server nodes rather than the lowest-power sensor nodes.</w:t>
      </w:r>
    </w:p>
    <w:p>
      <w:pPr>
        <w:pStyle w:val="ListParagraph"/>
        <w:numPr>
          <w:ilvl w:val="0"/>
          <w:numId w:val="1"/>
        </w:numPr>
        <w:spacing w:after="100" w:line="290"/>
      </w:pPr>
      <w:r>
        <w:rPr>
          <w:sz w:val="21"/>
          <w:szCs w:val="21"/>
        </w:rPr>
        <w:t xml:space="preserve">The propagation step (Eq. 16) is a simple one-hop diffusion for interpretability and edge-compute cost; a learned graph neural network layer (trained end-to-end on labelled outbreak-spread data, once such a dataset exists) is the natural next step but requires temporally-labelled, spatially-registered outbreak data that does not yet exist in any of the four screened papers or their datasets.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bda0d61926625bc6641b6ea6132fe136b5b34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2026-09-10T13:22:05.099Z</dcterms:created>
  <dcterms:modified xsi:type="dcterms:W3CDTF">2026-09-10T13:22:05.108Z</dcterms:modified>
</cp:coreProperties>
</file>

<file path=docProps/custom.xml><?xml version="1.0" encoding="utf-8"?>
<Properties xmlns="http://schemas.openxmlformats.org/officeDocument/2006/custom-properties" xmlns:vt="http://schemas.openxmlformats.org/officeDocument/2006/docPropsVTypes"/>
</file>