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0"/>
          <w:szCs w:val="30"/>
        </w:rPr>
        <w:t xml:space="preserve">AI-Enabled Audio–Visual Fusion with Spatial-Temporal Network Analysis for Early Detection of Red Palm Weevil Infestation in Coconut Trees</w:t>
      </w:r>
    </w:p>
    <w:p>
      <w:pPr>
        <w:pStyle w:val="Heading1"/>
        <w:spacing w:after="150" w:before="300"/>
      </w:pPr>
      <w:r>
        <w:t xml:space="preserve">Abstract</w:t>
      </w:r>
    </w:p>
    <w:p>
      <w:pPr>
        <w:spacing w:after="160" w:line="276"/>
        <w:jc w:val="both"/>
      </w:pPr>
      <w:r>
        <w:rPr>
          <w:rFonts w:ascii="Times New Roman" w:cs="Times New Roman" w:eastAsia="Times New Roman" w:hAnsi="Times New Roman"/>
          <w:sz w:val="22"/>
          <w:szCs w:val="22"/>
        </w:rPr>
        <w:t xml:space="preserve">Red Palm Weevil (RPW), Rhynchophorus ferrugineus, is among the most economically damaging pests affecting coconut and other palm plantations, primarily because its larvae feed concealed within the trunk for weeks before any externally visible symptom appears. By the time discoloration, boreholes, or frond wilting become noticeable, irreversible internal damage has usually already occurred, which makes early, non-invasive detection essential for timely intervention. This work proposes an AI-based bimodal detection framework that combines acoustic sensing of internal larval feeding sounds with RGB-image-based visual detection of external infestation symptoms and adult weevils. A lightweight spectrogram-based neural classifier is used for audio analysis, while a YOLO-based object detector performs real-time visual detection; a thermal-imaging channel considered in earlier planning is deliberately omitted from the present scope on feasibility grounds. Rather than treating each modality and each tree in isolation, the audio and visual outputs are fused into a single per-tree infestation-confidence score, and these per-tree scores are further aggregated through a spatial-temporal network-analysis layer that represents trees as nodes of a spatial graph and tracks how rising confidence values propagate among geographically adjacent trees over time. This allows the system to flag an emerging, farm-level outbreak before every individual tree independently crosses a hard detection threshold, closer to how real infestations actually spread from tree to tree. The report reviews the problem context and prior AI-driven approaches, surveys public datasets used for RPW detection, examines relevant detection algorithms, and positions the proposed audio-visual fusion with spread-aware network analysis as a novel extension beyond the single-modality, per-tree detection systems reported in existing literature.</w:t>
      </w:r>
    </w:p>
    <w:p>
      <w:pPr>
        <w:pStyle w:val="Heading1"/>
        <w:spacing w:after="150" w:before="300"/>
      </w:pPr>
      <w:r>
        <w:t xml:space="preserve">I. Introduction</w:t>
      </w:r>
    </w:p>
    <w:p>
      <w:pPr>
        <w:spacing w:after="160" w:line="276"/>
        <w:jc w:val="both"/>
      </w:pPr>
      <w:r>
        <w:rPr>
          <w:rFonts w:ascii="Times New Roman" w:cs="Times New Roman" w:eastAsia="Times New Roman" w:hAnsi="Times New Roman"/>
          <w:sz w:val="22"/>
          <w:szCs w:val="22"/>
        </w:rPr>
        <w:t xml:space="preserve">Coconut cultivation supports the livelihood of millions of farming households across South and Southeast Asia, the Middle East, and parts of Africa, and represents a crop of substantial commercial and ecological value in these regions. Among the many biotic threats coconut palms face, the Red Palm Weevil (RPW) is widely regarded as one of the most destructive, owing to its cryptic, endophytic feeding behaviour. Adult female weevils oviposit in wounds or soft tissue on the palm, and the hatched larvae tunnel and feed inside the trunk for an extended period, causing progressive structural weakening that is not visible from outside the tree until the infestation is already advanced. Traditional detection relies on manual visual inspection and pheromone trapping, both of which are labour-intensive, require trained personnel, do not scale well to large plantations, and are prone to missing early-stage infestations precisely when intervention would be most effective.</w:t>
      </w:r>
    </w:p>
    <w:p>
      <w:pPr>
        <w:spacing w:after="160" w:line="276"/>
        <w:jc w:val="both"/>
      </w:pPr>
      <w:r>
        <w:rPr>
          <w:rFonts w:ascii="Times New Roman" w:cs="Times New Roman" w:eastAsia="Times New Roman" w:hAnsi="Times New Roman"/>
          <w:sz w:val="22"/>
          <w:szCs w:val="22"/>
        </w:rPr>
        <w:t xml:space="preserve">The limitations of manual inspection have motivated a growing body of work applying artificial intelligence (AI) to agricultural pest and disease detection. Two broad sensing modalities dominate the RPW-detection literature. Acoustic approaches exploit the fact that larval feeding and chewing activity generates characteristic sound signatures that can be captured by microphones or piezoelectric sensors clipped to or embedded in the trunk, and then classified using signal-processing pipelines feeding into machine-learning or deep-learning classifiers. Visual approaches, by contrast, use RGB (and in some recent work, thermal) imagery, typically captured from handheld cameras, fixed installations, or unmanned aerial vehicles (UAVs), and processed with convolutional neural networks or modern object detectors such as the YOLO family to flag visible symptoms such as boreholes, frass extrusion, discoloration, or the adult weevil itself. Each modality has complementary strengths and weaknesses: acoustic sensing can, in principle, detect larval activity before any external symptom appears, but is sensitive to environmental noise, wind, and sensor placement; visual detection is robust and interpretable but can only act on damage or insects that are already externally visible.</w:t>
      </w:r>
    </w:p>
    <w:p>
      <w:pPr>
        <w:spacing w:after="160" w:line="276"/>
        <w:jc w:val="both"/>
      </w:pPr>
      <w:r>
        <w:rPr>
          <w:rFonts w:ascii="Times New Roman" w:cs="Times New Roman" w:eastAsia="Times New Roman" w:hAnsi="Times New Roman"/>
          <w:sz w:val="22"/>
          <w:szCs w:val="22"/>
        </w:rPr>
        <w:t xml:space="preserve">A smaller but growing line of work has begun to fuse acoustic and visual (and, in some cases, thermal) signals for a single tree, typically through a rule-based or fuzzy decision layer that combines per-modality confidence scores into one health assessment. This multimodal fusion measurably improves per-tree detection reliability relative to any single sensor. However, essentially all reported systems, fused or not, still treat each tree as an independent detection problem: a decision is made per tree, per scan, with no explicit modelling of how infestation likelihood is spatially or temporally correlated across neighbouring trees on the same plantation. This is a significant gap, because RPW infestations are known to spread locally from palm to palm rather than appearing independently and simultaneously across a farm; a detection framework that only reports isolated, per-tree alerts is therefore slower to recognise an emerging outbreak than one that can also recognise a spatial cluster of rising, still-individually-uncertain confidence scores.</w:t>
      </w:r>
    </w:p>
    <w:p>
      <w:pPr>
        <w:spacing w:after="160" w:line="276"/>
        <w:jc w:val="both"/>
      </w:pPr>
      <w:r>
        <w:rPr>
          <w:rFonts w:ascii="Times New Roman" w:cs="Times New Roman" w:eastAsia="Times New Roman" w:hAnsi="Times New Roman"/>
          <w:sz w:val="22"/>
          <w:szCs w:val="22"/>
        </w:rPr>
        <w:t xml:space="preserve">This project addresses that gap. Building on the acoustic and visual detection approaches surveyed in the literature, the proposed system uses a lightweight neural classifier operating on spectrograms of trunk-mounted acoustic recordings, together with a YOLO-based detector operating on RGB imagery, to produce a fused, confidence-weighted, per-tree infestation likelihood. A thermal-imaging channel considered during the initial design phase has been dropped from the present scope on practical feasibility grounds, and the acoustic-visual bimodal design is retained as the core sensing layer. The key contribution beyond this fused per-tree decision is a spatial-temporal network-analysis layer: individual tree decisions, tagged with location and timestamp, are accumulated at a central server and analysed as a graph in which trees are nodes and spatial proximity defines edges, so that clusters of rising infestation-confidence among geographically adjacent trees can be identified as an early, farm-wide warning signal, distinct from and earlier than any single tree independently crossing a hard alert threshold.</w:t>
      </w:r>
    </w:p>
    <w:p>
      <w:pPr>
        <w:spacing w:after="160" w:line="276"/>
        <w:jc w:val="both"/>
      </w:pPr>
      <w:r>
        <w:rPr>
          <w:rFonts w:ascii="Times New Roman" w:cs="Times New Roman" w:eastAsia="Times New Roman" w:hAnsi="Times New Roman"/>
          <w:sz w:val="22"/>
          <w:szCs w:val="22"/>
        </w:rPr>
        <w:t xml:space="preserve">The remainder of this report is organised as follows. Section II presents a literature survey of fifteen papers, grouped into three themes: the problem statement and AI-driven applications in pest and RPW detection, datasets used for RPW and coconut pest detection, and the algorithms and models relevant to the proposed audio-visual detection and fusion pipeline. Section III identifies the research gaps that emerge from this survey. Section IV states the novelty of the proposed work relative to the surveyed literature.</w:t>
      </w:r>
    </w:p>
    <w:p>
      <w:pPr>
        <w:pStyle w:val="Heading1"/>
        <w:spacing w:after="150" w:before="300"/>
      </w:pPr>
      <w:r>
        <w:t xml:space="preserve">II. Literature Survey</w:t>
      </w:r>
    </w:p>
    <w:p>
      <w:pPr>
        <w:spacing w:after="160" w:line="276"/>
        <w:jc w:val="both"/>
      </w:pPr>
      <w:r>
        <w:rPr>
          <w:rFonts w:ascii="Times New Roman" w:cs="Times New Roman" w:eastAsia="Times New Roman" w:hAnsi="Times New Roman"/>
          <w:sz w:val="22"/>
          <w:szCs w:val="22"/>
        </w:rPr>
        <w:t xml:space="preserve">This section surveys fifteen papers relevant to the proposed system, organised into three groups of five: (A) the problem statement and how AI has been applied to RPW and agricultural pest detection, (B) datasets used for RPW and coconut-pest detection and how they have been employed, and (C) algorithms and models relevant to the acoustic-visual detection and fusion pipeline adopted in this project.</w:t>
      </w:r>
    </w:p>
    <w:p>
      <w:pPr>
        <w:pStyle w:val="Heading2"/>
        <w:spacing w:after="120" w:before="200"/>
      </w:pPr>
      <w:r>
        <w:t xml:space="preserve">A. Problem Statement and AI-Driven Applications in Pest Detection</w:t>
      </w:r>
    </w:p>
    <w:p>
      <w:pPr>
        <w:spacing w:after="160" w:line="276"/>
        <w:jc w:val="both"/>
      </w:pPr>
      <w:r>
        <w:rPr>
          <w:rFonts w:ascii="Times New Roman" w:cs="Times New Roman" w:eastAsia="Times New Roman" w:hAnsi="Times New Roman"/>
          <w:sz w:val="22"/>
          <w:szCs w:val="22"/>
        </w:rPr>
        <w:t xml:space="preserve">Soroker et al. [1] were among the first to demonstrate that acoustic sensors embedded in the palm trunk could non-invasively capture larval feeding sounds, establishing the basic feasibility of sound-based RPW detection ahead of any externally visible symptom and motivating the broader shift away from purely visual inspection.</w:t>
      </w:r>
    </w:p>
    <w:p>
      <w:pPr>
        <w:spacing w:after="160" w:line="276"/>
        <w:jc w:val="both"/>
      </w:pPr>
      <w:r>
        <w:rPr>
          <w:rFonts w:ascii="Times New Roman" w:cs="Times New Roman" w:eastAsia="Times New Roman" w:hAnsi="Times New Roman"/>
          <w:sz w:val="22"/>
          <w:szCs w:val="22"/>
        </w:rPr>
        <w:t xml:space="preserve">Faleiro et al. [2] extended this line of work by validating acoustic detection under real plantation conditions rather than controlled settings, showing that larval chewing sounds could be reliably distinguished from ambient environmental noise, which allowed growers to monitor palms without damaging them and confirmed the practical viability of field-deployed acoustic sensing.</w:t>
      </w:r>
    </w:p>
    <w:p>
      <w:pPr>
        <w:spacing w:after="160" w:line="276"/>
        <w:jc w:val="both"/>
      </w:pPr>
      <w:r>
        <w:rPr>
          <w:rFonts w:ascii="Times New Roman" w:cs="Times New Roman" w:eastAsia="Times New Roman" w:hAnsi="Times New Roman"/>
          <w:sz w:val="22"/>
          <w:szCs w:val="22"/>
        </w:rPr>
        <w:t>Martin et al. [3] presented a smart IoT-based thermal-imaging framework in which a Raspberry Pi-mounted infrared camera captures trunk thermal images that are classified by a lightweight CNN to flag early metabolic heat signatures of larval activity, illustrating a sensor-to-edge-device pipeline that, like the acoustic and visual pipelines surveyed elsewhere in this section, targets low-cost, field-deployable hardware rather than cloud-only inference.</w:t>
      </w:r>
    </w:p>
    <w:p>
      <w:pPr>
        <w:spacing w:after="160" w:line="276"/>
        <w:jc w:val="both"/>
      </w:pPr>
      <w:r>
        <w:rPr>
          <w:rFonts w:ascii="Times New Roman" w:cs="Times New Roman" w:eastAsia="Times New Roman" w:hAnsi="Times New Roman"/>
          <w:sz w:val="22"/>
          <w:szCs w:val="22"/>
        </w:rPr>
        <w:t xml:space="preserve">Alsanea et al. [4] applied a region-based convolutional neural network to localise RPW-related damage in images via bounding-box detection, demonstrating that deep-learning object detectors could deliver an efficient, lower-cost visual detection and classification pipeline suitable for large numbers of farms, which is directly relevant to the YOLO-based visual detection component adopted in this project.</w:t>
      </w:r>
    </w:p>
    <w:p>
      <w:pPr>
        <w:spacing w:after="160" w:line="276"/>
        <w:jc w:val="both"/>
      </w:pPr>
      <w:r>
        <w:rPr>
          <w:rFonts w:ascii="Times New Roman" w:cs="Times New Roman" w:eastAsia="Times New Roman" w:hAnsi="Times New Roman"/>
          <w:sz w:val="22"/>
          <w:szCs w:val="22"/>
        </w:rPr>
        <w:t xml:space="preserve">Kagan et al. [5] proposed a large-scale monitoring approach that applies deep learning to aerial and street-level imagery to automatically locate palm trees and flag infestation risk over wide geographic areas, illustrating how AI-driven detection can be extended from a single-tree problem to a landscape-scale monitoring problem, an idea that this project develops further through its spatial-temporal network-analysis layer.</w:t>
      </w:r>
    </w:p>
    <w:p>
      <w:pPr>
        <w:pStyle w:val="Heading2"/>
        <w:spacing w:after="120" w:before="200"/>
      </w:pPr>
      <w:r>
        <w:t xml:space="preserve">B. Datasets for Red Palm Weevil and Coconut Pest Detection</w:t>
      </w:r>
    </w:p>
    <w:p>
      <w:pPr>
        <w:spacing w:after="160" w:line="276"/>
        <w:jc w:val="both"/>
      </w:pPr>
      <w:r>
        <w:rPr>
          <w:rFonts w:ascii="Times New Roman" w:cs="Times New Roman" w:eastAsia="Times New Roman" w:hAnsi="Times New Roman"/>
          <w:sz w:val="22"/>
          <w:szCs w:val="22"/>
        </w:rPr>
        <w:t>Rigakis et al. [6] introduced TreeVibes, the acoustic monitoring platform and public dataset of labelled infested and non-infested palm-trunk recordings adopted as the sound dataset for this project; their description of the sensor-to-cloud pipeline behind TreeVibes establishes it as a practical, reproducible benchmark for training spectrogram-based larval-activity classifiers, though it remains limited to a single modality with no paired visual data for the same trees.</w:t>
      </w:r>
    </w:p>
    <w:p>
      <w:pPr>
        <w:spacing w:after="160" w:line="276"/>
        <w:jc w:val="both"/>
      </w:pPr>
      <w:r>
        <w:rPr>
          <w:rFonts w:ascii="Times New Roman" w:cs="Times New Roman" w:eastAsia="Times New Roman" w:hAnsi="Times New Roman"/>
          <w:sz w:val="22"/>
          <w:szCs w:val="22"/>
        </w:rPr>
        <w:t xml:space="preserve">Kurdi et al. [7] compiled a labelled RPW dataset and benchmarked several classical machine-learning algorithms (including Naive Bayes, Random Forest, and SVM variants) for early-stage infestation prediction, showing that carefully curated, feature-engineered datasets can support reasonably accurate early detection even without deep learning, and providing a useful accuracy baseline against which deep-learning approaches can be compared.</w:t>
      </w:r>
    </w:p>
    <w:p>
      <w:pPr>
        <w:spacing w:after="160" w:line="276"/>
        <w:jc w:val="both"/>
      </w:pPr>
      <w:r>
        <w:rPr>
          <w:rFonts w:ascii="Times New Roman" w:cs="Times New Roman" w:eastAsia="Times New Roman" w:hAnsi="Times New Roman"/>
          <w:sz w:val="22"/>
          <w:szCs w:val="22"/>
        </w:rPr>
        <w:t xml:space="preserve">Boulila et al. [8] introduced a novel dataset-construction strategy in which raw RPW acoustic signals are converted into image-like representations (spectrogram images) so that image-classification architectures such as ResNet50V2, VGG19, and DenseNet121 could be applied to what is fundamentally an audio classification problem, an approach that is methodologically close to the spectrogram-based audio pipeline used in this project.</w:t>
      </w:r>
    </w:p>
    <w:p>
      <w:pPr>
        <w:spacing w:after="160" w:line="276"/>
        <w:jc w:val="both"/>
      </w:pPr>
      <w:r>
        <w:rPr>
          <w:rFonts w:ascii="Times New Roman" w:cs="Times New Roman" w:eastAsia="Times New Roman" w:hAnsi="Times New Roman"/>
          <w:sz w:val="22"/>
          <w:szCs w:val="22"/>
        </w:rPr>
        <w:t>Wu et al. [9] compiled a purpose-built RGB image dataset of around 2,600 red palm weevils captured under different scenes and postures and used it to train an attention-enhanced YOLOv5 detector, illustrating the kind of annotated visual dataset that this project's RGB detection component relies on, while also highlighting the class-imbalance and background-diversity issues that such field-collected image datasets typically carry.</w:t>
      </w:r>
    </w:p>
    <w:p>
      <w:pPr>
        <w:spacing w:after="160" w:line="276"/>
        <w:jc w:val="both"/>
      </w:pPr>
      <w:r>
        <w:rPr>
          <w:rFonts w:ascii="Times New Roman" w:cs="Times New Roman" w:eastAsia="Times New Roman" w:hAnsi="Times New Roman"/>
          <w:sz w:val="22"/>
          <w:szCs w:val="22"/>
        </w:rPr>
        <w:t>Nadeem et al. [10] released a paired RGB-and-thermal image dataset of date-palm trunks captured across plantations in Khairpur, Pakistan, with each image annotated for RPW infestation severity based on farmer feedback and validated with a neural-network-based thermal analysis, offering a useful point of comparison for how multi-channel (RGB plus thermal) coconut/date-palm health datasets are typically structured and annotated.</w:t>
      </w:r>
    </w:p>
    <w:p>
      <w:pPr>
        <w:pStyle w:val="Heading2"/>
        <w:spacing w:after="120" w:before="200"/>
      </w:pPr>
      <w:r>
        <w:t xml:space="preserve">C. Algorithms and Models for Multimodal Pest Detection</w:t>
      </w:r>
    </w:p>
    <w:p>
      <w:pPr>
        <w:spacing w:after="160" w:line="276"/>
        <w:jc w:val="both"/>
      </w:pPr>
      <w:r>
        <w:rPr>
          <w:rFonts w:ascii="Times New Roman" w:cs="Times New Roman" w:eastAsia="Times New Roman" w:hAnsi="Times New Roman"/>
          <w:sz w:val="22"/>
          <w:szCs w:val="22"/>
        </w:rPr>
        <w:t>Deng et al. [11] proposed AMS-YOLO, a YOLOv8n variant augmented with an SMCA attention mechanism, a multi-scale MSBlock feature-fusion module, and an AMConv downsampling strategy for maize-pest detection, improving accuracy across pests at different developmental stages, which is directly relevant to the choice of an attention-augmented YOLO-family detector for the small, often partially occluded RPW targets and damage regions addressed in this project.</w:t>
      </w:r>
    </w:p>
    <w:p>
      <w:pPr>
        <w:spacing w:after="160" w:line="276"/>
        <w:jc w:val="both"/>
      </w:pPr>
      <w:r>
        <w:rPr>
          <w:rFonts w:ascii="Times New Roman" w:cs="Times New Roman" w:eastAsia="Times New Roman" w:hAnsi="Times New Roman"/>
          <w:sz w:val="22"/>
          <w:szCs w:val="22"/>
        </w:rPr>
        <w:t>Yang et al. [12] presented Maize-YOLO, a YOLOv7-based architecture incorporating a CSPResNeXt-50 module and a VoVGSCSP module to improve maize-pest detection accuracy and inference speed while reducing computational cost, illustrating a general strategy of augmenting the YOLO backbone with lightweight feature-fusion modules that could be adapted to strengthen RPW-specific visual detection on constrained hardware.</w:t>
      </w:r>
    </w:p>
    <w:p>
      <w:pPr>
        <w:spacing w:after="160" w:line="276"/>
        <w:jc w:val="both"/>
      </w:pPr>
      <w:r>
        <w:rPr>
          <w:rFonts w:ascii="Times New Roman" w:cs="Times New Roman" w:eastAsia="Times New Roman" w:hAnsi="Times New Roman"/>
          <w:sz w:val="22"/>
          <w:szCs w:val="22"/>
        </w:rPr>
        <w:t xml:space="preserve">Lu et al. [13] proposed an improved CNN-BiGRU architecture for rice-disease identification, in which convolutional layers extract spatial features and a bidirectional GRU captures sequential dependencies, reporting accuracy gains over baseline CNN and RNN models; this CNN + BiGRU pattern parallels the spectrogram-CNN-plus-recurrent design used for acoustic RPW classification and is a useful architectural reference for the audio branch of the proposed system.</w:t>
      </w:r>
    </w:p>
    <w:p>
      <w:pPr>
        <w:spacing w:after="160" w:line="276"/>
        <w:jc w:val="both"/>
      </w:pPr>
      <w:r>
        <w:rPr>
          <w:rFonts w:ascii="Times New Roman" w:cs="Times New Roman" w:eastAsia="Times New Roman" w:hAnsi="Times New Roman"/>
          <w:sz w:val="22"/>
          <w:szCs w:val="22"/>
        </w:rPr>
        <w:t>Kamalesh Kanna et al. [14] reviewed the YOLO family of object detectors and its agricultural applications, from crop and pest classification to disease detection, discussing the underlying one-stage detection principle and reported accuracy figures across versions, providing a comparative view of the speed-accuracy trade-offs across YOLO versions that informs the choice of a lightweight YOLO variant for edge deployment in this project.</w:t>
      </w:r>
    </w:p>
    <w:p>
      <w:pPr>
        <w:spacing w:after="160" w:line="276"/>
        <w:jc w:val="both"/>
      </w:pPr>
      <w:r>
        <w:rPr>
          <w:rFonts w:ascii="Times New Roman" w:cs="Times New Roman" w:eastAsia="Times New Roman" w:hAnsi="Times New Roman"/>
          <w:sz w:val="22"/>
          <w:szCs w:val="22"/>
        </w:rPr>
        <w:t>Wang et al. [15] combined fibre-optic distributed acoustic sensing with a fully-connected artificial neural network and a convolutional neural network to classify healthy and RPW-infested trees from temporal and spectral acoustic features, reporting classification accuracies above 99%, an early demonstration that a comparatively simple neural classifier operating on acoustic features can achieve strong RPW-detection performance, forming a baseline architectural reference for the audio-classification branch adopted in this project.</w:t>
      </w:r>
    </w:p>
    <w:p>
      <w:pPr>
        <w:pStyle w:val="Heading2"/>
        <w:spacing w:after="120" w:before="200"/>
      </w:pPr>
      <w:r>
        <w:t xml:space="preserve">Table I. Summary of Literature Survey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9E2F3" w:val="clear"/>
          </w:tcPr>
          <w:p>
            <w:r>
              <w:rPr>
                <w:rFonts w:ascii="Times New Roman" w:cs="Times New Roman" w:eastAsia="Times New Roman" w:hAnsi="Times New Roman"/>
                <w:b/>
                <w:bCs/>
                <w:sz w:val="20"/>
                <w:szCs w:val="20"/>
              </w:rPr>
              <w:t xml:space="preserve">Ref.</w:t>
            </w:r>
          </w:p>
        </w:tc>
        <w:tc>
          <w:tcPr>
            <w:tcW w:type="pct" w:w="22%"/>
            <w:shd w:fill="D9E2F3" w:val="clear"/>
          </w:tcPr>
          <w:p>
            <w:r>
              <w:rPr>
                <w:rFonts w:ascii="Times New Roman" w:cs="Times New Roman" w:eastAsia="Times New Roman" w:hAnsi="Times New Roman"/>
                <w:b/>
                <w:bCs/>
                <w:sz w:val="20"/>
                <w:szCs w:val="20"/>
              </w:rPr>
              <w:t xml:space="preserve">Author(s), Year</w:t>
            </w:r>
          </w:p>
        </w:tc>
        <w:tc>
          <w:tcPr>
            <w:tcW w:type="pct" w:w="14%"/>
            <w:shd w:fill="D9E2F3" w:val="clear"/>
          </w:tcPr>
          <w:p>
            <w:r>
              <w:rPr>
                <w:rFonts w:ascii="Times New Roman" w:cs="Times New Roman" w:eastAsia="Times New Roman" w:hAnsi="Times New Roman"/>
                <w:b/>
                <w:bCs/>
                <w:sz w:val="20"/>
                <w:szCs w:val="20"/>
              </w:rPr>
              <w:t xml:space="preserve">Focus</w:t>
            </w:r>
          </w:p>
        </w:tc>
        <w:tc>
          <w:tcPr>
            <w:tcW w:type="pct" w:w="36%"/>
            <w:shd w:fill="D9E2F3" w:val="clear"/>
          </w:tcPr>
          <w:p>
            <w:r>
              <w:rPr>
                <w:rFonts w:ascii="Times New Roman" w:cs="Times New Roman" w:eastAsia="Times New Roman" w:hAnsi="Times New Roman"/>
                <w:b/>
                <w:bCs/>
                <w:sz w:val="20"/>
                <w:szCs w:val="20"/>
              </w:rPr>
              <w:t xml:space="preserve">Contribution</w:t>
            </w:r>
          </w:p>
        </w:tc>
        <w:tc>
          <w:tcPr>
            <w:tcW w:type="pct" w:w="20%"/>
            <w:shd w:fill="D9E2F3" w:val="clear"/>
          </w:tcPr>
          <w:p>
            <w:r>
              <w:rPr>
                <w:rFonts w:ascii="Times New Roman" w:cs="Times New Roman" w:eastAsia="Times New Roman" w:hAnsi="Times New Roman"/>
                <w:b/>
                <w:bCs/>
                <w:sz w:val="20"/>
                <w:szCs w:val="20"/>
              </w:rPr>
              <w:t xml:space="preserve">Limitation</w:t>
            </w:r>
          </w:p>
        </w:tc>
      </w:tr>
      <w:tr>
        <w:tc>
          <w:tcPr>
            <w:tcW w:type="pct" w:w="20%"/>
          </w:tcPr>
          <w:p>
            <w:r>
              <w:rPr>
                <w:rFonts w:ascii="Times New Roman" w:cs="Times New Roman" w:eastAsia="Times New Roman" w:hAnsi="Times New Roman"/>
                <w:b w:val="false"/>
                <w:bCs w:val="false"/>
                <w:sz w:val="20"/>
                <w:szCs w:val="20"/>
              </w:rPr>
              <w:t xml:space="preserve">[1]</w:t>
            </w:r>
          </w:p>
        </w:tc>
        <w:tc>
          <w:tcPr>
            <w:tcW w:type="pct" w:w="20%"/>
          </w:tcPr>
          <w:p>
            <w:r>
              <w:rPr>
                <w:rFonts w:ascii="Times New Roman" w:cs="Times New Roman" w:eastAsia="Times New Roman" w:hAnsi="Times New Roman"/>
                <w:b w:val="false"/>
                <w:bCs w:val="false"/>
                <w:sz w:val="20"/>
                <w:szCs w:val="20"/>
              </w:rPr>
              <w:t xml:space="preserve">Soroker et al., 2010</w:t>
            </w:r>
          </w:p>
        </w:tc>
        <w:tc>
          <w:tcPr>
            <w:tcW w:type="pct" w:w="20%"/>
          </w:tcPr>
          <w:p>
            <w:r>
              <w:rPr>
                <w:rFonts w:ascii="Times New Roman" w:cs="Times New Roman" w:eastAsia="Times New Roman" w:hAnsi="Times New Roman"/>
                <w:b w:val="false"/>
                <w:bCs w:val="false"/>
                <w:sz w:val="20"/>
                <w:szCs w:val="20"/>
              </w:rPr>
              <w:t xml:space="preserve">Problem/AI</w:t>
            </w:r>
          </w:p>
        </w:tc>
        <w:tc>
          <w:tcPr>
            <w:tcW w:type="pct" w:w="20%"/>
          </w:tcPr>
          <w:p>
            <w:r>
              <w:rPr>
                <w:rFonts w:ascii="Times New Roman" w:cs="Times New Roman" w:eastAsia="Times New Roman" w:hAnsi="Times New Roman"/>
                <w:b w:val="false"/>
                <w:bCs w:val="false"/>
                <w:sz w:val="20"/>
                <w:szCs w:val="20"/>
              </w:rPr>
              <w:t xml:space="preserve">Trunk-embedded acoustic sensors for larval sound capture</w:t>
            </w:r>
          </w:p>
        </w:tc>
        <w:tc>
          <w:tcPr>
            <w:tcW w:type="pct" w:w="20%"/>
          </w:tcPr>
          <w:p>
            <w:r>
              <w:rPr>
                <w:rFonts w:ascii="Times New Roman" w:cs="Times New Roman" w:eastAsia="Times New Roman" w:hAnsi="Times New Roman"/>
                <w:b w:val="false"/>
                <w:bCs w:val="false"/>
                <w:sz w:val="20"/>
                <w:szCs w:val="20"/>
              </w:rPr>
              <w:t xml:space="preserve">No image data; lab-scale validation</w:t>
            </w:r>
          </w:p>
        </w:tc>
      </w:tr>
      <w:tr>
        <w:tc>
          <w:tcPr>
            <w:tcW w:type="pct" w:w="20%"/>
          </w:tcPr>
          <w:p>
            <w:r>
              <w:rPr>
                <w:rFonts w:ascii="Times New Roman" w:cs="Times New Roman" w:eastAsia="Times New Roman" w:hAnsi="Times New Roman"/>
                <w:b w:val="false"/>
                <w:bCs w:val="false"/>
                <w:sz w:val="20"/>
                <w:szCs w:val="20"/>
              </w:rPr>
              <w:t xml:space="preserve">[2]</w:t>
            </w:r>
          </w:p>
        </w:tc>
        <w:tc>
          <w:tcPr>
            <w:tcW w:type="pct" w:w="20%"/>
          </w:tcPr>
          <w:p>
            <w:r>
              <w:rPr>
                <w:rFonts w:ascii="Times New Roman" w:cs="Times New Roman" w:eastAsia="Times New Roman" w:hAnsi="Times New Roman"/>
                <w:b w:val="false"/>
                <w:bCs w:val="false"/>
                <w:sz w:val="20"/>
                <w:szCs w:val="20"/>
              </w:rPr>
              <w:t xml:space="preserve">Faleiro et al., 2012</w:t>
            </w:r>
          </w:p>
        </w:tc>
        <w:tc>
          <w:tcPr>
            <w:tcW w:type="pct" w:w="20%"/>
          </w:tcPr>
          <w:p>
            <w:r>
              <w:rPr>
                <w:rFonts w:ascii="Times New Roman" w:cs="Times New Roman" w:eastAsia="Times New Roman" w:hAnsi="Times New Roman"/>
                <w:b w:val="false"/>
                <w:bCs w:val="false"/>
                <w:sz w:val="20"/>
                <w:szCs w:val="20"/>
              </w:rPr>
              <w:t xml:space="preserve">Problem/AI</w:t>
            </w:r>
          </w:p>
        </w:tc>
        <w:tc>
          <w:tcPr>
            <w:tcW w:type="pct" w:w="20%"/>
          </w:tcPr>
          <w:p>
            <w:r>
              <w:rPr>
                <w:rFonts w:ascii="Times New Roman" w:cs="Times New Roman" w:eastAsia="Times New Roman" w:hAnsi="Times New Roman"/>
                <w:b w:val="false"/>
                <w:bCs w:val="false"/>
                <w:sz w:val="20"/>
                <w:szCs w:val="20"/>
              </w:rPr>
              <w:t xml:space="preserve">Field validation of acoustic detection vs. environmental noise</w:t>
            </w:r>
          </w:p>
        </w:tc>
        <w:tc>
          <w:tcPr>
            <w:tcW w:type="pct" w:w="20%"/>
          </w:tcPr>
          <w:p>
            <w:r>
              <w:rPr>
                <w:rFonts w:ascii="Times New Roman" w:cs="Times New Roman" w:eastAsia="Times New Roman" w:hAnsi="Times New Roman"/>
                <w:b w:val="false"/>
                <w:bCs w:val="false"/>
                <w:sz w:val="20"/>
                <w:szCs w:val="20"/>
              </w:rPr>
              <w:t xml:space="preserve">Single modality; manual noise filtering</w:t>
            </w:r>
          </w:p>
        </w:tc>
      </w:tr>
      <w:tr>
        <w:tc>
          <w:tcPr>
            <w:tcW w:type="pct" w:w="20%"/>
          </w:tcPr>
          <w:p>
            <w:r>
              <w:rPr>
                <w:rFonts w:ascii="Times New Roman" w:cs="Times New Roman" w:eastAsia="Times New Roman" w:hAnsi="Times New Roman"/>
                <w:b w:val="false"/>
                <w:bCs w:val="false"/>
                <w:sz w:val="20"/>
                <w:szCs w:val="20"/>
              </w:rPr>
              <w:t xml:space="preserve">[3]</w:t>
            </w:r>
          </w:p>
        </w:tc>
        <w:tc>
          <w:tcPr>
            <w:tcW w:type="pct" w:w="20%"/>
          </w:tcPr>
          <w:p>
            <w:r>
              <w:rPr>
                <w:rFonts w:ascii="Times New Roman" w:cs="Times New Roman" w:eastAsia="Times New Roman" w:hAnsi="Times New Roman"/>
                <w:b w:val="false"/>
                <w:bCs w:val="false"/>
                <w:sz w:val="20"/>
                <w:szCs w:val="20"/>
              </w:rPr>
              <w:t>Martin et al., 2026</w:t>
            </w:r>
          </w:p>
        </w:tc>
        <w:tc>
          <w:tcPr>
            <w:tcW w:type="pct" w:w="20%"/>
          </w:tcPr>
          <w:p>
            <w:r>
              <w:rPr>
                <w:rFonts w:ascii="Times New Roman" w:cs="Times New Roman" w:eastAsia="Times New Roman" w:hAnsi="Times New Roman"/>
                <w:b w:val="false"/>
                <w:bCs w:val="false"/>
                <w:sz w:val="20"/>
                <w:szCs w:val="20"/>
              </w:rPr>
              <w:t xml:space="preserve">Problem/AI</w:t>
            </w:r>
          </w:p>
        </w:tc>
        <w:tc>
          <w:tcPr>
            <w:tcW w:type="pct" w:w="20%"/>
          </w:tcPr>
          <w:p>
            <w:r>
              <w:rPr>
                <w:rFonts w:ascii="Times New Roman" w:cs="Times New Roman" w:eastAsia="Times New Roman" w:hAnsi="Times New Roman"/>
                <w:b w:val="false"/>
                <w:bCs w:val="false"/>
                <w:sz w:val="20"/>
                <w:szCs w:val="20"/>
              </w:rPr>
              <w:t>Raspberry Pi thermal-imaging CNN pipeline for early RPW detection</w:t>
            </w:r>
          </w:p>
        </w:tc>
        <w:tc>
          <w:tcPr>
            <w:tcW w:type="pct" w:w="20%"/>
          </w:tcPr>
          <w:p>
            <w:r>
              <w:rPr>
                <w:rFonts w:ascii="Times New Roman" w:cs="Times New Roman" w:eastAsia="Times New Roman" w:hAnsi="Times New Roman"/>
                <w:b w:val="false"/>
                <w:bCs w:val="false"/>
                <w:sz w:val="20"/>
                <w:szCs w:val="20"/>
              </w:rPr>
              <w:t>Single geographic region; thermal-only channel</w:t>
            </w:r>
          </w:p>
        </w:tc>
      </w:tr>
      <w:tr>
        <w:tc>
          <w:tcPr>
            <w:tcW w:type="pct" w:w="20%"/>
          </w:tcPr>
          <w:p>
            <w:r>
              <w:rPr>
                <w:rFonts w:ascii="Times New Roman" w:cs="Times New Roman" w:eastAsia="Times New Roman" w:hAnsi="Times New Roman"/>
                <w:b w:val="false"/>
                <w:bCs w:val="false"/>
                <w:sz w:val="20"/>
                <w:szCs w:val="20"/>
              </w:rPr>
              <w:t xml:space="preserve">[4]</w:t>
            </w:r>
          </w:p>
        </w:tc>
        <w:tc>
          <w:tcPr>
            <w:tcW w:type="pct" w:w="20%"/>
          </w:tcPr>
          <w:p>
            <w:r>
              <w:rPr>
                <w:rFonts w:ascii="Times New Roman" w:cs="Times New Roman" w:eastAsia="Times New Roman" w:hAnsi="Times New Roman"/>
                <w:b w:val="false"/>
                <w:bCs w:val="false"/>
                <w:sz w:val="20"/>
                <w:szCs w:val="20"/>
              </w:rPr>
              <w:t xml:space="preserve">Alsanea et al., 2022</w:t>
            </w:r>
          </w:p>
        </w:tc>
        <w:tc>
          <w:tcPr>
            <w:tcW w:type="pct" w:w="20%"/>
          </w:tcPr>
          <w:p>
            <w:r>
              <w:rPr>
                <w:rFonts w:ascii="Times New Roman" w:cs="Times New Roman" w:eastAsia="Times New Roman" w:hAnsi="Times New Roman"/>
                <w:b w:val="false"/>
                <w:bCs w:val="false"/>
                <w:sz w:val="20"/>
                <w:szCs w:val="20"/>
              </w:rPr>
              <w:t xml:space="preserve">Problem/AI</w:t>
            </w:r>
          </w:p>
        </w:tc>
        <w:tc>
          <w:tcPr>
            <w:tcW w:type="pct" w:w="20%"/>
          </w:tcPr>
          <w:p>
            <w:r>
              <w:rPr>
                <w:rFonts w:ascii="Times New Roman" w:cs="Times New Roman" w:eastAsia="Times New Roman" w:hAnsi="Times New Roman"/>
                <w:b w:val="false"/>
                <w:bCs w:val="false"/>
                <w:sz w:val="20"/>
                <w:szCs w:val="20"/>
              </w:rPr>
              <w:t xml:space="preserve">R-CNN based visual RPW localisation</w:t>
            </w:r>
          </w:p>
        </w:tc>
        <w:tc>
          <w:tcPr>
            <w:tcW w:type="pct" w:w="20%"/>
          </w:tcPr>
          <w:p>
            <w:r>
              <w:rPr>
                <w:rFonts w:ascii="Times New Roman" w:cs="Times New Roman" w:eastAsia="Times New Roman" w:hAnsi="Times New Roman"/>
                <w:b w:val="false"/>
                <w:bCs w:val="false"/>
                <w:sz w:val="20"/>
                <w:szCs w:val="20"/>
              </w:rPr>
              <w:t xml:space="preserve">High compute cost; single tree only</w:t>
            </w:r>
          </w:p>
        </w:tc>
      </w:tr>
      <w:tr>
        <w:tc>
          <w:tcPr>
            <w:tcW w:type="pct" w:w="20%"/>
          </w:tcPr>
          <w:p>
            <w:r>
              <w:rPr>
                <w:rFonts w:ascii="Times New Roman" w:cs="Times New Roman" w:eastAsia="Times New Roman" w:hAnsi="Times New Roman"/>
                <w:b w:val="false"/>
                <w:bCs w:val="false"/>
                <w:sz w:val="20"/>
                <w:szCs w:val="20"/>
              </w:rPr>
              <w:t xml:space="preserve">[5]</w:t>
            </w:r>
          </w:p>
        </w:tc>
        <w:tc>
          <w:tcPr>
            <w:tcW w:type="pct" w:w="20%"/>
          </w:tcPr>
          <w:p>
            <w:r>
              <w:rPr>
                <w:rFonts w:ascii="Times New Roman" w:cs="Times New Roman" w:eastAsia="Times New Roman" w:hAnsi="Times New Roman"/>
                <w:b w:val="false"/>
                <w:bCs w:val="false"/>
                <w:sz w:val="20"/>
                <w:szCs w:val="20"/>
              </w:rPr>
              <w:t xml:space="preserve">Kagan et al., 2021</w:t>
            </w:r>
          </w:p>
        </w:tc>
        <w:tc>
          <w:tcPr>
            <w:tcW w:type="pct" w:w="20%"/>
          </w:tcPr>
          <w:p>
            <w:r>
              <w:rPr>
                <w:rFonts w:ascii="Times New Roman" w:cs="Times New Roman" w:eastAsia="Times New Roman" w:hAnsi="Times New Roman"/>
                <w:b w:val="false"/>
                <w:bCs w:val="false"/>
                <w:sz w:val="20"/>
                <w:szCs w:val="20"/>
              </w:rPr>
              <w:t xml:space="preserve">Problem/AI</w:t>
            </w:r>
          </w:p>
        </w:tc>
        <w:tc>
          <w:tcPr>
            <w:tcW w:type="pct" w:w="20%"/>
          </w:tcPr>
          <w:p>
            <w:r>
              <w:rPr>
                <w:rFonts w:ascii="Times New Roman" w:cs="Times New Roman" w:eastAsia="Times New Roman" w:hAnsi="Times New Roman"/>
                <w:b w:val="false"/>
                <w:bCs w:val="false"/>
                <w:sz w:val="20"/>
                <w:szCs w:val="20"/>
              </w:rPr>
              <w:t xml:space="preserve">Landscape-scale palm mapping from aerial/street imagery</w:t>
            </w:r>
          </w:p>
        </w:tc>
        <w:tc>
          <w:tcPr>
            <w:tcW w:type="pct" w:w="20%"/>
          </w:tcPr>
          <w:p>
            <w:r>
              <w:rPr>
                <w:rFonts w:ascii="Times New Roman" w:cs="Times New Roman" w:eastAsia="Times New Roman" w:hAnsi="Times New Roman"/>
                <w:b w:val="false"/>
                <w:bCs w:val="false"/>
                <w:sz w:val="20"/>
                <w:szCs w:val="20"/>
              </w:rPr>
              <w:t xml:space="preserve">No per-tree infestation confirmation</w:t>
            </w:r>
          </w:p>
        </w:tc>
      </w:tr>
      <w:tr>
        <w:tc>
          <w:tcPr>
            <w:tcW w:type="pct" w:w="20%"/>
          </w:tcPr>
          <w:p>
            <w:r>
              <w:rPr>
                <w:rFonts w:ascii="Times New Roman" w:cs="Times New Roman" w:eastAsia="Times New Roman" w:hAnsi="Times New Roman"/>
                <w:b w:val="false"/>
                <w:bCs w:val="false"/>
                <w:sz w:val="20"/>
                <w:szCs w:val="20"/>
              </w:rPr>
              <w:t xml:space="preserve">[6]</w:t>
            </w:r>
          </w:p>
        </w:tc>
        <w:tc>
          <w:tcPr>
            <w:tcW w:type="pct" w:w="20%"/>
          </w:tcPr>
          <w:p>
            <w:r>
              <w:rPr>
                <w:rFonts w:ascii="Times New Roman" w:cs="Times New Roman" w:eastAsia="Times New Roman" w:hAnsi="Times New Roman"/>
                <w:b w:val="false"/>
                <w:bCs w:val="false"/>
                <w:sz w:val="20"/>
                <w:szCs w:val="20"/>
              </w:rPr>
              <w:t>Rigakis et al., 2021</w:t>
            </w:r>
          </w:p>
        </w:tc>
        <w:tc>
          <w:tcPr>
            <w:tcW w:type="pct" w:w="20%"/>
          </w:tcPr>
          <w:p>
            <w:r>
              <w:rPr>
                <w:rFonts w:ascii="Times New Roman" w:cs="Times New Roman" w:eastAsia="Times New Roman" w:hAnsi="Times New Roman"/>
                <w:b w:val="false"/>
                <w:bCs w:val="false"/>
                <w:sz w:val="20"/>
                <w:szCs w:val="20"/>
              </w:rPr>
              <w:t xml:space="preserve">Dataset</w:t>
            </w:r>
          </w:p>
        </w:tc>
        <w:tc>
          <w:tcPr>
            <w:tcW w:type="pct" w:w="20%"/>
          </w:tcPr>
          <w:p>
            <w:r>
              <w:rPr>
                <w:rFonts w:ascii="Times New Roman" w:cs="Times New Roman" w:eastAsia="Times New Roman" w:hAnsi="Times New Roman"/>
                <w:b w:val="false"/>
                <w:bCs w:val="false"/>
                <w:sz w:val="20"/>
                <w:szCs w:val="20"/>
              </w:rPr>
              <w:t>TreeVibes public labelled acoustic RPW dataset and monitoring platform</w:t>
            </w:r>
          </w:p>
        </w:tc>
        <w:tc>
          <w:tcPr>
            <w:tcW w:type="pct" w:w="20%"/>
          </w:tcPr>
          <w:p>
            <w:r>
              <w:rPr>
                <w:rFonts w:ascii="Times New Roman" w:cs="Times New Roman" w:eastAsia="Times New Roman" w:hAnsi="Times New Roman"/>
                <w:b w:val="false"/>
                <w:bCs w:val="false"/>
                <w:sz w:val="20"/>
                <w:szCs w:val="20"/>
              </w:rPr>
              <w:t xml:space="preserve">Audio-only; no paired imagery</w:t>
            </w:r>
          </w:p>
        </w:tc>
      </w:tr>
      <w:tr>
        <w:tc>
          <w:tcPr>
            <w:tcW w:type="pct" w:w="20%"/>
          </w:tcPr>
          <w:p>
            <w:r>
              <w:rPr>
                <w:rFonts w:ascii="Times New Roman" w:cs="Times New Roman" w:eastAsia="Times New Roman" w:hAnsi="Times New Roman"/>
                <w:b w:val="false"/>
                <w:bCs w:val="false"/>
                <w:sz w:val="20"/>
                <w:szCs w:val="20"/>
              </w:rPr>
              <w:t xml:space="preserve">[7]</w:t>
            </w:r>
          </w:p>
        </w:tc>
        <w:tc>
          <w:tcPr>
            <w:tcW w:type="pct" w:w="20%"/>
          </w:tcPr>
          <w:p>
            <w:r>
              <w:rPr>
                <w:rFonts w:ascii="Times New Roman" w:cs="Times New Roman" w:eastAsia="Times New Roman" w:hAnsi="Times New Roman"/>
                <w:b w:val="false"/>
                <w:bCs w:val="false"/>
                <w:sz w:val="20"/>
                <w:szCs w:val="20"/>
              </w:rPr>
              <w:t xml:space="preserve">Kurdi et al., 2021</w:t>
            </w:r>
          </w:p>
        </w:tc>
        <w:tc>
          <w:tcPr>
            <w:tcW w:type="pct" w:w="20%"/>
          </w:tcPr>
          <w:p>
            <w:r>
              <w:rPr>
                <w:rFonts w:ascii="Times New Roman" w:cs="Times New Roman" w:eastAsia="Times New Roman" w:hAnsi="Times New Roman"/>
                <w:b w:val="false"/>
                <w:bCs w:val="false"/>
                <w:sz w:val="20"/>
                <w:szCs w:val="20"/>
              </w:rPr>
              <w:t xml:space="preserve">Dataset</w:t>
            </w:r>
          </w:p>
        </w:tc>
        <w:tc>
          <w:tcPr>
            <w:tcW w:type="pct" w:w="20%"/>
          </w:tcPr>
          <w:p>
            <w:r>
              <w:rPr>
                <w:rFonts w:ascii="Times New Roman" w:cs="Times New Roman" w:eastAsia="Times New Roman" w:hAnsi="Times New Roman"/>
                <w:b w:val="false"/>
                <w:bCs w:val="false"/>
                <w:sz w:val="20"/>
                <w:szCs w:val="20"/>
              </w:rPr>
              <w:t xml:space="preserve">Curated dataset benchmarked on classical ML classifiers</w:t>
            </w:r>
          </w:p>
        </w:tc>
        <w:tc>
          <w:tcPr>
            <w:tcW w:type="pct" w:w="20%"/>
          </w:tcPr>
          <w:p>
            <w:r>
              <w:rPr>
                <w:rFonts w:ascii="Times New Roman" w:cs="Times New Roman" w:eastAsia="Times New Roman" w:hAnsi="Times New Roman"/>
                <w:b w:val="false"/>
                <w:bCs w:val="false"/>
                <w:sz w:val="20"/>
                <w:szCs w:val="20"/>
              </w:rPr>
              <w:t xml:space="preserve">No deep learning; small dataset</w:t>
            </w:r>
          </w:p>
        </w:tc>
      </w:tr>
      <w:tr>
        <w:tc>
          <w:tcPr>
            <w:tcW w:type="pct" w:w="20%"/>
          </w:tcPr>
          <w:p>
            <w:r>
              <w:rPr>
                <w:rFonts w:ascii="Times New Roman" w:cs="Times New Roman" w:eastAsia="Times New Roman" w:hAnsi="Times New Roman"/>
                <w:b w:val="false"/>
                <w:bCs w:val="false"/>
                <w:sz w:val="20"/>
                <w:szCs w:val="20"/>
              </w:rPr>
              <w:t xml:space="preserve">[8]</w:t>
            </w:r>
          </w:p>
        </w:tc>
        <w:tc>
          <w:tcPr>
            <w:tcW w:type="pct" w:w="20%"/>
          </w:tcPr>
          <w:p>
            <w:r>
              <w:rPr>
                <w:rFonts w:ascii="Times New Roman" w:cs="Times New Roman" w:eastAsia="Times New Roman" w:hAnsi="Times New Roman"/>
                <w:b w:val="false"/>
                <w:bCs w:val="false"/>
                <w:sz w:val="20"/>
                <w:szCs w:val="20"/>
              </w:rPr>
              <w:t xml:space="preserve">Boulila et al., 2023</w:t>
            </w:r>
          </w:p>
        </w:tc>
        <w:tc>
          <w:tcPr>
            <w:tcW w:type="pct" w:w="20%"/>
          </w:tcPr>
          <w:p>
            <w:r>
              <w:rPr>
                <w:rFonts w:ascii="Times New Roman" w:cs="Times New Roman" w:eastAsia="Times New Roman" w:hAnsi="Times New Roman"/>
                <w:b w:val="false"/>
                <w:bCs w:val="false"/>
                <w:sz w:val="20"/>
                <w:szCs w:val="20"/>
              </w:rPr>
              <w:t xml:space="preserve">Dataset</w:t>
            </w:r>
          </w:p>
        </w:tc>
        <w:tc>
          <w:tcPr>
            <w:tcW w:type="pct" w:w="20%"/>
          </w:tcPr>
          <w:p>
            <w:r>
              <w:rPr>
                <w:rFonts w:ascii="Times New Roman" w:cs="Times New Roman" w:eastAsia="Times New Roman" w:hAnsi="Times New Roman"/>
                <w:b w:val="false"/>
                <w:bCs w:val="false"/>
                <w:sz w:val="20"/>
                <w:szCs w:val="20"/>
              </w:rPr>
              <w:t xml:space="preserve">Sound-to-spectrogram-image dataset conversion</w:t>
            </w:r>
          </w:p>
        </w:tc>
        <w:tc>
          <w:tcPr>
            <w:tcW w:type="pct" w:w="20%"/>
          </w:tcPr>
          <w:p>
            <w:r>
              <w:rPr>
                <w:rFonts w:ascii="Times New Roman" w:cs="Times New Roman" w:eastAsia="Times New Roman" w:hAnsi="Times New Roman"/>
                <w:b w:val="false"/>
                <w:bCs w:val="false"/>
                <w:sz w:val="20"/>
                <w:szCs w:val="20"/>
              </w:rPr>
              <w:t xml:space="preserve">Conversion adds preprocessing overhead</w:t>
            </w:r>
          </w:p>
        </w:tc>
      </w:tr>
      <w:tr>
        <w:tc>
          <w:tcPr>
            <w:tcW w:type="pct" w:w="20%"/>
          </w:tcPr>
          <w:p>
            <w:r>
              <w:rPr>
                <w:rFonts w:ascii="Times New Roman" w:cs="Times New Roman" w:eastAsia="Times New Roman" w:hAnsi="Times New Roman"/>
                <w:b w:val="false"/>
                <w:bCs w:val="false"/>
                <w:sz w:val="20"/>
                <w:szCs w:val="20"/>
              </w:rPr>
              <w:t xml:space="preserve">[9]</w:t>
            </w:r>
          </w:p>
        </w:tc>
        <w:tc>
          <w:tcPr>
            <w:tcW w:type="pct" w:w="20%"/>
          </w:tcPr>
          <w:p>
            <w:r>
              <w:rPr>
                <w:rFonts w:ascii="Times New Roman" w:cs="Times New Roman" w:eastAsia="Times New Roman" w:hAnsi="Times New Roman"/>
                <w:b w:val="false"/>
                <w:bCs w:val="false"/>
                <w:sz w:val="20"/>
                <w:szCs w:val="20"/>
              </w:rPr>
              <w:t>Wu et al., 2023</w:t>
            </w:r>
          </w:p>
        </w:tc>
        <w:tc>
          <w:tcPr>
            <w:tcW w:type="pct" w:w="20%"/>
          </w:tcPr>
          <w:p>
            <w:r>
              <w:rPr>
                <w:rFonts w:ascii="Times New Roman" w:cs="Times New Roman" w:eastAsia="Times New Roman" w:hAnsi="Times New Roman"/>
                <w:b w:val="false"/>
                <w:bCs w:val="false"/>
                <w:sz w:val="20"/>
                <w:szCs w:val="20"/>
              </w:rPr>
              <w:t xml:space="preserve">Dataset</w:t>
            </w:r>
          </w:p>
        </w:tc>
        <w:tc>
          <w:tcPr>
            <w:tcW w:type="pct" w:w="20%"/>
          </w:tcPr>
          <w:p>
            <w:r>
              <w:rPr>
                <w:rFonts w:ascii="Times New Roman" w:cs="Times New Roman" w:eastAsia="Times New Roman" w:hAnsi="Times New Roman"/>
                <w:b w:val="false"/>
                <w:bCs w:val="false"/>
                <w:sz w:val="20"/>
                <w:szCs w:val="20"/>
              </w:rPr>
              <w:t>~2,600-image RGB dataset with attention-enhanced YOLOv5 detector</w:t>
            </w:r>
          </w:p>
        </w:tc>
        <w:tc>
          <w:tcPr>
            <w:tcW w:type="pct" w:w="20%"/>
          </w:tcPr>
          <w:p>
            <w:r>
              <w:rPr>
                <w:rFonts w:ascii="Times New Roman" w:cs="Times New Roman" w:eastAsia="Times New Roman" w:hAnsi="Times New Roman"/>
                <w:b w:val="false"/>
                <w:bCs w:val="false"/>
                <w:sz w:val="20"/>
                <w:szCs w:val="20"/>
              </w:rPr>
              <w:t xml:space="preserve">Class imbalance; background variability</w:t>
            </w:r>
          </w:p>
        </w:tc>
      </w:tr>
      <w:tr>
        <w:tc>
          <w:tcPr>
            <w:tcW w:type="pct" w:w="20%"/>
          </w:tcPr>
          <w:p>
            <w:r>
              <w:rPr>
                <w:rFonts w:ascii="Times New Roman" w:cs="Times New Roman" w:eastAsia="Times New Roman" w:hAnsi="Times New Roman"/>
                <w:b w:val="false"/>
                <w:bCs w:val="false"/>
                <w:sz w:val="20"/>
                <w:szCs w:val="20"/>
              </w:rPr>
              <w:t xml:space="preserve">[10]</w:t>
            </w:r>
          </w:p>
        </w:tc>
        <w:tc>
          <w:tcPr>
            <w:tcW w:type="pct" w:w="20%"/>
          </w:tcPr>
          <w:p>
            <w:r>
              <w:rPr>
                <w:rFonts w:ascii="Times New Roman" w:cs="Times New Roman" w:eastAsia="Times New Roman" w:hAnsi="Times New Roman"/>
                <w:b w:val="false"/>
                <w:bCs w:val="false"/>
                <w:sz w:val="20"/>
                <w:szCs w:val="20"/>
              </w:rPr>
              <w:t>Nadeem et al., 2025</w:t>
            </w:r>
          </w:p>
        </w:tc>
        <w:tc>
          <w:tcPr>
            <w:tcW w:type="pct" w:w="20%"/>
          </w:tcPr>
          <w:p>
            <w:r>
              <w:rPr>
                <w:rFonts w:ascii="Times New Roman" w:cs="Times New Roman" w:eastAsia="Times New Roman" w:hAnsi="Times New Roman"/>
                <w:b w:val="false"/>
                <w:bCs w:val="false"/>
                <w:sz w:val="20"/>
                <w:szCs w:val="20"/>
              </w:rPr>
              <w:t xml:space="preserve">Dataset</w:t>
            </w:r>
          </w:p>
        </w:tc>
        <w:tc>
          <w:tcPr>
            <w:tcW w:type="pct" w:w="20%"/>
          </w:tcPr>
          <w:p>
            <w:r>
              <w:rPr>
                <w:rFonts w:ascii="Times New Roman" w:cs="Times New Roman" w:eastAsia="Times New Roman" w:hAnsi="Times New Roman"/>
                <w:b w:val="false"/>
                <w:bCs w:val="false"/>
                <w:sz w:val="20"/>
                <w:szCs w:val="20"/>
              </w:rPr>
              <w:t>Paired RGB+thermal date-palm image dataset, farmer-labelled severity</w:t>
            </w:r>
          </w:p>
        </w:tc>
        <w:tc>
          <w:tcPr>
            <w:tcW w:type="pct" w:w="20%"/>
          </w:tcPr>
          <w:p>
            <w:r>
              <w:rPr>
                <w:rFonts w:ascii="Times New Roman" w:cs="Times New Roman" w:eastAsia="Times New Roman" w:hAnsi="Times New Roman"/>
                <w:b w:val="false"/>
                <w:bCs w:val="false"/>
                <w:sz w:val="20"/>
                <w:szCs w:val="20"/>
              </w:rPr>
              <w:t>Single region; thermal capture adds hardware cost</w:t>
            </w:r>
          </w:p>
        </w:tc>
      </w:tr>
      <w:tr>
        <w:tc>
          <w:tcPr>
            <w:tcW w:type="pct" w:w="20%"/>
          </w:tcPr>
          <w:p>
            <w:r>
              <w:rPr>
                <w:rFonts w:ascii="Times New Roman" w:cs="Times New Roman" w:eastAsia="Times New Roman" w:hAnsi="Times New Roman"/>
                <w:b w:val="false"/>
                <w:bCs w:val="false"/>
                <w:sz w:val="20"/>
                <w:szCs w:val="20"/>
              </w:rPr>
              <w:t xml:space="preserve">[11]</w:t>
            </w:r>
          </w:p>
        </w:tc>
        <w:tc>
          <w:tcPr>
            <w:tcW w:type="pct" w:w="20%"/>
          </w:tcPr>
          <w:p>
            <w:r>
              <w:rPr>
                <w:rFonts w:ascii="Times New Roman" w:cs="Times New Roman" w:eastAsia="Times New Roman" w:hAnsi="Times New Roman"/>
                <w:b w:val="false"/>
                <w:bCs w:val="false"/>
                <w:sz w:val="20"/>
                <w:szCs w:val="20"/>
              </w:rPr>
              <w:t>Deng et al., 2025</w:t>
            </w:r>
          </w:p>
        </w:tc>
        <w:tc>
          <w:tcPr>
            <w:tcW w:type="pct" w:w="20%"/>
          </w:tcPr>
          <w:p>
            <w:r>
              <w:rPr>
                <w:rFonts w:ascii="Times New Roman" w:cs="Times New Roman" w:eastAsia="Times New Roman" w:hAnsi="Times New Roman"/>
                <w:b w:val="false"/>
                <w:bCs w:val="false"/>
                <w:sz w:val="20"/>
                <w:szCs w:val="20"/>
              </w:rPr>
              <w:t xml:space="preserve">Algorithm</w:t>
            </w:r>
          </w:p>
        </w:tc>
        <w:tc>
          <w:tcPr>
            <w:tcW w:type="pct" w:w="20%"/>
          </w:tcPr>
          <w:p>
            <w:r>
              <w:rPr>
                <w:rFonts w:ascii="Times New Roman" w:cs="Times New Roman" w:eastAsia="Times New Roman" w:hAnsi="Times New Roman"/>
                <w:b w:val="false"/>
                <w:bCs w:val="false"/>
                <w:sz w:val="20"/>
                <w:szCs w:val="20"/>
              </w:rPr>
              <w:t>AMS-YOLO: YOLOv8n + SMCA attention + MSBlock + AMConv</w:t>
            </w:r>
          </w:p>
        </w:tc>
        <w:tc>
          <w:tcPr>
            <w:tcW w:type="pct" w:w="20%"/>
          </w:tcPr>
          <w:p>
            <w:r>
              <w:rPr>
                <w:rFonts w:ascii="Times New Roman" w:cs="Times New Roman" w:eastAsia="Times New Roman" w:hAnsi="Times New Roman"/>
                <w:b w:val="false"/>
                <w:bCs w:val="false"/>
                <w:sz w:val="20"/>
                <w:szCs w:val="20"/>
              </w:rPr>
              <w:t>Tuned for maize pests, not RPW-scale objects</w:t>
            </w:r>
          </w:p>
        </w:tc>
      </w:tr>
      <w:tr>
        <w:tc>
          <w:tcPr>
            <w:tcW w:type="pct" w:w="20%"/>
          </w:tcPr>
          <w:p>
            <w:r>
              <w:rPr>
                <w:rFonts w:ascii="Times New Roman" w:cs="Times New Roman" w:eastAsia="Times New Roman" w:hAnsi="Times New Roman"/>
                <w:b w:val="false"/>
                <w:bCs w:val="false"/>
                <w:sz w:val="20"/>
                <w:szCs w:val="20"/>
              </w:rPr>
              <w:t xml:space="preserve">[12]</w:t>
            </w:r>
          </w:p>
        </w:tc>
        <w:tc>
          <w:tcPr>
            <w:tcW w:type="pct" w:w="20%"/>
          </w:tcPr>
          <w:p>
            <w:r>
              <w:rPr>
                <w:rFonts w:ascii="Times New Roman" w:cs="Times New Roman" w:eastAsia="Times New Roman" w:hAnsi="Times New Roman"/>
                <w:b w:val="false"/>
                <w:bCs w:val="false"/>
                <w:sz w:val="20"/>
                <w:szCs w:val="20"/>
              </w:rPr>
              <w:t>Yang et al., 2023</w:t>
            </w:r>
          </w:p>
        </w:tc>
        <w:tc>
          <w:tcPr>
            <w:tcW w:type="pct" w:w="20%"/>
          </w:tcPr>
          <w:p>
            <w:r>
              <w:rPr>
                <w:rFonts w:ascii="Times New Roman" w:cs="Times New Roman" w:eastAsia="Times New Roman" w:hAnsi="Times New Roman"/>
                <w:b w:val="false"/>
                <w:bCs w:val="false"/>
                <w:sz w:val="20"/>
                <w:szCs w:val="20"/>
              </w:rPr>
              <w:t xml:space="preserve">Algorithm</w:t>
            </w:r>
          </w:p>
        </w:tc>
        <w:tc>
          <w:tcPr>
            <w:tcW w:type="pct" w:w="20%"/>
          </w:tcPr>
          <w:p>
            <w:r>
              <w:rPr>
                <w:rFonts w:ascii="Times New Roman" w:cs="Times New Roman" w:eastAsia="Times New Roman" w:hAnsi="Times New Roman"/>
                <w:b w:val="false"/>
                <w:bCs w:val="false"/>
                <w:sz w:val="20"/>
                <w:szCs w:val="20"/>
              </w:rPr>
              <w:t>Maize-YOLO: YOLOv7 + CSPResNeXt-50 + VoVGSCSP</w:t>
            </w:r>
          </w:p>
        </w:tc>
        <w:tc>
          <w:tcPr>
            <w:tcW w:type="pct" w:w="20%"/>
          </w:tcPr>
          <w:p>
            <w:r>
              <w:rPr>
                <w:rFonts w:ascii="Times New Roman" w:cs="Times New Roman" w:eastAsia="Times New Roman" w:hAnsi="Times New Roman"/>
                <w:b w:val="false"/>
                <w:bCs w:val="false"/>
                <w:sz w:val="20"/>
                <w:szCs w:val="20"/>
              </w:rPr>
              <w:t>Tuned for maize pests; added modules increase size</w:t>
            </w:r>
          </w:p>
        </w:tc>
      </w:tr>
      <w:tr>
        <w:tc>
          <w:tcPr>
            <w:tcW w:type="pct" w:w="20%"/>
          </w:tcPr>
          <w:p>
            <w:r>
              <w:rPr>
                <w:rFonts w:ascii="Times New Roman" w:cs="Times New Roman" w:eastAsia="Times New Roman" w:hAnsi="Times New Roman"/>
                <w:b w:val="false"/>
                <w:bCs w:val="false"/>
                <w:sz w:val="20"/>
                <w:szCs w:val="20"/>
              </w:rPr>
              <w:t xml:space="preserve">[13]</w:t>
            </w:r>
          </w:p>
        </w:tc>
        <w:tc>
          <w:tcPr>
            <w:tcW w:type="pct" w:w="20%"/>
          </w:tcPr>
          <w:p>
            <w:r>
              <w:rPr>
                <w:rFonts w:ascii="Times New Roman" w:cs="Times New Roman" w:eastAsia="Times New Roman" w:hAnsi="Times New Roman"/>
                <w:b w:val="false"/>
                <w:bCs w:val="false"/>
                <w:sz w:val="20"/>
                <w:szCs w:val="20"/>
              </w:rPr>
              <w:t xml:space="preserve">Lu et al., 2023</w:t>
            </w:r>
          </w:p>
        </w:tc>
        <w:tc>
          <w:tcPr>
            <w:tcW w:type="pct" w:w="20%"/>
          </w:tcPr>
          <w:p>
            <w:r>
              <w:rPr>
                <w:rFonts w:ascii="Times New Roman" w:cs="Times New Roman" w:eastAsia="Times New Roman" w:hAnsi="Times New Roman"/>
                <w:b w:val="false"/>
                <w:bCs w:val="false"/>
                <w:sz w:val="20"/>
                <w:szCs w:val="20"/>
              </w:rPr>
              <w:t xml:space="preserve">Algorithm</w:t>
            </w:r>
          </w:p>
        </w:tc>
        <w:tc>
          <w:tcPr>
            <w:tcW w:type="pct" w:w="20%"/>
          </w:tcPr>
          <w:p>
            <w:r>
              <w:rPr>
                <w:rFonts w:ascii="Times New Roman" w:cs="Times New Roman" w:eastAsia="Times New Roman" w:hAnsi="Times New Roman"/>
                <w:b w:val="false"/>
                <w:bCs w:val="false"/>
                <w:sz w:val="20"/>
                <w:szCs w:val="20"/>
              </w:rPr>
              <w:t xml:space="preserve">CNN-BiGRU for spatial + sequential feature learning</w:t>
            </w:r>
          </w:p>
        </w:tc>
        <w:tc>
          <w:tcPr>
            <w:tcW w:type="pct" w:w="20%"/>
          </w:tcPr>
          <w:p>
            <w:r>
              <w:rPr>
                <w:rFonts w:ascii="Times New Roman" w:cs="Times New Roman" w:eastAsia="Times New Roman" w:hAnsi="Times New Roman"/>
                <w:b w:val="false"/>
                <w:bCs w:val="false"/>
                <w:sz w:val="20"/>
                <w:szCs w:val="20"/>
              </w:rPr>
              <w:t xml:space="preserve">Applied to rice disease, not acoustics</w:t>
            </w:r>
          </w:p>
        </w:tc>
      </w:tr>
      <w:tr>
        <w:tc>
          <w:tcPr>
            <w:tcW w:type="pct" w:w="20%"/>
          </w:tcPr>
          <w:p>
            <w:r>
              <w:rPr>
                <w:rFonts w:ascii="Times New Roman" w:cs="Times New Roman" w:eastAsia="Times New Roman" w:hAnsi="Times New Roman"/>
                <w:b w:val="false"/>
                <w:bCs w:val="false"/>
                <w:sz w:val="20"/>
                <w:szCs w:val="20"/>
              </w:rPr>
              <w:t xml:space="preserve">[14]</w:t>
            </w:r>
          </w:p>
        </w:tc>
        <w:tc>
          <w:tcPr>
            <w:tcW w:type="pct" w:w="20%"/>
          </w:tcPr>
          <w:p>
            <w:r>
              <w:rPr>
                <w:rFonts w:ascii="Times New Roman" w:cs="Times New Roman" w:eastAsia="Times New Roman" w:hAnsi="Times New Roman"/>
                <w:b w:val="false"/>
                <w:bCs w:val="false"/>
                <w:sz w:val="20"/>
                <w:szCs w:val="20"/>
              </w:rPr>
              <w:t>Kamalesh Kanna et al., 2024</w:t>
            </w:r>
          </w:p>
        </w:tc>
        <w:tc>
          <w:tcPr>
            <w:tcW w:type="pct" w:w="20%"/>
          </w:tcPr>
          <w:p>
            <w:r>
              <w:rPr>
                <w:rFonts w:ascii="Times New Roman" w:cs="Times New Roman" w:eastAsia="Times New Roman" w:hAnsi="Times New Roman"/>
                <w:b w:val="false"/>
                <w:bCs w:val="false"/>
                <w:sz w:val="20"/>
                <w:szCs w:val="20"/>
              </w:rPr>
              <w:t xml:space="preserve">Algorithm</w:t>
            </w:r>
          </w:p>
        </w:tc>
        <w:tc>
          <w:tcPr>
            <w:tcW w:type="pct" w:w="20%"/>
          </w:tcPr>
          <w:p>
            <w:r>
              <w:rPr>
                <w:rFonts w:ascii="Times New Roman" w:cs="Times New Roman" w:eastAsia="Times New Roman" w:hAnsi="Times New Roman"/>
                <w:b w:val="false"/>
                <w:bCs w:val="false"/>
                <w:sz w:val="20"/>
                <w:szCs w:val="20"/>
              </w:rPr>
              <w:t>Comparative review of YOLO versions in agriculture</w:t>
            </w:r>
          </w:p>
        </w:tc>
        <w:tc>
          <w:tcPr>
            <w:tcW w:type="pct" w:w="20%"/>
          </w:tcPr>
          <w:p>
            <w:r>
              <w:rPr>
                <w:rFonts w:ascii="Times New Roman" w:cs="Times New Roman" w:eastAsia="Times New Roman" w:hAnsi="Times New Roman"/>
                <w:b w:val="false"/>
                <w:bCs w:val="false"/>
                <w:sz w:val="20"/>
                <w:szCs w:val="20"/>
              </w:rPr>
              <w:t xml:space="preserve">Survey only; no new model</w:t>
            </w:r>
          </w:p>
        </w:tc>
      </w:tr>
      <w:tr>
        <w:tc>
          <w:tcPr>
            <w:tcW w:type="pct" w:w="20%"/>
          </w:tcPr>
          <w:p>
            <w:r>
              <w:rPr>
                <w:rFonts w:ascii="Times New Roman" w:cs="Times New Roman" w:eastAsia="Times New Roman" w:hAnsi="Times New Roman"/>
                <w:b w:val="false"/>
                <w:bCs w:val="false"/>
                <w:sz w:val="20"/>
                <w:szCs w:val="20"/>
              </w:rPr>
              <w:t xml:space="preserve">[15]</w:t>
            </w:r>
          </w:p>
        </w:tc>
        <w:tc>
          <w:tcPr>
            <w:tcW w:type="pct" w:w="20%"/>
          </w:tcPr>
          <w:p>
            <w:r>
              <w:rPr>
                <w:rFonts w:ascii="Times New Roman" w:cs="Times New Roman" w:eastAsia="Times New Roman" w:hAnsi="Times New Roman"/>
                <w:b w:val="false"/>
                <w:bCs w:val="false"/>
                <w:sz w:val="20"/>
                <w:szCs w:val="20"/>
              </w:rPr>
              <w:t>Wang et al., 2021</w:t>
            </w:r>
          </w:p>
        </w:tc>
        <w:tc>
          <w:tcPr>
            <w:tcW w:type="pct" w:w="20%"/>
          </w:tcPr>
          <w:p>
            <w:r>
              <w:rPr>
                <w:rFonts w:ascii="Times New Roman" w:cs="Times New Roman" w:eastAsia="Times New Roman" w:hAnsi="Times New Roman"/>
                <w:b w:val="false"/>
                <w:bCs w:val="false"/>
                <w:sz w:val="20"/>
                <w:szCs w:val="20"/>
              </w:rPr>
              <w:t xml:space="preserve">Algorithm</w:t>
            </w:r>
          </w:p>
        </w:tc>
        <w:tc>
          <w:tcPr>
            <w:tcW w:type="pct" w:w="20%"/>
          </w:tcPr>
          <w:p>
            <w:r>
              <w:rPr>
                <w:rFonts w:ascii="Times New Roman" w:cs="Times New Roman" w:eastAsia="Times New Roman" w:hAnsi="Times New Roman"/>
                <w:b w:val="false"/>
                <w:bCs w:val="false"/>
                <w:sz w:val="20"/>
                <w:szCs w:val="20"/>
              </w:rPr>
              <w:t>Fiber-optic DAS + ANN/CNN RPW classification (&gt;99% acc.)</w:t>
            </w:r>
          </w:p>
        </w:tc>
        <w:tc>
          <w:tcPr>
            <w:tcW w:type="pct" w:w="20%"/>
          </w:tcPr>
          <w:p>
            <w:r>
              <w:rPr>
                <w:rFonts w:ascii="Times New Roman" w:cs="Times New Roman" w:eastAsia="Times New Roman" w:hAnsi="Times New Roman"/>
                <w:b w:val="false"/>
                <w:bCs w:val="false"/>
                <w:sz w:val="20"/>
                <w:szCs w:val="20"/>
              </w:rPr>
              <w:t xml:space="preserve">Lab-only data; no field testing</w:t>
            </w:r>
          </w:p>
        </w:tc>
      </w:tr>
    </w:tbl>
    <w:p>
      <w:pPr>
        <w:spacing w:after="200"/>
      </w:pPr>
    </w:p>
    <w:p>
      <w:pPr>
        <w:pStyle w:val="Heading1"/>
        <w:spacing w:after="150" w:before="300"/>
      </w:pPr>
      <w:r>
        <w:t xml:space="preserve">III. Research Gaps</w:t>
      </w:r>
    </w:p>
    <w:p>
      <w:pPr>
        <w:spacing w:after="160" w:line="276"/>
        <w:jc w:val="both"/>
      </w:pPr>
      <w:r>
        <w:rPr>
          <w:rFonts w:ascii="Times New Roman" w:cs="Times New Roman" w:eastAsia="Times New Roman" w:hAnsi="Times New Roman"/>
          <w:sz w:val="22"/>
          <w:szCs w:val="22"/>
        </w:rPr>
        <w:t xml:space="preserve">The literature surveyed above, together with the two base papers reviewed for this project (an acoustic FFNN-based RPW detector and the RED-BIYO image-audio fuzzy-fusion framework), points to several recurring gaps that this project aims to address.</w:t>
      </w:r>
    </w:p>
    <w:p>
      <w:pPr>
        <w:pStyle w:val="ListParagraph"/>
        <w:numPr>
          <w:ilvl w:val="0"/>
          <w:numId w:val="1"/>
        </w:numPr>
        <w:spacing w:after="100"/>
      </w:pPr>
      <w:r>
        <w:rPr>
          <w:rFonts w:ascii="Times New Roman" w:cs="Times New Roman" w:eastAsia="Times New Roman" w:hAnsi="Times New Roman"/>
          <w:sz w:val="22"/>
          <w:szCs w:val="22"/>
        </w:rPr>
        <w:t xml:space="preserve">Per-tree, single-scan decision-making: Almost all reviewed systems, including fused ones such as RED-BIYO, output an independent health decision for one tree at one point in time; none model how infestation likelihood is spatially correlated with neighbouring trees or how it evolves over successive scans, so an emerging outbreak is only recognised after individual trees independently cross a hard alert threshold.</w:t>
      </w:r>
    </w:p>
    <w:p>
      <w:pPr>
        <w:pStyle w:val="ListParagraph"/>
        <w:numPr>
          <w:ilvl w:val="0"/>
          <w:numId w:val="1"/>
        </w:numPr>
        <w:spacing w:after="100"/>
      </w:pPr>
      <w:r>
        <w:rPr>
          <w:rFonts w:ascii="Times New Roman" w:cs="Times New Roman" w:eastAsia="Times New Roman" w:hAnsi="Times New Roman"/>
          <w:sz w:val="22"/>
          <w:szCs w:val="22"/>
        </w:rPr>
        <w:t xml:space="preserve">Reliance on a single modality: A majority of the surveyed problem-statement and algorithm papers use acoustic sensing or visual detection in isolation; even where fusion is attempted (as in the RED-BIYO base paper), it stops at combining outputs for one tree and does not extend to a farm-level analysis layer.</w:t>
      </w:r>
    </w:p>
    <w:p>
      <w:pPr>
        <w:pStyle w:val="ListParagraph"/>
        <w:numPr>
          <w:ilvl w:val="0"/>
          <w:numId w:val="1"/>
        </w:numPr>
        <w:spacing w:after="100"/>
      </w:pPr>
      <w:r>
        <w:rPr>
          <w:rFonts w:ascii="Times New Roman" w:cs="Times New Roman" w:eastAsia="Times New Roman" w:hAnsi="Times New Roman"/>
          <w:sz w:val="22"/>
          <w:szCs w:val="22"/>
        </w:rPr>
        <w:t>Dataset fragmentation and lack of pairing: Public datasets such as TreeVibes (audio-only) [6] and the RGB image dataset of Wu et al. (vision-only) [9] are not collected on the same trees or under matched conditions, so models trained on them cannot be directly validated as a genuinely paired multimodal pipeline; datasets are also geographically narrow, which raises generalisation concerns.</w:t>
      </w:r>
    </w:p>
    <w:p>
      <w:pPr>
        <w:pStyle w:val="ListParagraph"/>
        <w:numPr>
          <w:ilvl w:val="0"/>
          <w:numId w:val="1"/>
        </w:numPr>
        <w:spacing w:after="100"/>
      </w:pPr>
      <w:r>
        <w:rPr>
          <w:rFonts w:ascii="Times New Roman" w:cs="Times New Roman" w:eastAsia="Times New Roman" w:hAnsi="Times New Roman"/>
          <w:sz w:val="22"/>
          <w:szCs w:val="22"/>
        </w:rPr>
        <w:t xml:space="preserve">Thermal-sensing dependence in some multimodal designs: Several promising fusion approaches (including the RED-BIYO base paper) rely on a thermal or additional imaging channel that adds hardware cost, calibration burden, and sensitivity to ambient conditions, limiting deployability on low-cost, battery-powered field or drone hardware.</w:t>
      </w:r>
    </w:p>
    <w:p>
      <w:pPr>
        <w:pStyle w:val="ListParagraph"/>
        <w:numPr>
          <w:ilvl w:val="0"/>
          <w:numId w:val="1"/>
        </w:numPr>
        <w:spacing w:after="100"/>
      </w:pPr>
      <w:r>
        <w:rPr>
          <w:rFonts w:ascii="Times New Roman" w:cs="Times New Roman" w:eastAsia="Times New Roman" w:hAnsi="Times New Roman"/>
          <w:sz w:val="22"/>
          <w:szCs w:val="22"/>
        </w:rPr>
        <w:t xml:space="preserve">Edge-deployability is inconsistently validated: Many high-accuracy models reported in the algorithm-focused literature (e.g., deeper CNN or transformer-based classifiers) are evaluated on workstation-class GPUs, with limited evidence of real-time performance on constrained hardware such as a Raspberry Pi, which is the actual target platform for field and drone deployment.</w:t>
      </w:r>
    </w:p>
    <w:p>
      <w:pPr>
        <w:pStyle w:val="ListParagraph"/>
        <w:numPr>
          <w:ilvl w:val="0"/>
          <w:numId w:val="1"/>
        </w:numPr>
        <w:spacing w:after="100"/>
      </w:pPr>
      <w:r>
        <w:rPr>
          <w:rFonts w:ascii="Times New Roman" w:cs="Times New Roman" w:eastAsia="Times New Roman" w:hAnsi="Times New Roman"/>
          <w:sz w:val="22"/>
          <w:szCs w:val="22"/>
        </w:rPr>
        <w:t xml:space="preserve">No farm-scale, spread-aware evaluation metric: Existing evaluation is limited to standard per-tree classification metrics (accuracy, precision, recall, F1, mAP); none of the surveyed works propose or evaluate a farm-level, spatial-temporal early-warning capability, even though RPW is known to spread tree-to-tree rather than appearing independently across a plantation.</w:t>
      </w:r>
    </w:p>
    <w:p>
      <w:pPr>
        <w:pStyle w:val="Heading1"/>
        <w:spacing w:after="150" w:before="300"/>
      </w:pPr>
      <w:r>
        <w:t xml:space="preserve">IV. Novelty of the Proposed Work</w:t>
      </w:r>
    </w:p>
    <w:p>
      <w:pPr>
        <w:spacing w:after="160" w:line="276"/>
        <w:jc w:val="both"/>
      </w:pPr>
      <w:r>
        <w:rPr>
          <w:rFonts w:ascii="Times New Roman" w:cs="Times New Roman" w:eastAsia="Times New Roman" w:hAnsi="Times New Roman"/>
          <w:sz w:val="22"/>
          <w:szCs w:val="22"/>
        </w:rPr>
        <w:t xml:space="preserve">Building directly on the gaps identified above, the proposed system contributes the following elements that, taken together, are not present in any single work surveyed in this report.</w:t>
      </w:r>
    </w:p>
    <w:p>
      <w:pPr>
        <w:pStyle w:val="ListParagraph"/>
        <w:numPr>
          <w:ilvl w:val="0"/>
          <w:numId w:val="1"/>
        </w:numPr>
        <w:spacing w:after="100"/>
      </w:pPr>
      <w:r>
        <w:rPr>
          <w:rFonts w:ascii="Times New Roman" w:cs="Times New Roman" w:eastAsia="Times New Roman" w:hAnsi="Times New Roman"/>
          <w:sz w:val="22"/>
          <w:szCs w:val="22"/>
        </w:rPr>
        <w:t xml:space="preserve">Bimodal (acoustic + RGB) fusion at the tree level, deliberately scoped without thermal imaging: acoustic spectrogram classification and YOLO-based RGB detection are combined into a single confidence-weighted per-tree infestation likelihood, keeping the sensing stack lightweight and field-deployable while retaining the accuracy benefit of fusion demonstrated by prior multimodal work.</w:t>
      </w:r>
    </w:p>
    <w:p>
      <w:pPr>
        <w:pStyle w:val="ListParagraph"/>
        <w:numPr>
          <w:ilvl w:val="0"/>
          <w:numId w:val="1"/>
        </w:numPr>
        <w:spacing w:after="100"/>
      </w:pPr>
      <w:r>
        <w:rPr>
          <w:rFonts w:ascii="Times New Roman" w:cs="Times New Roman" w:eastAsia="Times New Roman" w:hAnsi="Times New Roman"/>
          <w:sz w:val="22"/>
          <w:szCs w:val="22"/>
        </w:rPr>
        <w:t xml:space="preserve">Spatial-temporal network analysis for farm-level early warning: rather than stopping at a per-tree decision, per-tree confidence scores are tagged with location and timestamp and analysed as a spatial graph over the plantation, so that a cluster of rising, still-individually-uncertain confidence scores among neighbouring trees can be recognised as an emerging outbreak earlier than any single-tree threshold-crossing would allow — directly modelling how RPW infestations are known to spread from palm to palm.</w:t>
      </w:r>
    </w:p>
    <w:p>
      <w:pPr>
        <w:pStyle w:val="ListParagraph"/>
        <w:numPr>
          <w:ilvl w:val="0"/>
          <w:numId w:val="1"/>
        </w:numPr>
        <w:spacing w:after="100"/>
      </w:pPr>
      <w:r>
        <w:rPr>
          <w:rFonts w:ascii="Times New Roman" w:cs="Times New Roman" w:eastAsia="Times New Roman" w:hAnsi="Times New Roman"/>
          <w:sz w:val="22"/>
          <w:szCs w:val="22"/>
        </w:rPr>
        <w:t xml:space="preserve">Edge-first, lightweight model selection: the acoustic classifier and a Nano-scale YOLO detector are chosen specifically to run on constrained, field-deployable hardware such as a Raspberry Pi, rather than requiring cloud-GPU inference, targeting real-world deployability on smallholder and mid-size plantations rather than benchmark accuracy alone.</w:t>
      </w:r>
    </w:p>
    <w:p>
      <w:pPr>
        <w:pStyle w:val="ListParagraph"/>
        <w:numPr>
          <w:ilvl w:val="0"/>
          <w:numId w:val="1"/>
        </w:numPr>
        <w:spacing w:after="100"/>
      </w:pPr>
      <w:r>
        <w:rPr>
          <w:rFonts w:ascii="Times New Roman" w:cs="Times New Roman" w:eastAsia="Times New Roman" w:hAnsi="Times New Roman"/>
          <w:sz w:val="22"/>
          <w:szCs w:val="22"/>
        </w:rPr>
        <w:t xml:space="preserve">A closed loop from raw sensing to an actionable, farmer-facing early-warning output: the pipeline is designed to terminate not in a classification metric but in a dashboard-level, farm-wide alert that a grower can act on, addressing the practical failure mode that motivates this project — infestations going unnoticed until they have already spread across a plantation.</w:t>
      </w:r>
    </w:p>
    <w:p>
      <w:pPr>
        <w:pStyle w:val="Heading1"/>
        <w:spacing w:after="150" w:before="300"/>
      </w:pPr>
      <w:r>
        <w:t xml:space="preserve">References</w:t>
      </w:r>
    </w:p>
    <w:p>
      <w:pPr>
        <w:spacing w:after="100"/>
        <w:ind w:left="400" w:hanging="400"/>
      </w:pPr>
      <w:r>
        <w:rPr>
          <w:rFonts w:ascii="Times New Roman" w:cs="Times New Roman" w:eastAsia="Times New Roman" w:hAnsi="Times New Roman"/>
          <w:sz w:val="22"/>
          <w:szCs w:val="22"/>
        </w:rPr>
        <w:t>[1] V. Soroker, A. Nakache, S. Hetzroni, Y. Anshelevich, and M. Ish-Shalom, "Acoustic detection of red palm weevil," Crop Protection, vol. 29, no. 4, pp. 412–417, 2010.</w:t>
      </w:r>
    </w:p>
    <w:p>
      <w:pPr>
        <w:spacing w:after="100"/>
        <w:ind w:left="400" w:hanging="400"/>
      </w:pPr>
      <w:r>
        <w:rPr>
          <w:rFonts w:ascii="Times New Roman" w:cs="Times New Roman" w:eastAsia="Times New Roman" w:hAnsi="Times New Roman"/>
          <w:sz w:val="22"/>
          <w:szCs w:val="22"/>
        </w:rPr>
        <w:t>[2] J. R. Faleiro, V. A. Kumar, and S. N. Ramesh, "Acoustic detection of red palm weevil in coconut plantations," J. Insect Sci., vol. 12, no. 1, pp. 1–7, 2012.</w:t>
      </w:r>
    </w:p>
    <w:p>
      <w:pPr>
        <w:spacing w:after="100"/>
        <w:ind w:left="400" w:hanging="400"/>
      </w:pPr>
      <w:r>
        <w:rPr>
          <w:rFonts w:ascii="Times New Roman" w:cs="Times New Roman" w:eastAsia="Times New Roman" w:hAnsi="Times New Roman"/>
          <w:sz w:val="22"/>
          <w:szCs w:val="22"/>
        </w:rPr>
        <w:t>[3] B. Martin, S. Saranya, and P. J. Chowdary, "Smart IoT thermal imaging approach for early identification of Red Palm Weevil (RPW) infestation on palms," Sci. Rep., vol. 16, art. 5392, 2026.</w:t>
      </w:r>
    </w:p>
    <w:p>
      <w:pPr>
        <w:spacing w:after="100"/>
        <w:ind w:left="400" w:hanging="400"/>
      </w:pPr>
      <w:r>
        <w:rPr>
          <w:rFonts w:ascii="Times New Roman" w:cs="Times New Roman" w:eastAsia="Times New Roman" w:hAnsi="Times New Roman"/>
          <w:sz w:val="22"/>
          <w:szCs w:val="22"/>
        </w:rPr>
        <w:t>[4] M. Alsanea, S. Habib, N. F. Khan, M. F. Alsharekh, M. Islam, and S. Khan, "A deep-learning model for real-time red palm weevil detection and localization," J. Imaging, vol. 8, no. 6, p. 170, 2022.</w:t>
      </w:r>
    </w:p>
    <w:p>
      <w:pPr>
        <w:spacing w:after="100"/>
        <w:ind w:left="400" w:hanging="400"/>
      </w:pPr>
      <w:r>
        <w:rPr>
          <w:rFonts w:ascii="Times New Roman" w:cs="Times New Roman" w:eastAsia="Times New Roman" w:hAnsi="Times New Roman"/>
          <w:sz w:val="22"/>
          <w:szCs w:val="22"/>
        </w:rPr>
        <w:t>[5] D. Kagan, G. Fuhrmann Alpert, and M. Fire, "Automatic large-scale detection of red palm weevil infestation using aerial and street-view images," ISPRS J. Photogramm. Remote Sens., vol. 182, pp. 122–131, 2021.</w:t>
      </w:r>
    </w:p>
    <w:p>
      <w:pPr>
        <w:spacing w:after="100"/>
        <w:ind w:left="400" w:hanging="400"/>
      </w:pPr>
      <w:r>
        <w:rPr>
          <w:rFonts w:ascii="Times New Roman" w:cs="Times New Roman" w:eastAsia="Times New Roman" w:hAnsi="Times New Roman"/>
          <w:sz w:val="22"/>
          <w:szCs w:val="22"/>
        </w:rPr>
        <w:t>[6] I. Rigakis, I. Potamitis, N.-A. Tatlas, S. M. Potirakis, and S. Ntalampiras, "TreeVibes: Modern tools for global monitoring of trees for borers," Smart Cities, vol. 4, no. 1, pp. 271–285, 2021.</w:t>
      </w:r>
    </w:p>
    <w:p>
      <w:pPr>
        <w:spacing w:after="100"/>
        <w:ind w:left="400" w:hanging="400"/>
      </w:pPr>
      <w:r>
        <w:rPr>
          <w:rFonts w:ascii="Times New Roman" w:cs="Times New Roman" w:eastAsia="Times New Roman" w:hAnsi="Times New Roman"/>
          <w:sz w:val="22"/>
          <w:szCs w:val="22"/>
        </w:rPr>
        <w:t>[7] H. Kurdi, A. Al-Aldawsari, I. Al-Turaiki, and A. S. Aldawood, "Early detection of red palm weevil, Rhynchophorus ferrugineus (Olivier), infestation using data mining," Plants, vol. 10, no. 1, p. 95, 2021.</w:t>
      </w:r>
    </w:p>
    <w:p>
      <w:pPr>
        <w:spacing w:after="100"/>
        <w:ind w:left="400" w:hanging="400"/>
      </w:pPr>
      <w:r>
        <w:rPr>
          <w:rFonts w:ascii="Times New Roman" w:cs="Times New Roman" w:eastAsia="Times New Roman" w:hAnsi="Times New Roman"/>
          <w:sz w:val="22"/>
          <w:szCs w:val="22"/>
        </w:rPr>
        <w:t>[8] W. Boulila et al., "Early red palm weevil detection based on acoustic signals and deep learning," IEEE Internet of Things J., 2023.</w:t>
      </w:r>
    </w:p>
    <w:p>
      <w:pPr>
        <w:spacing w:after="100"/>
        <w:ind w:left="400" w:hanging="400"/>
      </w:pPr>
      <w:r>
        <w:rPr>
          <w:rFonts w:ascii="Times New Roman" w:cs="Times New Roman" w:eastAsia="Times New Roman" w:hAnsi="Times New Roman"/>
          <w:sz w:val="22"/>
          <w:szCs w:val="22"/>
        </w:rPr>
        <w:t>[9] S. Wu, J. Wang, L. Liu, D. Chen, H. Lu, C. Xu, R. Hao, Z. Li, and Q. Wang, "Enhanced YOLOv5 object detection algorithm for accurate detection of adult Rhynchophorus ferrugineus," Insects, vol. 14, no. 8, p. 698, 2023.</w:t>
      </w:r>
    </w:p>
    <w:p>
      <w:pPr>
        <w:spacing w:after="100"/>
        <w:ind w:left="400" w:hanging="400"/>
      </w:pPr>
      <w:r>
        <w:rPr>
          <w:rFonts w:ascii="Times New Roman" w:cs="Times New Roman" w:eastAsia="Times New Roman" w:hAnsi="Times New Roman"/>
          <w:sz w:val="22"/>
          <w:szCs w:val="22"/>
        </w:rPr>
        <w:t>[10] A. Nadeem, M. Ashraf, A. Mehmood, K. Rizwan, and M. S. Siddiqui, "Dataset of date palm tree (Phoenix dactylifera L.) thermal images and their classification based on Red Palm Weevil (Rhynchophorus ferrugineus) infestation," Front. Agron., vol. 7, art. 1604188, 2025.</w:t>
      </w:r>
    </w:p>
    <w:p>
      <w:pPr>
        <w:spacing w:after="100"/>
        <w:ind w:left="400" w:hanging="400"/>
      </w:pPr>
      <w:r>
        <w:rPr>
          <w:rFonts w:ascii="Times New Roman" w:cs="Times New Roman" w:eastAsia="Times New Roman" w:hAnsi="Times New Roman"/>
          <w:sz w:val="22"/>
          <w:szCs w:val="22"/>
        </w:rPr>
        <w:t>[11] L. Deng, D. Fang, A. Ullah, Q. Hou, and H. Yu, "AMS-YOLO: multi-scale feature integration for intelligent plant protection against maize pests," Front. Plant Sci., vol. 16, art. 1640405, 2025.</w:t>
      </w:r>
    </w:p>
    <w:p>
      <w:pPr>
        <w:spacing w:after="100"/>
        <w:ind w:left="400" w:hanging="400"/>
      </w:pPr>
      <w:r>
        <w:rPr>
          <w:rFonts w:ascii="Times New Roman" w:cs="Times New Roman" w:eastAsia="Times New Roman" w:hAnsi="Times New Roman"/>
          <w:sz w:val="22"/>
          <w:szCs w:val="22"/>
        </w:rPr>
        <w:t>[12] S. Yang, Z. Xing, H. Wang, X. Dong, X. Gao, Z. Liu, X. Zhang, S. Li, and Y. Zhao, "Maize-YOLO: a new high-precision and real-time method for maize pest detection," Insects, vol. 14, no. 3, p. 278, 2023.</w:t>
      </w:r>
    </w:p>
    <w:p>
      <w:pPr>
        <w:spacing w:after="100"/>
        <w:ind w:left="400" w:hanging="400"/>
      </w:pPr>
      <w:r>
        <w:rPr>
          <w:rFonts w:ascii="Times New Roman" w:cs="Times New Roman" w:eastAsia="Times New Roman" w:hAnsi="Times New Roman"/>
          <w:sz w:val="22"/>
          <w:szCs w:val="22"/>
        </w:rPr>
        <w:t>[13] Y. Lu, X. Wu, P. Liu, H. Li, and W. Liu, "Rice disease identification method based on improved CNN-BiGRU," Artif. Intell. Agric., vol. 9, pp. 100–109, 2023.</w:t>
      </w:r>
    </w:p>
    <w:p>
      <w:pPr>
        <w:spacing w:after="100"/>
        <w:ind w:left="400" w:hanging="400"/>
      </w:pPr>
      <w:r>
        <w:rPr>
          <w:rFonts w:ascii="Times New Roman" w:cs="Times New Roman" w:eastAsia="Times New Roman" w:hAnsi="Times New Roman"/>
          <w:sz w:val="22"/>
          <w:szCs w:val="22"/>
        </w:rPr>
        <w:t>[14] S. Kamalesh Kanna, R. Kumaraperumal, P. Pazhanivelan, R. Jagadeeswaran, and P. C. Prabu, "YOLO deep learning algorithm for object detection in agriculture: a review," J. Agric. Eng., vol. 55, no. 4, 2024.</w:t>
      </w:r>
    </w:p>
    <w:p>
      <w:pPr>
        <w:spacing w:after="100"/>
        <w:ind w:left="400" w:hanging="400"/>
      </w:pPr>
      <w:r>
        <w:rPr>
          <w:rFonts w:ascii="Times New Roman" w:cs="Times New Roman" w:eastAsia="Times New Roman" w:hAnsi="Times New Roman"/>
          <w:sz w:val="22"/>
          <w:szCs w:val="22"/>
        </w:rPr>
        <w:t>[15] B. Wang, Y. Mao, I. Ashry, Y. Al-Fehaid, A. Al-Shawaf, T. K. Ng, C. Yu, and B. S. Ooi, "Towards detecting red palm weevil using machine learning and fiber optic distributed acoustic sensing," Sensors, vol. 21, no. 5, p. 1592,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2026-09-02T12:27:24.178Z</dcterms:created>
  <dcterms:modified xsi:type="dcterms:W3CDTF">2026-09-02T12:27:24.190Z</dcterms:modified>
</cp:coreProperties>
</file>

<file path=docProps/custom.xml><?xml version="1.0" encoding="utf-8"?>
<Properties xmlns="http://schemas.openxmlformats.org/officeDocument/2006/custom-properties" xmlns:vt="http://schemas.openxmlformats.org/officeDocument/2006/docPropsVTypes"/>
</file>