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941F" w14:textId="77777777" w:rsidR="00376768" w:rsidRDefault="00376768" w:rsidP="00376768">
      <w:pPr>
        <w:keepNext/>
        <w:spacing w:before="240" w:after="120" w:line="276" w:lineRule="auto"/>
        <w:jc w:val="center"/>
        <w:rPr>
          <w:b/>
          <w:bCs/>
          <w:sz w:val="32"/>
          <w:szCs w:val="32"/>
        </w:rPr>
      </w:pPr>
      <w:r w:rsidRPr="00376768">
        <w:rPr>
          <w:b/>
          <w:bCs/>
          <w:sz w:val="32"/>
          <w:szCs w:val="32"/>
          <w:lang w:val="en-US"/>
        </w:rPr>
        <w:t>AI-Enabled Framework for Detection of Red Palm Weevil Infestation in Coconut Trees</w:t>
      </w:r>
      <w:r w:rsidRPr="00376768">
        <w:rPr>
          <w:b/>
          <w:bCs/>
          <w:sz w:val="32"/>
          <w:szCs w:val="32"/>
        </w:rPr>
        <w:t>​</w:t>
      </w:r>
    </w:p>
    <w:p w14:paraId="2553A754" w14:textId="77777777" w:rsidR="00376768" w:rsidRDefault="00376768">
      <w:pPr>
        <w:keepNext/>
        <w:spacing w:before="240" w:after="120" w:line="276" w:lineRule="auto"/>
        <w:rPr>
          <w:b/>
          <w:bCs/>
          <w:sz w:val="32"/>
          <w:szCs w:val="32"/>
        </w:rPr>
      </w:pPr>
    </w:p>
    <w:p w14:paraId="0E48D0CF" w14:textId="2CAB25D7" w:rsidR="00376768" w:rsidRPr="00376768" w:rsidRDefault="00376768" w:rsidP="00692208">
      <w:pPr>
        <w:spacing w:after="0" w:line="276" w:lineRule="auto"/>
        <w:jc w:val="both"/>
      </w:pPr>
      <w:r>
        <w:t>Abinaya S</w:t>
      </w:r>
    </w:p>
    <w:p w14:paraId="1A7F4BF9" w14:textId="77777777" w:rsidR="00376768" w:rsidRPr="00376768" w:rsidRDefault="00376768" w:rsidP="00692208">
      <w:pPr>
        <w:spacing w:after="0" w:line="276" w:lineRule="auto"/>
        <w:jc w:val="both"/>
      </w:pPr>
      <w:r w:rsidRPr="00376768">
        <w:t>Department of Computer Science and Engineering </w:t>
      </w:r>
    </w:p>
    <w:p w14:paraId="209260D5" w14:textId="77777777" w:rsidR="00376768" w:rsidRPr="00376768" w:rsidRDefault="00376768" w:rsidP="00692208">
      <w:pPr>
        <w:spacing w:after="0" w:line="276" w:lineRule="auto"/>
        <w:jc w:val="both"/>
      </w:pPr>
      <w:r w:rsidRPr="00376768">
        <w:t>Amrita School of Computing, Coimbatore,  </w:t>
      </w:r>
    </w:p>
    <w:p w14:paraId="2A9988E6" w14:textId="77777777" w:rsidR="00376768" w:rsidRPr="00376768" w:rsidRDefault="00376768" w:rsidP="00692208">
      <w:pPr>
        <w:spacing w:after="0" w:line="276" w:lineRule="auto"/>
        <w:jc w:val="both"/>
      </w:pPr>
      <w:r w:rsidRPr="00376768">
        <w:t>Amrita Viswa Vidyapeetham, India  </w:t>
      </w:r>
    </w:p>
    <w:p w14:paraId="5F2597E6" w14:textId="7A5325B0" w:rsidR="00376768" w:rsidRPr="00376768" w:rsidRDefault="00376768" w:rsidP="00692208">
      <w:pPr>
        <w:spacing w:after="0" w:line="276" w:lineRule="auto"/>
        <w:jc w:val="both"/>
      </w:pPr>
      <w:hyperlink r:id="rId4" w:history="1">
        <w:r w:rsidRPr="00DC0D54">
          <w:rPr>
            <w:rStyle w:val="Hyperlink"/>
          </w:rPr>
          <w:t>cb.sc.p2aie260</w:t>
        </w:r>
        <w:r w:rsidRPr="00DC0D54">
          <w:rPr>
            <w:rStyle w:val="Hyperlink"/>
          </w:rPr>
          <w:t>02</w:t>
        </w:r>
        <w:r w:rsidRPr="00DC0D54">
          <w:rPr>
            <w:rStyle w:val="Hyperlink"/>
          </w:rPr>
          <w:t>@cb.students.amrita.edu</w:t>
        </w:r>
      </w:hyperlink>
      <w:r w:rsidRPr="00376768">
        <w:t> </w:t>
      </w:r>
    </w:p>
    <w:p w14:paraId="4041432C" w14:textId="77777777" w:rsidR="00376768" w:rsidRPr="00376768" w:rsidRDefault="00376768" w:rsidP="00376768">
      <w:pPr>
        <w:spacing w:after="120" w:line="276" w:lineRule="auto"/>
        <w:jc w:val="both"/>
      </w:pPr>
      <w:r w:rsidRPr="00376768">
        <w:t> </w:t>
      </w:r>
    </w:p>
    <w:p w14:paraId="22BAC90D" w14:textId="608A4733" w:rsidR="00376768" w:rsidRPr="00376768" w:rsidRDefault="00376768" w:rsidP="00692208">
      <w:pPr>
        <w:spacing w:after="0" w:line="276" w:lineRule="auto"/>
        <w:jc w:val="both"/>
      </w:pPr>
      <w:r>
        <w:t>Akshath P G</w:t>
      </w:r>
    </w:p>
    <w:p w14:paraId="72BFB7EF" w14:textId="77777777" w:rsidR="00376768" w:rsidRPr="00376768" w:rsidRDefault="00376768" w:rsidP="00692208">
      <w:pPr>
        <w:spacing w:after="0" w:line="276" w:lineRule="auto"/>
        <w:jc w:val="both"/>
      </w:pPr>
      <w:r w:rsidRPr="00376768">
        <w:t>Department of Computer Science and Engineering </w:t>
      </w:r>
    </w:p>
    <w:p w14:paraId="40003F37" w14:textId="77777777" w:rsidR="00376768" w:rsidRPr="00376768" w:rsidRDefault="00376768" w:rsidP="00692208">
      <w:pPr>
        <w:spacing w:after="0" w:line="276" w:lineRule="auto"/>
        <w:jc w:val="both"/>
      </w:pPr>
      <w:r w:rsidRPr="00376768">
        <w:t>Amrita School of Computing, Coimbatore,  </w:t>
      </w:r>
    </w:p>
    <w:p w14:paraId="6485F054" w14:textId="77777777" w:rsidR="00376768" w:rsidRPr="00376768" w:rsidRDefault="00376768" w:rsidP="00692208">
      <w:pPr>
        <w:spacing w:after="0" w:line="276" w:lineRule="auto"/>
        <w:jc w:val="both"/>
      </w:pPr>
      <w:r w:rsidRPr="00376768">
        <w:t>Amrita Viswa Vidyapeetham, India  </w:t>
      </w:r>
    </w:p>
    <w:p w14:paraId="0161AE12" w14:textId="3B269DAB" w:rsidR="00376768" w:rsidRPr="00376768" w:rsidRDefault="00376768" w:rsidP="00692208">
      <w:pPr>
        <w:spacing w:after="0" w:line="276" w:lineRule="auto"/>
        <w:jc w:val="both"/>
      </w:pPr>
      <w:hyperlink r:id="rId5" w:history="1">
        <w:r w:rsidRPr="00DC0D54">
          <w:rPr>
            <w:rStyle w:val="Hyperlink"/>
          </w:rPr>
          <w:t>cb.sc.p2aie260</w:t>
        </w:r>
        <w:r w:rsidRPr="00DC0D54">
          <w:rPr>
            <w:rStyle w:val="Hyperlink"/>
          </w:rPr>
          <w:t>04</w:t>
        </w:r>
        <w:r w:rsidRPr="00DC0D54">
          <w:rPr>
            <w:rStyle w:val="Hyperlink"/>
          </w:rPr>
          <w:t>@cb.students.amrita.edu</w:t>
        </w:r>
      </w:hyperlink>
      <w:r w:rsidRPr="00376768">
        <w:t> </w:t>
      </w:r>
    </w:p>
    <w:p w14:paraId="1B5F9D11" w14:textId="77777777" w:rsidR="00376768" w:rsidRPr="00376768" w:rsidRDefault="00376768" w:rsidP="00376768">
      <w:pPr>
        <w:spacing w:after="120" w:line="276" w:lineRule="auto"/>
        <w:jc w:val="both"/>
      </w:pPr>
      <w:r w:rsidRPr="00376768">
        <w:t> </w:t>
      </w:r>
    </w:p>
    <w:p w14:paraId="0B5281A0" w14:textId="3CF7558C" w:rsidR="00376768" w:rsidRPr="00376768" w:rsidRDefault="00376768" w:rsidP="00692208">
      <w:pPr>
        <w:spacing w:after="0" w:line="276" w:lineRule="auto"/>
        <w:jc w:val="both"/>
      </w:pPr>
      <w:r>
        <w:t>Vikram M</w:t>
      </w:r>
    </w:p>
    <w:p w14:paraId="774385A7" w14:textId="77777777" w:rsidR="00376768" w:rsidRPr="00376768" w:rsidRDefault="00376768" w:rsidP="00692208">
      <w:pPr>
        <w:spacing w:after="0" w:line="276" w:lineRule="auto"/>
        <w:jc w:val="both"/>
      </w:pPr>
      <w:r w:rsidRPr="00376768">
        <w:t>Department of Computer Science and Engineering </w:t>
      </w:r>
    </w:p>
    <w:p w14:paraId="746B5026" w14:textId="77777777" w:rsidR="00376768" w:rsidRPr="00376768" w:rsidRDefault="00376768" w:rsidP="00692208">
      <w:pPr>
        <w:spacing w:after="0" w:line="276" w:lineRule="auto"/>
        <w:jc w:val="both"/>
      </w:pPr>
      <w:r w:rsidRPr="00376768">
        <w:t>Amrita School of Computing, Coimbatore,  </w:t>
      </w:r>
    </w:p>
    <w:p w14:paraId="53EEC501" w14:textId="77777777" w:rsidR="00376768" w:rsidRPr="00376768" w:rsidRDefault="00376768" w:rsidP="00692208">
      <w:pPr>
        <w:spacing w:after="0" w:line="276" w:lineRule="auto"/>
        <w:jc w:val="both"/>
      </w:pPr>
      <w:r w:rsidRPr="00376768">
        <w:t>Amrita Viswa Vidyapeetham, India  </w:t>
      </w:r>
    </w:p>
    <w:p w14:paraId="0A08934E" w14:textId="471558FF" w:rsidR="00376768" w:rsidRPr="00376768" w:rsidRDefault="00376768" w:rsidP="00692208">
      <w:pPr>
        <w:spacing w:after="0" w:line="276" w:lineRule="auto"/>
        <w:jc w:val="both"/>
      </w:pPr>
      <w:hyperlink r:id="rId6" w:history="1">
        <w:r w:rsidRPr="00DC0D54">
          <w:rPr>
            <w:rStyle w:val="Hyperlink"/>
          </w:rPr>
          <w:t>cb.sc.p2</w:t>
        </w:r>
        <w:r w:rsidRPr="00DC0D54">
          <w:rPr>
            <w:rStyle w:val="Hyperlink"/>
          </w:rPr>
          <w:t>cse26031</w:t>
        </w:r>
        <w:r w:rsidRPr="00DC0D54">
          <w:rPr>
            <w:rStyle w:val="Hyperlink"/>
          </w:rPr>
          <w:t>@cb.students.amrita.edu</w:t>
        </w:r>
      </w:hyperlink>
      <w:r w:rsidRPr="00376768">
        <w:t> </w:t>
      </w:r>
    </w:p>
    <w:p w14:paraId="64F96BBE" w14:textId="77777777" w:rsidR="00376768" w:rsidRDefault="00376768" w:rsidP="00376768">
      <w:pPr>
        <w:spacing w:after="120" w:line="276" w:lineRule="auto"/>
        <w:jc w:val="both"/>
      </w:pPr>
    </w:p>
    <w:p w14:paraId="612D0935" w14:textId="77777777" w:rsidR="00376768" w:rsidRPr="00376768" w:rsidRDefault="00376768" w:rsidP="00376768">
      <w:pPr>
        <w:spacing w:after="120" w:line="276" w:lineRule="auto"/>
        <w:jc w:val="both"/>
      </w:pPr>
      <w:r w:rsidRPr="00376768">
        <w:t> </w:t>
      </w:r>
    </w:p>
    <w:p w14:paraId="17C725D3" w14:textId="77777777" w:rsidR="00376768" w:rsidRPr="00376768" w:rsidRDefault="00376768" w:rsidP="00692208">
      <w:pPr>
        <w:spacing w:after="0" w:line="276" w:lineRule="auto"/>
        <w:jc w:val="both"/>
      </w:pPr>
      <w:r w:rsidRPr="00376768">
        <w:t>Senthil Kumar Thangavel </w:t>
      </w:r>
    </w:p>
    <w:p w14:paraId="4E02D4E3" w14:textId="77777777" w:rsidR="00376768" w:rsidRPr="00376768" w:rsidRDefault="00376768" w:rsidP="00692208">
      <w:pPr>
        <w:spacing w:after="0" w:line="276" w:lineRule="auto"/>
        <w:jc w:val="both"/>
      </w:pPr>
      <w:r w:rsidRPr="00376768">
        <w:t>Department of Computer Science and Engineering </w:t>
      </w:r>
    </w:p>
    <w:p w14:paraId="5DADDC02" w14:textId="77777777" w:rsidR="00376768" w:rsidRPr="00376768" w:rsidRDefault="00376768" w:rsidP="00692208">
      <w:pPr>
        <w:spacing w:after="0" w:line="276" w:lineRule="auto"/>
        <w:jc w:val="both"/>
      </w:pPr>
      <w:r w:rsidRPr="00376768">
        <w:t>Amrita School of Computing, Coimbatore </w:t>
      </w:r>
    </w:p>
    <w:p w14:paraId="71DE26DE" w14:textId="77777777" w:rsidR="00376768" w:rsidRPr="00376768" w:rsidRDefault="00376768" w:rsidP="00692208">
      <w:pPr>
        <w:spacing w:after="0" w:line="276" w:lineRule="auto"/>
        <w:jc w:val="both"/>
      </w:pPr>
      <w:r w:rsidRPr="00376768">
        <w:t>Amrita Vishwa Vidyapeetham, India </w:t>
      </w:r>
    </w:p>
    <w:p w14:paraId="39DC123C" w14:textId="4A936248" w:rsidR="00692208" w:rsidRDefault="00376768" w:rsidP="005257B4">
      <w:pPr>
        <w:spacing w:after="0" w:line="276" w:lineRule="auto"/>
        <w:jc w:val="both"/>
      </w:pPr>
      <w:hyperlink r:id="rId7" w:tgtFrame="_blank" w:history="1">
        <w:r w:rsidRPr="00376768">
          <w:rPr>
            <w:rStyle w:val="Hyperlink"/>
          </w:rPr>
          <w:t>t_senthilkumar@cb.amrita.edu</w:t>
        </w:r>
      </w:hyperlink>
      <w:r w:rsidRPr="00376768">
        <w:t> </w:t>
      </w:r>
    </w:p>
    <w:p w14:paraId="72B95287" w14:textId="77777777" w:rsidR="005257B4" w:rsidRDefault="005257B4" w:rsidP="005257B4">
      <w:pPr>
        <w:spacing w:after="0" w:line="276" w:lineRule="auto"/>
        <w:jc w:val="both"/>
      </w:pPr>
    </w:p>
    <w:p w14:paraId="3FBB1533" w14:textId="77777777" w:rsidR="004379C9" w:rsidRDefault="004379C9" w:rsidP="005257B4">
      <w:pPr>
        <w:spacing w:after="0" w:line="276" w:lineRule="auto"/>
        <w:jc w:val="both"/>
      </w:pPr>
    </w:p>
    <w:p w14:paraId="4FA24AF3" w14:textId="77777777" w:rsidR="004379C9" w:rsidRDefault="004379C9" w:rsidP="005257B4">
      <w:pPr>
        <w:spacing w:after="0" w:line="276" w:lineRule="auto"/>
        <w:jc w:val="both"/>
      </w:pPr>
    </w:p>
    <w:p w14:paraId="59A9F83B" w14:textId="77777777" w:rsidR="004379C9" w:rsidRDefault="004379C9" w:rsidP="005257B4">
      <w:pPr>
        <w:spacing w:after="0" w:line="276" w:lineRule="auto"/>
        <w:jc w:val="both"/>
      </w:pPr>
    </w:p>
    <w:p w14:paraId="18F4C420" w14:textId="77777777" w:rsidR="004379C9" w:rsidRDefault="004379C9" w:rsidP="005257B4">
      <w:pPr>
        <w:spacing w:after="0" w:line="276" w:lineRule="auto"/>
        <w:jc w:val="both"/>
      </w:pPr>
    </w:p>
    <w:p w14:paraId="12EE1532" w14:textId="77777777" w:rsidR="004379C9" w:rsidRDefault="004379C9" w:rsidP="005257B4">
      <w:pPr>
        <w:spacing w:after="0" w:line="276" w:lineRule="auto"/>
        <w:jc w:val="both"/>
      </w:pPr>
    </w:p>
    <w:p w14:paraId="4180B49A" w14:textId="77777777" w:rsidR="004379C9" w:rsidRDefault="004379C9" w:rsidP="005257B4">
      <w:pPr>
        <w:spacing w:after="0" w:line="276" w:lineRule="auto"/>
        <w:jc w:val="both"/>
      </w:pPr>
    </w:p>
    <w:p w14:paraId="0982D2C6" w14:textId="77777777" w:rsidR="004379C9" w:rsidRDefault="004379C9" w:rsidP="005257B4">
      <w:pPr>
        <w:spacing w:after="0" w:line="276" w:lineRule="auto"/>
        <w:jc w:val="both"/>
      </w:pPr>
    </w:p>
    <w:p w14:paraId="0138D6FB" w14:textId="77777777" w:rsidR="004379C9" w:rsidRDefault="004379C9" w:rsidP="005257B4">
      <w:pPr>
        <w:spacing w:after="0" w:line="276" w:lineRule="auto"/>
        <w:jc w:val="both"/>
      </w:pPr>
    </w:p>
    <w:p w14:paraId="09CE7C5D" w14:textId="77777777" w:rsidR="004379C9" w:rsidRPr="005257B4" w:rsidRDefault="004379C9" w:rsidP="005257B4">
      <w:pPr>
        <w:spacing w:after="0" w:line="276" w:lineRule="auto"/>
        <w:jc w:val="both"/>
      </w:pPr>
    </w:p>
    <w:p w14:paraId="50665A16" w14:textId="0E27A408" w:rsidR="00021B3B" w:rsidRDefault="00000000">
      <w:pPr>
        <w:keepNext/>
        <w:spacing w:before="240" w:after="120" w:line="276" w:lineRule="auto"/>
      </w:pPr>
      <w:r>
        <w:rPr>
          <w:b/>
          <w:bCs/>
          <w:sz w:val="26"/>
          <w:szCs w:val="26"/>
          <w:lang w:val="en-US"/>
        </w:rPr>
        <w:lastRenderedPageBreak/>
        <w:t>Abstract</w:t>
      </w:r>
    </w:p>
    <w:p w14:paraId="019ACE18" w14:textId="77777777" w:rsidR="00021B3B" w:rsidRDefault="00000000">
      <w:pPr>
        <w:spacing w:after="120" w:line="276" w:lineRule="auto"/>
        <w:jc w:val="both"/>
      </w:pPr>
      <w:r>
        <w:rPr>
          <w:lang w:val="en-US"/>
        </w:rPr>
        <w:t xml:space="preserve">The Red Palm Weevil (RPW, </w:t>
      </w:r>
      <w:r>
        <w:rPr>
          <w:i/>
          <w:iCs/>
          <w:lang w:val="en-US"/>
        </w:rPr>
        <w:t>Rhynchophorus ferrugineus</w:t>
      </w:r>
      <w:r>
        <w:rPr>
          <w:lang w:val="en-US"/>
        </w:rPr>
        <w:t>) is a concealed, trunk-boring pest whose larvae feed inside coconut palms for weeks before boreholes, frass or crown wilting become visible, by which point the tree is often beyond recovery. Acoustic, thermal and image-based artificial intelligence (AI) detectors reported in the literature have pushed single-tree accuracy close to 99%, yet every one of them issues an isolated decision for one tree at one scan and ignores the fact that RPW spreads from a palm to its neighbours. This report reviews twenty-two studies grouped into five sub-areas (acoustic sensing foundations, AI-driven imaging and IoT systems, datasets, detection algorithms, and multimodal fusion systems) and uses the gaps they expose to propose a bimodal audio–visual detection framework extended with a spatial–temporal network-analysis layer. Trunk acoustic signals are converted into normalised short-time Fourier transform (STFT) spectrograms and classified by a CNN–BiGRU branch (or its positional-encoding self-attention variant, PEN-BiGRU), while RGB stem images are denoised with a Savitzky–Golay filter and analysed by a lightweight YOLO or CAB-RetinaNet detector. The two branch probabilities are fused into a per-tree confidence score, geotagged, and propagated over a proximity-weighted graph of the plantation with exponential smoothing across successive scans, so that a cluster of trees with rising but individually sub-threshold scores raises a farm-level outbreak alert earlier than any per-tree rule could. The public TreeVibes acoustic dataset and a Roboflow RGB weevil dataset are identified as the training sources, and accuracy, precision, recall, F1-score, specificity, Matthews correlation coefficient (MCC) and mean average precision (mAP) are selected as the evaluation metrics.</w:t>
      </w:r>
    </w:p>
    <w:p w14:paraId="2AE128DD" w14:textId="77777777" w:rsidR="00021B3B" w:rsidRDefault="00000000">
      <w:pPr>
        <w:spacing w:after="120" w:line="276" w:lineRule="auto"/>
        <w:jc w:val="both"/>
      </w:pPr>
      <w:r>
        <w:rPr>
          <w:b/>
          <w:bCs/>
          <w:lang w:val="en-US"/>
        </w:rPr>
        <w:t>Keywords —</w:t>
      </w:r>
      <w:r>
        <w:rPr>
          <w:lang w:val="en-US"/>
        </w:rPr>
        <w:t xml:space="preserve"> Red palm weevil, coconut tree, acoustic detection, YOLO, BiGRU, multimodal fusion, graph-based propagation, precision agriculture.</w:t>
      </w:r>
    </w:p>
    <w:p w14:paraId="27388015" w14:textId="7BF8AD18" w:rsidR="00021B3B" w:rsidRDefault="00000000">
      <w:pPr>
        <w:keepNext/>
        <w:spacing w:before="240" w:after="120" w:line="276" w:lineRule="auto"/>
      </w:pPr>
      <w:r>
        <w:rPr>
          <w:b/>
          <w:bCs/>
          <w:sz w:val="26"/>
          <w:szCs w:val="26"/>
          <w:lang w:val="en-US"/>
        </w:rPr>
        <w:t>Introduction</w:t>
      </w:r>
    </w:p>
    <w:p w14:paraId="646D62C2" w14:textId="34BE9437" w:rsidR="00376768" w:rsidRPr="00376768" w:rsidRDefault="00000000">
      <w:pPr>
        <w:spacing w:after="120" w:line="276" w:lineRule="auto"/>
        <w:jc w:val="both"/>
        <w:rPr>
          <w:lang w:val="en-US"/>
        </w:rPr>
      </w:pPr>
      <w:r>
        <w:rPr>
          <w:lang w:val="en-US"/>
        </w:rPr>
        <w:t>Coconut and date palm cultivation supports millions of livelihoods across South and Southeast Asia, the Middle East and parts of Africa, and the Red Palm Weevil is widely regarded as the most economically damaging pest these plantations face. The adult weevil lays its eggs in wounds on the stem or crown, and the larvae then tunnel through the soft internal tissue of the trunk. Because this damage is hidden, a palm can appear healthy until its vascular system has been destroyed and the crown collapses. Early detection is therefore the single most important factor in saving an infested tree and in stopping the pest from reaching neighbouring palms.</w:t>
      </w:r>
    </w:p>
    <w:p w14:paraId="4F74697C" w14:textId="77777777" w:rsidR="00021B3B" w:rsidRDefault="00000000">
      <w:pPr>
        <w:spacing w:after="120" w:line="276" w:lineRule="auto"/>
        <w:jc w:val="both"/>
      </w:pPr>
      <w:r>
        <w:rPr>
          <w:lang w:val="en-US"/>
        </w:rPr>
        <w:t>Conventional detection relies on manual visual inspection and pheromone trapping, both of which are labour-intensive, do not scale to large farms and usually identify an infestation only after the treatable stage has passed. Research has consequently moved towards sensor-based, automated detection: acoustic sensors that pick up larval feeding sounds inside the trunk [1], [2], IoT-connected thermal cameras that detect the heat of internal fermentation [3], deep-learning object detectors that localise the weevil or its damage in photographs [4], and landscape-scale surveillance built on aerial and street-level imagery [5]. Public datasets [6]–[11], refined detection architectures [12]–[16] and, most recently, bimodal systems that fuse acoustic and visual evidence [17]–[20] have raised reported accuracies to about 99.5%.</w:t>
      </w:r>
    </w:p>
    <w:p w14:paraId="3FFF916A" w14:textId="77777777" w:rsidR="00021B3B" w:rsidRDefault="00000000">
      <w:pPr>
        <w:spacing w:after="120" w:line="276" w:lineRule="auto"/>
        <w:jc w:val="both"/>
      </w:pPr>
      <w:r>
        <w:rPr>
          <w:lang w:val="en-US"/>
        </w:rPr>
        <w:t xml:space="preserve">Despite this progress, three limitations recur across the literature. First, every surveyed system makes an independent decision for one tree at one point in time, even though RPW is a spreading pest whose risk is spatially and temporally correlated across a plantation. Second, the public datasets are </w:t>
      </w:r>
      <w:r>
        <w:rPr>
          <w:lang w:val="en-US"/>
        </w:rPr>
        <w:lastRenderedPageBreak/>
        <w:t xml:space="preserve">fragmented by modality and are not paired on the same trees, so a fused model cannot be validated end-to-end on them. Third, most high-accuracy models are benchmarked on workstation GPUs rather than on the low-power hardware that field deployment requires. The problem addressed in this work is therefore stated as follows: </w:t>
      </w:r>
      <w:r>
        <w:rPr>
          <w:b/>
          <w:bCs/>
          <w:lang w:val="en-US"/>
        </w:rPr>
        <w:t>to identify RPW infestation and assess its severity under real-world field conditions using AI that detects infestation at an early stage, thereby supporting timely and informed pest-management decisions.</w:t>
      </w:r>
    </w:p>
    <w:p w14:paraId="4A7A6167" w14:textId="77777777" w:rsidR="00021B3B" w:rsidRDefault="00000000">
      <w:pPr>
        <w:spacing w:after="120" w:line="276" w:lineRule="auto"/>
        <w:jc w:val="both"/>
      </w:pPr>
      <w:r>
        <w:rPr>
          <w:lang w:val="en-US"/>
        </w:rPr>
        <w:t>The contributions of this report are fourfold: (i) a structured survey of twenty-two studies across five sub-areas, with the limitations of each made explicit; (ii) identification of two public, single-modality datasets for the acoustic and visual branches and a plan for handling the pairing gap; (iii) a bimodal detection algorithm that adds a graph-based spatial–temporal propagation layer, so that per-tree confidences are aggregated into an earlier farm-level outbreak warning; and (iv) an evaluation protocol that reports MCC and specificity alongside accuracy and requires edge-hardware benchmarking. The remainder of the report presents the literature survey, the dataset description and the proposed methodology.</w:t>
      </w:r>
    </w:p>
    <w:p w14:paraId="53F79AB6" w14:textId="77777777" w:rsidR="00021B3B" w:rsidRDefault="00000000">
      <w:pPr>
        <w:keepNext/>
        <w:spacing w:before="240" w:after="120" w:line="276" w:lineRule="auto"/>
      </w:pPr>
      <w:r>
        <w:rPr>
          <w:b/>
          <w:bCs/>
          <w:sz w:val="26"/>
          <w:szCs w:val="26"/>
          <w:lang w:val="en-US"/>
        </w:rPr>
        <w:t>Literature Survey</w:t>
      </w:r>
    </w:p>
    <w:p w14:paraId="5CF72057" w14:textId="77777777" w:rsidR="00021B3B" w:rsidRDefault="00000000">
      <w:pPr>
        <w:keepNext/>
        <w:spacing w:before="160" w:after="80" w:line="276" w:lineRule="auto"/>
      </w:pPr>
      <w:r>
        <w:rPr>
          <w:b/>
          <w:bCs/>
          <w:lang w:val="en-US"/>
        </w:rPr>
        <w:t>Sub area-1: Acoustic Sensing Foundations for RPW Detection</w:t>
      </w:r>
    </w:p>
    <w:p w14:paraId="0FA09CD9" w14:textId="77777777" w:rsidR="00021B3B" w:rsidRDefault="00000000">
      <w:pPr>
        <w:spacing w:after="120" w:line="276" w:lineRule="auto"/>
        <w:jc w:val="both"/>
      </w:pPr>
      <w:r>
        <w:rPr>
          <w:lang w:val="en-US"/>
        </w:rPr>
        <w:t>The earliest line of work established that RPW larvae can be heard before they can be seen. Pinhas et al. [1] recorded the chewing and movement sounds of larvae inside young date palms with sensors attached to the stem and showed that a statistical pattern-recognition pipeline, built on spectral features of the recordings, could automatically separate infested from uninfested palms with a detection ratio of about 98%; this removed the dependence on a trained listener, whose judgement had been shown to be unreliable. Siriwardena et al. [2] carried the idea into coconut plantations with a portable acoustic device that band-pass filters the trunk signal in roughly the 0.8–2.5 kHz range where larval activity is concentrated, and reported around 97% correct identification when each palm was probed at four points. Together, these two studies confirm that acoustic sensing is a viable early-warning modality in both date and coconut palms, but they also show its practical constraints: sensors must be inserted or attached to each trunk, recordings are affected by wind, birds and machinery, and a decision is made for one tree at a time.</w:t>
      </w:r>
    </w:p>
    <w:p w14:paraId="1FADF23F" w14:textId="77777777" w:rsidR="00021B3B" w:rsidRDefault="00000000">
      <w:pPr>
        <w:keepNext/>
        <w:spacing w:before="160" w:after="80" w:line="276" w:lineRule="auto"/>
      </w:pPr>
      <w:r>
        <w:rPr>
          <w:b/>
          <w:bCs/>
          <w:lang w:val="en-US"/>
        </w:rPr>
        <w:t>Sub area-2: AI-Driven Imaging, IoT and Landscape-Scale Detection</w:t>
      </w:r>
    </w:p>
    <w:p w14:paraId="6F332450" w14:textId="77777777" w:rsidR="00021B3B" w:rsidRDefault="00000000">
      <w:pPr>
        <w:spacing w:after="120" w:line="276" w:lineRule="auto"/>
        <w:jc w:val="both"/>
      </w:pPr>
      <w:r>
        <w:rPr>
          <w:lang w:val="en-US"/>
        </w:rPr>
        <w:t xml:space="preserve">A second group of studies applies AI to imaging data and to connected sensing hardware. Martin, Saranya and Chowdary [3] interfaced a low-cost infrared thermal camera with a Raspberry Pi and classified trunk thermal images with a lightweight convolutional neural network (CNN), reporting detection accuracy above 98% and demonstrating that the full sensing-to-inference pipeline can run on inexpensive edge hardware rather than a remote server. Alsanea et al. [4] used a region-based CNN (R-CNN) to place bounding boxes around the weevil in photographs and to discriminate it from other insects found in palm habitats in the Al-Qassim region, showing that deep object detectors can provide a low-cost visual detection pipeline suited to large numbers of farms. Kagan, Fuhrmann Alpert and Fire [5] moved the problem from single trees to whole cities: they analysed more than 47,000 aerial and 61,000 street-level images, first locating palms in aerial views and then classifying infestation in the corresponding street views, and verified infested trees in several locations. This sub-area traces a clear trajectory from single-tree diagnosis towards edge-deployed and landscape-scale monitoring, </w:t>
      </w:r>
      <w:r>
        <w:rPr>
          <w:lang w:val="en-US"/>
        </w:rPr>
        <w:lastRenderedPageBreak/>
        <w:t>yet even the landscape study still outputs an independent label per tree and does not model how infestation risk is shared between neighbouring palms.</w:t>
      </w:r>
    </w:p>
    <w:p w14:paraId="18051191" w14:textId="77777777" w:rsidR="00021B3B" w:rsidRDefault="00000000">
      <w:pPr>
        <w:keepNext/>
        <w:spacing w:before="160" w:after="80" w:line="276" w:lineRule="auto"/>
      </w:pPr>
      <w:r>
        <w:rPr>
          <w:b/>
          <w:bCs/>
          <w:lang w:val="en-US"/>
        </w:rPr>
        <w:t>Sub area-3: Datasets for RPW and Coconut Pest Detection</w:t>
      </w:r>
    </w:p>
    <w:p w14:paraId="157FAEEF" w14:textId="77777777" w:rsidR="00021B3B" w:rsidRDefault="00000000">
      <w:pPr>
        <w:spacing w:after="120" w:line="276" w:lineRule="auto"/>
        <w:jc w:val="both"/>
      </w:pPr>
      <w:r>
        <w:rPr>
          <w:lang w:val="en-US"/>
        </w:rPr>
        <w:t>The quality, modality and scale of available data determine what any detector can learn. Rigakis et al. [6] introduced TreeVibes, a cloud-connected monitoring platform and a public collection of labelled trunk recordings from infested and clean trees, which has become the most frequently reused acoustic benchmark for larval-activity classifiers. Kurdi et al. [7] compiled a curated RPW dataset and benchmarked ten classical machine-learning algorithms, including Naive Bayes, J48, random forest and support vector machines, reaching about 93% accuracy and providing a useful non-deep-learning baseline. Boulila et al. [8] reframed acoustic RPW data as spectrogram images so that image networks such as ResNet50V2, VGG19 and DenseNet121 could be applied to what is fundamentally an audio problem, a conversion that the proposed audio branch also adopts. On the visual side, Wu et al. [9] assembled roughly 2,600 photographs of adult weevils under varied scenes, poses and lighting and trained an attention-enhanced YOLOv5 detector that reached 93.8% recognition accuracy. Nadeem et al. [10] released 832 paired RGB and thermal images of 179 date palms from Khairpur, Pakistan, labelled as non-infected, infected, badly damaged or dead from field inspection and farmer feedback, and Thite et al. [11] published 5,798 coconut images covering five disease classes, including stem bleeding, which the COMICS system [18] later used for its visual branch. The pattern across these resources is that acoustic data are mature and reusable, RGB datasets are growing but geographically narrow, multi-channel resources are rare, and no public dataset pairs acoustic and visual recordings of the same trees under matched field conditions.</w:t>
      </w:r>
    </w:p>
    <w:p w14:paraId="5E66D6B2" w14:textId="77777777" w:rsidR="00021B3B" w:rsidRDefault="00000000">
      <w:pPr>
        <w:keepNext/>
        <w:spacing w:before="160" w:after="80" w:line="276" w:lineRule="auto"/>
      </w:pPr>
      <w:r>
        <w:rPr>
          <w:b/>
          <w:bCs/>
          <w:lang w:val="en-US"/>
        </w:rPr>
        <w:t>Sub area-4: Detection Algorithms and Model Architectures</w:t>
      </w:r>
    </w:p>
    <w:p w14:paraId="2A475CA2" w14:textId="77777777" w:rsidR="00021B3B" w:rsidRDefault="00000000">
      <w:pPr>
        <w:spacing w:after="120" w:line="276" w:lineRule="auto"/>
        <w:jc w:val="both"/>
      </w:pPr>
      <w:r>
        <w:rPr>
          <w:lang w:val="en-US"/>
        </w:rPr>
        <w:t>The algorithm chosen determines whether a system can meet the accuracy, speed and hardware constraints of field use. Deng et al. [12] proposed AMS-YOLO, which adds a spatial multi-scale context attention (SMCA) module, an MSBlock multi-scale fusion block and an AMConv down-sampling layer to YOLOv8n; on thirteen maize pests it reached 94.2% mAP@0.5 with a 5.3 MB model that ran on a Jetson Nano. Yang et al. [13] built Maize-YOLO by inserting CSPResNeXt-50 and VoVGSCSP modules into YOLOv7, improving both accuracy and speed on 4,533 images of thirteen maize-pest classes drawn from the IP102 benchmark. Lu et al. [14] combined convolutional feature extraction with a bidirectional gated recurrent unit (BiGRU) for rice-disease identification and outperformed CNN-only and RNN-only baselines, a convolution-plus-recurrence pattern that transfers directly to spectrogram-based acoustic classification. Kamalesh Kanna et al. [15] reviewed the evolution of the YOLO family in agriculture and compared the accuracy–speed trade-offs of successive versions, which guides the choice of a nano-scale variant for edge deployment. Wang et al. [16] paired fibre-optic distributed acoustic sensing with fully connected and convolutional networks and classified healthy and infested palms with accuracy above 99% under controlled conditions. Two parallel tracks therefore emerge: attention-augmented, lightweight YOLO variants for vision, and convolutional–recurrent or compact neural classifiers for acoustics, with none of these papers fusing the two.</w:t>
      </w:r>
    </w:p>
    <w:p w14:paraId="0EB970E5" w14:textId="77777777" w:rsidR="00021B3B" w:rsidRDefault="00000000">
      <w:pPr>
        <w:keepNext/>
        <w:spacing w:before="160" w:after="80" w:line="276" w:lineRule="auto"/>
      </w:pPr>
      <w:r>
        <w:rPr>
          <w:b/>
          <w:bCs/>
          <w:lang w:val="en-US"/>
        </w:rPr>
        <w:t>Sub area-5: Multimodal Fusion Systems and Base Papers</w:t>
      </w:r>
    </w:p>
    <w:p w14:paraId="7B2CC3F3" w14:textId="77777777" w:rsidR="00021B3B" w:rsidRDefault="00000000">
      <w:pPr>
        <w:spacing w:after="120" w:line="276" w:lineRule="auto"/>
        <w:jc w:val="both"/>
      </w:pPr>
      <w:r>
        <w:rPr>
          <w:lang w:val="en-US"/>
        </w:rPr>
        <w:t xml:space="preserve">The most directly comparable work fuses more than one sensing channel. RED-BIYO [17] combines a YOLOv9 detector with a ResNeSt split-attention backbone for coconut stem images and a spiking CNN–BiGRU (SCNN-BiGRU) for STFT spectrograms of trunk audio, fuses the two outputs with a Mamdani </w:t>
      </w:r>
      <w:r>
        <w:rPr>
          <w:lang w:val="en-US"/>
        </w:rPr>
        <w:lastRenderedPageBreak/>
        <w:t>fuzzy inference system and notifies farmers through an IoT Blynk application; on a proprietary dataset collected in Tamil Nadu it reports 99.54% accuracy and 97.93% MCC, and its ablation shows that images alone reach 98.12% and audio alone 97.05%, confirming the benefit of fusion. COMICS [18] follows the same bimodal pattern with a Savitzky–Golay pre-filter, a CAB-RetinaNet detector (ResNeXt backbone, FPN levels P3–P7 and a channel-attention B-module) and a positional-encoding self-attention BiGRU (PEN-BiGRU); it is the only study that reports robustness under rain, wind and machinery noise and measured battery life (about 122 days for the INMP441 microphone but only about 5.5 days for the ESP32 with audio processing), while its authors acknowledge reduced accuracy when noise sources overlap and state that large-scale real-time feasibility still requires evaluation. Stephen, Martin and Rajesh [19] fused acoustic and microwave backscatter signals through an adaptive sequential Kalman filter that re-weights each modality by its measurement reliability and reached 96.2% accuracy, and Saranya and Martin [20] classified about 3,000 acoustic segments with linear predictive coding features, cosine-similarity matching and a Bi-LSTM, reaching 98.02% accuracy on a controlled dataset. Two single-modality base papers complete the picture: a YOLOv11-Nano trunk-image detector [21] achieved 95.95% accuracy but only 54% mAP@0.5, and a feed-forward acoustic classifier on MFCC and spectral-contrast features [22] reached 85.6% test accuracy. Read together, the fusion papers consistently outperform single-modality systems, but they still stop at a per-tree, per-scan decision with a fixed rule base, none of them models spatial spread or temporal persistence, and only COMICS provides evidence about field hardware.</w:t>
      </w:r>
    </w:p>
    <w:p w14:paraId="7F663B68" w14:textId="77777777" w:rsidR="00021B3B" w:rsidRDefault="00000000">
      <w:pPr>
        <w:keepNext/>
        <w:spacing w:before="160" w:after="80" w:line="276" w:lineRule="auto"/>
      </w:pPr>
      <w:r>
        <w:rPr>
          <w:b/>
          <w:bCs/>
          <w:lang w:val="en-US"/>
        </w:rPr>
        <w:t>Research Gap</w:t>
      </w:r>
    </w:p>
    <w:p w14:paraId="100207FC" w14:textId="77777777" w:rsidR="00021B3B" w:rsidRDefault="00000000">
      <w:pPr>
        <w:spacing w:after="120" w:line="276" w:lineRule="auto"/>
        <w:jc w:val="both"/>
      </w:pPr>
      <w:r>
        <w:rPr>
          <w:lang w:val="en-US"/>
        </w:rPr>
        <w:t>Across all five sub-areas the same gaps appear: (a) no surveyed system aggregates decisions across neighbouring trees or across successive scans, so an emerging outbreak is recognised only when individual trees independently cross a hard threshold; (b) public datasets are single-modality and unpaired, which prevents end-to-end validation of fused models; (c) fusion rules are usually fixed fuzzy tables that cannot adapt when one sensor degrades; and (d) edge feasibility is asserted more often than it is measured. The methodology in this report is designed around these four gaps.</w:t>
      </w:r>
    </w:p>
    <w:p w14:paraId="38F9041F" w14:textId="77777777" w:rsidR="00021B3B" w:rsidRDefault="00000000">
      <w:pPr>
        <w:keepNext/>
        <w:spacing w:before="240" w:after="120" w:line="276" w:lineRule="auto"/>
      </w:pPr>
      <w:r>
        <w:rPr>
          <w:b/>
          <w:bCs/>
          <w:sz w:val="26"/>
          <w:szCs w:val="26"/>
          <w:lang w:val="en-US"/>
        </w:rPr>
        <w:t>Dataset Description</w:t>
      </w:r>
    </w:p>
    <w:p w14:paraId="441FEE3B" w14:textId="77777777" w:rsidR="00021B3B" w:rsidRDefault="00000000">
      <w:pPr>
        <w:spacing w:after="120" w:line="276" w:lineRule="auto"/>
        <w:jc w:val="both"/>
      </w:pPr>
      <w:r>
        <w:rPr>
          <w:lang w:val="en-US"/>
        </w:rPr>
        <w:t>Because the proposed system is bimodal, two publicly available datasets, one per modality, were identified as the primary training sources. Both are single-modality resources collected independently of each other, so the system integrates them at the model level (each branch is trained on its own dataset and fusion operates on branch outputs) rather than at the data level.</w:t>
      </w:r>
    </w:p>
    <w:p w14:paraId="18032687" w14:textId="77777777" w:rsidR="00021B3B" w:rsidRDefault="00000000">
      <w:pPr>
        <w:keepNext/>
        <w:spacing w:before="120" w:after="60" w:line="276" w:lineRule="auto"/>
      </w:pPr>
      <w:r>
        <w:rPr>
          <w:b/>
          <w:bCs/>
          <w:i/>
          <w:iCs/>
          <w:lang w:val="en-US"/>
        </w:rPr>
        <w:t>A. Acoustic dataset — TreeVibes</w:t>
      </w:r>
    </w:p>
    <w:p w14:paraId="4BE9BB65" w14:textId="77777777" w:rsidR="00021B3B" w:rsidRDefault="00000000">
      <w:pPr>
        <w:spacing w:after="120" w:line="276" w:lineRule="auto"/>
        <w:jc w:val="both"/>
      </w:pPr>
      <w:r>
        <w:rPr>
          <w:lang w:val="en-US"/>
        </w:rPr>
        <w:t>TreeVibes [6], [24] is a labelled collection of trunk-mounted recordings from infested and non-infested palms and other borer-susceptible trees, captured by cloud-connected sensor nodes across several species, locations and seasons and distributed publicly on Kaggle. It has been reused as a reproducible benchmark by later acoustic RPW studies, including the spectrogram-based approach of Boulila et al. [8]. In this work each clip is framed, Hamming-windowed and converted into a 512-point STFT magnitude spectrogram with min–max normalisation, following the pre-processing used in [17]. Training-time audio augmentation (additive Gaussian noise, time shift, time stretch between 0.9 and 1.1 and random gain) is applied to simulate plantation recording conditions. Because TreeVibes contains no images, a separate visual dataset is required.</w:t>
      </w:r>
    </w:p>
    <w:p w14:paraId="60C6EDED" w14:textId="77777777" w:rsidR="00021B3B" w:rsidRDefault="00000000">
      <w:pPr>
        <w:keepNext/>
        <w:spacing w:before="120" w:after="60" w:line="276" w:lineRule="auto"/>
      </w:pPr>
      <w:r>
        <w:rPr>
          <w:b/>
          <w:bCs/>
          <w:i/>
          <w:iCs/>
          <w:lang w:val="en-US"/>
        </w:rPr>
        <w:lastRenderedPageBreak/>
        <w:t>B. Visual dataset — Red Palm Weevil object-detection dataset (Roboflow Universe)</w:t>
      </w:r>
    </w:p>
    <w:p w14:paraId="4AA28DF0" w14:textId="77777777" w:rsidR="00021B3B" w:rsidRDefault="00000000">
      <w:pPr>
        <w:spacing w:after="120" w:line="276" w:lineRule="auto"/>
        <w:jc w:val="both"/>
      </w:pPr>
      <w:r>
        <w:rPr>
          <w:lang w:val="en-US"/>
        </w:rPr>
        <w:t>The visual branch uses a community-maintained RGB dataset of red palm weevils and infestation symptoms hosted on Roboflow Universe [25]. Images are annotated with bounding boxes and can be exported directly in YOLO formats (YOLOv5 to YOLOv12) as well as COCO, Pascal VOC and TFRecord, which makes the dataset usable with both the YOLO-family and the RetinaNet-family detectors considered in the methodology. Images are denoised with a Savitzky–Golay filter, resized to 640 × 640 pixels and, during training only, augmented with horizontal flips (p = 0.5), rotations between −20° and +20° and zoom of up to 25%. The purpose-built RGB dataset of Wu et al. [9], the paired RGB–thermal dataset of Nadeem et al. [10] and the coconut disease dataset of Thite et al. [11] are retained as supplementary sources if broader class coverage or larger sample counts are needed.</w:t>
      </w:r>
    </w:p>
    <w:p w14:paraId="592C1F28" w14:textId="77777777" w:rsidR="00021B3B" w:rsidRDefault="00000000">
      <w:pPr>
        <w:keepNext/>
        <w:spacing w:before="120" w:after="60" w:line="276" w:lineRule="auto"/>
      </w:pPr>
      <w:r>
        <w:rPr>
          <w:b/>
          <w:bCs/>
          <w:i/>
          <w:iCs/>
          <w:lang w:val="en-US"/>
        </w:rPr>
        <w:t>C. Data partitioning and the pairing gap</w:t>
      </w:r>
    </w:p>
    <w:p w14:paraId="0CB41BC0" w14:textId="77777777" w:rsidR="00021B3B" w:rsidRDefault="00000000">
      <w:pPr>
        <w:spacing w:after="120" w:line="276" w:lineRule="auto"/>
        <w:jc w:val="both"/>
      </w:pPr>
      <w:r>
        <w:rPr>
          <w:lang w:val="en-US"/>
        </w:rPr>
        <w:t>Each dataset will be split 80/10/10 into training, validation and test sets with class stratification and a fixed random seed, and five-fold cross-validation will be used to report mean and standard deviation, mirroring the protocol of [17]. Since neither dataset is paired with the other on the same trees, branch performance can be evaluated independently, but the fused pipeline cannot yet be validated end-to-end. A modest purpose-built paired subset, recorded from the same coconut trees with a trunk microphone and a stem camera and annotated in the manner of Nadeem et al. [10], is therefore planned to validate the fusion and spatial–temporal layers. Table I summarises the data sources.</w:t>
      </w:r>
    </w:p>
    <w:p w14:paraId="74993C89" w14:textId="77777777" w:rsidR="00021B3B" w:rsidRDefault="00000000">
      <w:pPr>
        <w:keepNext/>
        <w:spacing w:before="120" w:after="80" w:line="276" w:lineRule="auto"/>
        <w:jc w:val="center"/>
      </w:pPr>
      <w:r>
        <w:rPr>
          <w:b/>
          <w:bCs/>
          <w:sz w:val="20"/>
          <w:szCs w:val="20"/>
          <w:lang w:val="en-US"/>
        </w:rPr>
        <w:t>TABLE I. Summary of datasets identified for the proposed system</w:t>
      </w:r>
    </w:p>
    <w:tbl>
      <w:tblPr>
        <w:tblStyle w:val="TableGrid"/>
        <w:tblW w:w="9026" w:type="dxa"/>
        <w:jc w:val="center"/>
        <w:tblLook w:val="04A0" w:firstRow="1" w:lastRow="0" w:firstColumn="1" w:lastColumn="0" w:noHBand="0" w:noVBand="1"/>
      </w:tblPr>
      <w:tblGrid>
        <w:gridCol w:w="1750"/>
        <w:gridCol w:w="1150"/>
        <w:gridCol w:w="2450"/>
        <w:gridCol w:w="2000"/>
        <w:gridCol w:w="1676"/>
      </w:tblGrid>
      <w:tr w:rsidR="00021B3B" w14:paraId="6438CC8D" w14:textId="77777777">
        <w:trPr>
          <w:tblHeader/>
          <w:jc w:val="center"/>
        </w:trPr>
        <w:tc>
          <w:tcPr>
            <w:tcW w:w="1750" w:type="dxa"/>
            <w:shd w:val="clear" w:color="auto" w:fill="D9E2F3"/>
          </w:tcPr>
          <w:p w14:paraId="35B43EEB" w14:textId="77777777" w:rsidR="00021B3B" w:rsidRDefault="00000000">
            <w:r>
              <w:rPr>
                <w:b/>
                <w:bCs/>
                <w:sz w:val="18"/>
                <w:szCs w:val="18"/>
                <w:lang w:val="en-US"/>
              </w:rPr>
              <w:t>Dataset</w:t>
            </w:r>
          </w:p>
        </w:tc>
        <w:tc>
          <w:tcPr>
            <w:tcW w:w="1150" w:type="dxa"/>
            <w:shd w:val="clear" w:color="auto" w:fill="D9E2F3"/>
          </w:tcPr>
          <w:p w14:paraId="5EDE8D9E" w14:textId="77777777" w:rsidR="00021B3B" w:rsidRDefault="00000000">
            <w:r>
              <w:rPr>
                <w:b/>
                <w:bCs/>
                <w:sz w:val="18"/>
                <w:szCs w:val="18"/>
                <w:lang w:val="en-US"/>
              </w:rPr>
              <w:t>Modality</w:t>
            </w:r>
          </w:p>
        </w:tc>
        <w:tc>
          <w:tcPr>
            <w:tcW w:w="2450" w:type="dxa"/>
            <w:shd w:val="clear" w:color="auto" w:fill="D9E2F3"/>
          </w:tcPr>
          <w:p w14:paraId="1AEBD4D8" w14:textId="77777777" w:rsidR="00021B3B" w:rsidRDefault="00000000">
            <w:r>
              <w:rPr>
                <w:b/>
                <w:bCs/>
                <w:sz w:val="18"/>
                <w:szCs w:val="18"/>
                <w:lang w:val="en-US"/>
              </w:rPr>
              <w:t>Content</w:t>
            </w:r>
          </w:p>
        </w:tc>
        <w:tc>
          <w:tcPr>
            <w:tcW w:w="2000" w:type="dxa"/>
            <w:shd w:val="clear" w:color="auto" w:fill="D9E2F3"/>
          </w:tcPr>
          <w:p w14:paraId="64513244" w14:textId="77777777" w:rsidR="00021B3B" w:rsidRDefault="00000000">
            <w:r>
              <w:rPr>
                <w:b/>
                <w:bCs/>
                <w:sz w:val="18"/>
                <w:szCs w:val="18"/>
                <w:lang w:val="en-US"/>
              </w:rPr>
              <w:t>Role in this work</w:t>
            </w:r>
          </w:p>
        </w:tc>
        <w:tc>
          <w:tcPr>
            <w:tcW w:w="1676" w:type="dxa"/>
            <w:shd w:val="clear" w:color="auto" w:fill="D9E2F3"/>
          </w:tcPr>
          <w:p w14:paraId="1A0245B4" w14:textId="77777777" w:rsidR="00021B3B" w:rsidRDefault="00000000">
            <w:r>
              <w:rPr>
                <w:b/>
                <w:bCs/>
                <w:sz w:val="18"/>
                <w:szCs w:val="18"/>
                <w:lang w:val="en-US"/>
              </w:rPr>
              <w:t>Access</w:t>
            </w:r>
          </w:p>
        </w:tc>
      </w:tr>
      <w:tr w:rsidR="00021B3B" w14:paraId="5B276166" w14:textId="77777777">
        <w:trPr>
          <w:jc w:val="center"/>
        </w:trPr>
        <w:tc>
          <w:tcPr>
            <w:tcW w:w="1750" w:type="dxa"/>
          </w:tcPr>
          <w:p w14:paraId="720C25F8" w14:textId="77777777" w:rsidR="00021B3B" w:rsidRDefault="00000000">
            <w:r>
              <w:rPr>
                <w:sz w:val="18"/>
                <w:szCs w:val="18"/>
                <w:lang w:val="en-US"/>
              </w:rPr>
              <w:t>TreeVibes [6], [24]</w:t>
            </w:r>
          </w:p>
        </w:tc>
        <w:tc>
          <w:tcPr>
            <w:tcW w:w="1150" w:type="dxa"/>
          </w:tcPr>
          <w:p w14:paraId="571998BF" w14:textId="77777777" w:rsidR="00021B3B" w:rsidRDefault="00000000">
            <w:r>
              <w:rPr>
                <w:sz w:val="18"/>
                <w:szCs w:val="18"/>
                <w:lang w:val="en-US"/>
              </w:rPr>
              <w:t>Acoustic</w:t>
            </w:r>
          </w:p>
        </w:tc>
        <w:tc>
          <w:tcPr>
            <w:tcW w:w="2450" w:type="dxa"/>
          </w:tcPr>
          <w:p w14:paraId="0C05C8C2" w14:textId="77777777" w:rsidR="00021B3B" w:rsidRDefault="00000000">
            <w:r>
              <w:rPr>
                <w:sz w:val="18"/>
                <w:szCs w:val="18"/>
                <w:lang w:val="en-US"/>
              </w:rPr>
              <w:t>Labelled trunk recordings from infested and clean trees</w:t>
            </w:r>
          </w:p>
        </w:tc>
        <w:tc>
          <w:tcPr>
            <w:tcW w:w="2000" w:type="dxa"/>
          </w:tcPr>
          <w:p w14:paraId="54F36722" w14:textId="77777777" w:rsidR="00021B3B" w:rsidRDefault="00000000">
            <w:r>
              <w:rPr>
                <w:sz w:val="18"/>
                <w:szCs w:val="18"/>
                <w:lang w:val="en-US"/>
              </w:rPr>
              <w:t>Primary training data, audio branch</w:t>
            </w:r>
          </w:p>
        </w:tc>
        <w:tc>
          <w:tcPr>
            <w:tcW w:w="1676" w:type="dxa"/>
          </w:tcPr>
          <w:p w14:paraId="18C86715" w14:textId="77777777" w:rsidR="00021B3B" w:rsidRDefault="00000000">
            <w:r>
              <w:rPr>
                <w:sz w:val="18"/>
                <w:szCs w:val="18"/>
                <w:lang w:val="en-US"/>
              </w:rPr>
              <w:t>Kaggle (public)</w:t>
            </w:r>
          </w:p>
        </w:tc>
      </w:tr>
      <w:tr w:rsidR="00021B3B" w14:paraId="5CB71B46" w14:textId="77777777">
        <w:trPr>
          <w:jc w:val="center"/>
        </w:trPr>
        <w:tc>
          <w:tcPr>
            <w:tcW w:w="1750" w:type="dxa"/>
          </w:tcPr>
          <w:p w14:paraId="10D07EEB" w14:textId="77777777" w:rsidR="00021B3B" w:rsidRDefault="00000000">
            <w:r>
              <w:rPr>
                <w:sz w:val="18"/>
                <w:szCs w:val="18"/>
                <w:lang w:val="en-US"/>
              </w:rPr>
              <w:t>Roboflow RPW dataset [25]</w:t>
            </w:r>
          </w:p>
        </w:tc>
        <w:tc>
          <w:tcPr>
            <w:tcW w:w="1150" w:type="dxa"/>
          </w:tcPr>
          <w:p w14:paraId="29A1B053" w14:textId="77777777" w:rsidR="00021B3B" w:rsidRDefault="00000000">
            <w:r>
              <w:rPr>
                <w:sz w:val="18"/>
                <w:szCs w:val="18"/>
                <w:lang w:val="en-US"/>
              </w:rPr>
              <w:t>RGB image</w:t>
            </w:r>
          </w:p>
        </w:tc>
        <w:tc>
          <w:tcPr>
            <w:tcW w:w="2450" w:type="dxa"/>
          </w:tcPr>
          <w:p w14:paraId="3AF62769" w14:textId="77777777" w:rsidR="00021B3B" w:rsidRDefault="00000000">
            <w:r>
              <w:rPr>
                <w:sz w:val="18"/>
                <w:szCs w:val="18"/>
                <w:lang w:val="en-US"/>
              </w:rPr>
              <w:t>Bounding-box annotated weevil and damage images</w:t>
            </w:r>
          </w:p>
        </w:tc>
        <w:tc>
          <w:tcPr>
            <w:tcW w:w="2000" w:type="dxa"/>
          </w:tcPr>
          <w:p w14:paraId="1052B705" w14:textId="77777777" w:rsidR="00021B3B" w:rsidRDefault="00000000">
            <w:r>
              <w:rPr>
                <w:sz w:val="18"/>
                <w:szCs w:val="18"/>
                <w:lang w:val="en-US"/>
              </w:rPr>
              <w:t>Primary training data, visual branch</w:t>
            </w:r>
          </w:p>
        </w:tc>
        <w:tc>
          <w:tcPr>
            <w:tcW w:w="1676" w:type="dxa"/>
          </w:tcPr>
          <w:p w14:paraId="5044066B" w14:textId="77777777" w:rsidR="00021B3B" w:rsidRDefault="00000000">
            <w:r>
              <w:rPr>
                <w:sz w:val="18"/>
                <w:szCs w:val="18"/>
                <w:lang w:val="en-US"/>
              </w:rPr>
              <w:t>Roboflow Universe (public)</w:t>
            </w:r>
          </w:p>
        </w:tc>
      </w:tr>
      <w:tr w:rsidR="00021B3B" w14:paraId="7EDC0033" w14:textId="77777777">
        <w:trPr>
          <w:jc w:val="center"/>
        </w:trPr>
        <w:tc>
          <w:tcPr>
            <w:tcW w:w="1750" w:type="dxa"/>
          </w:tcPr>
          <w:p w14:paraId="779E358D" w14:textId="77777777" w:rsidR="00021B3B" w:rsidRDefault="00000000">
            <w:r>
              <w:rPr>
                <w:sz w:val="18"/>
                <w:szCs w:val="18"/>
                <w:lang w:val="en-US"/>
              </w:rPr>
              <w:t>Wu et al. [9]</w:t>
            </w:r>
          </w:p>
        </w:tc>
        <w:tc>
          <w:tcPr>
            <w:tcW w:w="1150" w:type="dxa"/>
          </w:tcPr>
          <w:p w14:paraId="0B795C5C" w14:textId="77777777" w:rsidR="00021B3B" w:rsidRDefault="00000000">
            <w:r>
              <w:rPr>
                <w:sz w:val="18"/>
                <w:szCs w:val="18"/>
                <w:lang w:val="en-US"/>
              </w:rPr>
              <w:t>RGB image</w:t>
            </w:r>
          </w:p>
        </w:tc>
        <w:tc>
          <w:tcPr>
            <w:tcW w:w="2450" w:type="dxa"/>
          </w:tcPr>
          <w:p w14:paraId="49D8EBE5" w14:textId="77777777" w:rsidR="00021B3B" w:rsidRDefault="00000000">
            <w:r>
              <w:rPr>
                <w:sz w:val="18"/>
                <w:szCs w:val="18"/>
                <w:lang w:val="en-US"/>
              </w:rPr>
              <w:t>About 2,600 adult RPW images</w:t>
            </w:r>
          </w:p>
        </w:tc>
        <w:tc>
          <w:tcPr>
            <w:tcW w:w="2000" w:type="dxa"/>
          </w:tcPr>
          <w:p w14:paraId="21DE8C0E" w14:textId="77777777" w:rsidR="00021B3B" w:rsidRDefault="00000000">
            <w:r>
              <w:rPr>
                <w:sz w:val="18"/>
                <w:szCs w:val="18"/>
                <w:lang w:val="en-US"/>
              </w:rPr>
              <w:t>Supplementary / comparison</w:t>
            </w:r>
          </w:p>
        </w:tc>
        <w:tc>
          <w:tcPr>
            <w:tcW w:w="1676" w:type="dxa"/>
          </w:tcPr>
          <w:p w14:paraId="71AFC315" w14:textId="77777777" w:rsidR="00021B3B" w:rsidRDefault="00000000">
            <w:r>
              <w:rPr>
                <w:sz w:val="18"/>
                <w:szCs w:val="18"/>
                <w:lang w:val="en-US"/>
              </w:rPr>
              <w:t>Described in paper</w:t>
            </w:r>
          </w:p>
        </w:tc>
      </w:tr>
      <w:tr w:rsidR="00021B3B" w14:paraId="0CAB675F" w14:textId="77777777">
        <w:trPr>
          <w:jc w:val="center"/>
        </w:trPr>
        <w:tc>
          <w:tcPr>
            <w:tcW w:w="1750" w:type="dxa"/>
          </w:tcPr>
          <w:p w14:paraId="5900A33B" w14:textId="77777777" w:rsidR="00021B3B" w:rsidRDefault="00000000">
            <w:r>
              <w:rPr>
                <w:sz w:val="18"/>
                <w:szCs w:val="18"/>
                <w:lang w:val="en-US"/>
              </w:rPr>
              <w:t>Nadeem et al. [10]</w:t>
            </w:r>
          </w:p>
        </w:tc>
        <w:tc>
          <w:tcPr>
            <w:tcW w:w="1150" w:type="dxa"/>
          </w:tcPr>
          <w:p w14:paraId="0882EE45" w14:textId="77777777" w:rsidR="00021B3B" w:rsidRDefault="00000000">
            <w:r>
              <w:rPr>
                <w:sz w:val="18"/>
                <w:szCs w:val="18"/>
                <w:lang w:val="en-US"/>
              </w:rPr>
              <w:t>RGB + thermal</w:t>
            </w:r>
          </w:p>
        </w:tc>
        <w:tc>
          <w:tcPr>
            <w:tcW w:w="2450" w:type="dxa"/>
          </w:tcPr>
          <w:p w14:paraId="21FB8CC2" w14:textId="77777777" w:rsidR="00021B3B" w:rsidRDefault="00000000">
            <w:r>
              <w:rPr>
                <w:sz w:val="18"/>
                <w:szCs w:val="18"/>
                <w:lang w:val="en-US"/>
              </w:rPr>
              <w:t>832 paired images of 179 date palms, 4 health classes</w:t>
            </w:r>
          </w:p>
        </w:tc>
        <w:tc>
          <w:tcPr>
            <w:tcW w:w="2000" w:type="dxa"/>
          </w:tcPr>
          <w:p w14:paraId="4A53B116" w14:textId="77777777" w:rsidR="00021B3B" w:rsidRDefault="00000000">
            <w:r>
              <w:rPr>
                <w:sz w:val="18"/>
                <w:szCs w:val="18"/>
                <w:lang w:val="en-US"/>
              </w:rPr>
              <w:t>Reference for paired annotation</w:t>
            </w:r>
          </w:p>
        </w:tc>
        <w:tc>
          <w:tcPr>
            <w:tcW w:w="1676" w:type="dxa"/>
          </w:tcPr>
          <w:p w14:paraId="07BD8531" w14:textId="77777777" w:rsidR="00021B3B" w:rsidRDefault="00000000">
            <w:r>
              <w:rPr>
                <w:sz w:val="18"/>
                <w:szCs w:val="18"/>
                <w:lang w:val="en-US"/>
              </w:rPr>
              <w:t>figshare (public)</w:t>
            </w:r>
          </w:p>
        </w:tc>
      </w:tr>
      <w:tr w:rsidR="00021B3B" w14:paraId="506AD20A" w14:textId="77777777">
        <w:trPr>
          <w:jc w:val="center"/>
        </w:trPr>
        <w:tc>
          <w:tcPr>
            <w:tcW w:w="1750" w:type="dxa"/>
          </w:tcPr>
          <w:p w14:paraId="26A94E54" w14:textId="77777777" w:rsidR="00021B3B" w:rsidRDefault="00000000">
            <w:r>
              <w:rPr>
                <w:sz w:val="18"/>
                <w:szCs w:val="18"/>
                <w:lang w:val="en-US"/>
              </w:rPr>
              <w:t>Thite et al. [11]</w:t>
            </w:r>
          </w:p>
        </w:tc>
        <w:tc>
          <w:tcPr>
            <w:tcW w:w="1150" w:type="dxa"/>
          </w:tcPr>
          <w:p w14:paraId="482EA370" w14:textId="77777777" w:rsidR="00021B3B" w:rsidRDefault="00000000">
            <w:r>
              <w:rPr>
                <w:sz w:val="18"/>
                <w:szCs w:val="18"/>
                <w:lang w:val="en-US"/>
              </w:rPr>
              <w:t>RGB image</w:t>
            </w:r>
          </w:p>
        </w:tc>
        <w:tc>
          <w:tcPr>
            <w:tcW w:w="2450" w:type="dxa"/>
          </w:tcPr>
          <w:p w14:paraId="4040DEFF" w14:textId="77777777" w:rsidR="00021B3B" w:rsidRDefault="00000000">
            <w:r>
              <w:rPr>
                <w:sz w:val="18"/>
                <w:szCs w:val="18"/>
                <w:lang w:val="en-US"/>
              </w:rPr>
              <w:t>5,798 coconut images, 5 disease classes</w:t>
            </w:r>
          </w:p>
        </w:tc>
        <w:tc>
          <w:tcPr>
            <w:tcW w:w="2000" w:type="dxa"/>
          </w:tcPr>
          <w:p w14:paraId="13B7B847" w14:textId="77777777" w:rsidR="00021B3B" w:rsidRDefault="00000000">
            <w:r>
              <w:rPr>
                <w:sz w:val="18"/>
                <w:szCs w:val="18"/>
                <w:lang w:val="en-US"/>
              </w:rPr>
              <w:t>Supplementary stem-damage images</w:t>
            </w:r>
          </w:p>
        </w:tc>
        <w:tc>
          <w:tcPr>
            <w:tcW w:w="1676" w:type="dxa"/>
          </w:tcPr>
          <w:p w14:paraId="0A2534E4" w14:textId="77777777" w:rsidR="00021B3B" w:rsidRDefault="00000000">
            <w:r>
              <w:rPr>
                <w:sz w:val="18"/>
                <w:szCs w:val="18"/>
                <w:lang w:val="en-US"/>
              </w:rPr>
              <w:t>Mendeley Data (public)</w:t>
            </w:r>
          </w:p>
        </w:tc>
      </w:tr>
    </w:tbl>
    <w:p w14:paraId="2D08A0DA" w14:textId="77777777" w:rsidR="00021B3B" w:rsidRDefault="00021B3B">
      <w:pPr>
        <w:spacing w:after="60" w:line="276" w:lineRule="auto"/>
        <w:jc w:val="both"/>
      </w:pPr>
    </w:p>
    <w:p w14:paraId="3F0F8F28" w14:textId="77777777" w:rsidR="00021B3B" w:rsidRDefault="00000000">
      <w:pPr>
        <w:keepNext/>
        <w:spacing w:before="240" w:after="120" w:line="276" w:lineRule="auto"/>
      </w:pPr>
      <w:r>
        <w:rPr>
          <w:b/>
          <w:bCs/>
          <w:sz w:val="26"/>
          <w:szCs w:val="26"/>
          <w:lang w:val="en-US"/>
        </w:rPr>
        <w:t>Methodology</w:t>
      </w:r>
    </w:p>
    <w:p w14:paraId="52F3C1B4" w14:textId="77777777" w:rsidR="00021B3B" w:rsidRDefault="00000000">
      <w:pPr>
        <w:spacing w:after="120" w:line="276" w:lineRule="auto"/>
        <w:jc w:val="both"/>
      </w:pPr>
      <w:r>
        <w:rPr>
          <w:lang w:val="en-US"/>
        </w:rPr>
        <w:t>The proposed algorithm is a bimodal (audio plus RGB image) deep-learning detection and fusion pipeline extended with a graph-based spatial–temporal propagation layer. It deliberately recombines the design elements that survived the literature screening (a bimodal core, attention-augmented branches and decision-level fusion) and adds the one element that none of the surveyed papers provides: reasoning about spread across trees and over time. Fig. 1 shows the end-to-end flow, and the steps are described below with the corresponding equations.</w:t>
      </w:r>
    </w:p>
    <w:p w14:paraId="6C5AFDDD" w14:textId="77777777" w:rsidR="00021B3B" w:rsidRDefault="00000000">
      <w:pPr>
        <w:keepNext/>
        <w:spacing w:before="120" w:after="60"/>
        <w:jc w:val="center"/>
      </w:pPr>
      <w:r>
        <w:rPr>
          <w:noProof/>
        </w:rPr>
        <w:lastRenderedPageBreak/>
        <w:drawing>
          <wp:inline distT="0" distB="0" distL="0" distR="0" wp14:anchorId="602767B2" wp14:editId="62C21278">
            <wp:extent cx="4023360" cy="5132657"/>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8"/>
                    <a:stretch>
                      <a:fillRect/>
                    </a:stretch>
                  </pic:blipFill>
                  <pic:spPr>
                    <a:xfrm>
                      <a:off x="0" y="0"/>
                      <a:ext cx="4023360" cy="5132657"/>
                    </a:xfrm>
                    <a:prstGeom prst="rect">
                      <a:avLst/>
                    </a:prstGeom>
                  </pic:spPr>
                </pic:pic>
              </a:graphicData>
            </a:graphic>
          </wp:inline>
        </w:drawing>
      </w:r>
    </w:p>
    <w:p w14:paraId="79CA0191" w14:textId="77777777" w:rsidR="00021B3B" w:rsidRDefault="00000000">
      <w:pPr>
        <w:spacing w:after="200" w:line="276" w:lineRule="auto"/>
        <w:jc w:val="center"/>
      </w:pPr>
      <w:r>
        <w:rPr>
          <w:sz w:val="20"/>
          <w:szCs w:val="20"/>
          <w:lang w:val="en-US"/>
        </w:rPr>
        <w:t>Fig. 1. Flow of the proposed algorithm, from dual-sensor acquisition to tree-level and farm-level alerts.</w:t>
      </w:r>
    </w:p>
    <w:p w14:paraId="55AB024C" w14:textId="77777777" w:rsidR="00021B3B" w:rsidRDefault="00000000">
      <w:pPr>
        <w:keepNext/>
        <w:spacing w:before="120" w:after="60" w:line="276" w:lineRule="auto"/>
      </w:pPr>
      <w:r>
        <w:rPr>
          <w:b/>
          <w:bCs/>
          <w:i/>
          <w:iCs/>
          <w:lang w:val="en-US"/>
        </w:rPr>
        <w:t>A. Dual-sensor data acquisition</w:t>
      </w:r>
    </w:p>
    <w:p w14:paraId="1C8409BC" w14:textId="77777777" w:rsidR="00021B3B" w:rsidRDefault="00000000">
      <w:pPr>
        <w:spacing w:after="120" w:line="276" w:lineRule="auto"/>
        <w:jc w:val="both"/>
      </w:pPr>
      <w:r>
        <w:rPr>
          <w:lang w:val="en-US"/>
        </w:rPr>
        <w:t xml:space="preserve">Each monitored tree </w:t>
      </w:r>
      <w:r>
        <w:rPr>
          <w:i/>
          <w:iCs/>
          <w:lang w:val="en-US"/>
        </w:rPr>
        <w:t>i</w:t>
      </w:r>
      <w:r>
        <w:rPr>
          <w:lang w:val="en-US"/>
        </w:rPr>
        <w:t xml:space="preserve"> produces two streams at scan time </w:t>
      </w:r>
      <w:r>
        <w:rPr>
          <w:i/>
          <w:iCs/>
          <w:lang w:val="en-US"/>
        </w:rPr>
        <w:t>t</w:t>
      </w:r>
      <w:r>
        <w:rPr>
          <w:lang w:val="en-US"/>
        </w:rPr>
        <w:t>: an acoustic signal x_i(n) captured by a trunk-mounted MEMS microphone (an INMP441 embedded about 30 cm into the stem, following the COMICS installation [18]) and an RGB stem image I_i captured by a fixed, handheld or UAV-mounted camera (about 1.5 m high at a 45° angle). A thermal channel is not used, because it adds hardware cost and calibration burden without being required for the proposed fusion.</w:t>
      </w:r>
    </w:p>
    <w:p w14:paraId="107628E6" w14:textId="77777777" w:rsidR="00021B3B" w:rsidRDefault="00000000">
      <w:pPr>
        <w:keepNext/>
        <w:spacing w:before="120" w:after="60" w:line="276" w:lineRule="auto"/>
      </w:pPr>
      <w:r>
        <w:rPr>
          <w:b/>
          <w:bCs/>
          <w:i/>
          <w:iCs/>
          <w:lang w:val="en-US"/>
        </w:rPr>
        <w:t>B. Audio branch</w:t>
      </w:r>
    </w:p>
    <w:p w14:paraId="200BAA7E" w14:textId="77777777" w:rsidR="00021B3B" w:rsidRDefault="00000000">
      <w:pPr>
        <w:spacing w:after="120" w:line="276" w:lineRule="auto"/>
        <w:jc w:val="both"/>
      </w:pPr>
      <w:r>
        <w:rPr>
          <w:lang w:val="en-US"/>
        </w:rPr>
        <w:t>The raw signal is split into overlapping frames, each multiplied by a Hamming window to reduce spectral leakage:</w:t>
      </w:r>
    </w:p>
    <w:p w14:paraId="7A985A51" w14:textId="77777777" w:rsidR="00021B3B" w:rsidRDefault="00000000">
      <w:pPr>
        <w:spacing w:before="60" w:after="120" w:line="276" w:lineRule="auto"/>
        <w:jc w:val="center"/>
      </w:pPr>
      <w:r>
        <w:rPr>
          <w:rFonts w:ascii="Cambria Math" w:hAnsi="Cambria Math" w:cs="Cambria Math"/>
          <w:sz w:val="21"/>
          <w:szCs w:val="21"/>
          <w:lang w:val="en-US"/>
        </w:rPr>
        <w:t>x_w(n) = x(n)·w(n),   w(n) = 0.54 − 0.46·cos(2πn / (N − 1)),   0 ≤ n ≤ N − 1        (1)</w:t>
      </w:r>
    </w:p>
    <w:p w14:paraId="41CDDE9F" w14:textId="77777777" w:rsidR="00021B3B" w:rsidRDefault="00000000">
      <w:pPr>
        <w:spacing w:after="120" w:line="276" w:lineRule="auto"/>
        <w:jc w:val="both"/>
      </w:pPr>
      <w:r>
        <w:rPr>
          <w:lang w:val="en-US"/>
        </w:rPr>
        <w:t>A 512-point STFT converts each windowed frame into a time–frequency representation whose magnitude forms the spectrogram, which is then min–max normalised so that amplitude differences between recordings do not bias the classifier:</w:t>
      </w:r>
    </w:p>
    <w:p w14:paraId="11E243B8" w14:textId="77777777" w:rsidR="00021B3B" w:rsidRDefault="00000000">
      <w:pPr>
        <w:spacing w:before="60" w:after="120" w:line="276" w:lineRule="auto"/>
        <w:jc w:val="center"/>
      </w:pPr>
      <w:r>
        <w:rPr>
          <w:rFonts w:ascii="Cambria Math" w:hAnsi="Cambria Math" w:cs="Cambria Math"/>
          <w:sz w:val="21"/>
          <w:szCs w:val="21"/>
          <w:lang w:val="en-US"/>
        </w:rPr>
        <w:t>STFT(m, k) = Σₙ x_w(n)·e^(−j2πkn/N),   S(m, k) = |STFT(m, k)|        (2)</w:t>
      </w:r>
    </w:p>
    <w:p w14:paraId="304CA809" w14:textId="77777777" w:rsidR="00021B3B" w:rsidRDefault="00000000">
      <w:pPr>
        <w:spacing w:before="60" w:after="120" w:line="276" w:lineRule="auto"/>
        <w:jc w:val="center"/>
      </w:pPr>
      <w:r>
        <w:rPr>
          <w:rFonts w:ascii="Cambria Math" w:hAnsi="Cambria Math" w:cs="Cambria Math"/>
          <w:sz w:val="21"/>
          <w:szCs w:val="21"/>
          <w:lang w:val="en-US"/>
        </w:rPr>
        <w:t>S_norm(m, k) = (S(m, k) − S_min) / (S_max − S_min)        (3)</w:t>
      </w:r>
    </w:p>
    <w:p w14:paraId="07D731F9" w14:textId="77777777" w:rsidR="00021B3B" w:rsidRDefault="00000000">
      <w:pPr>
        <w:spacing w:after="120" w:line="276" w:lineRule="auto"/>
        <w:jc w:val="both"/>
      </w:pPr>
      <w:r>
        <w:rPr>
          <w:lang w:val="en-US"/>
        </w:rPr>
        <w:lastRenderedPageBreak/>
        <w:t>A convolutional front end extracts spatial–frequency patterns from S_norm, and a BiGRU models how those patterns evolve across frames. At each step r, with input p_r and previous hidden state q_(r−1), the reset gate, update gate, candidate state and hidden state are:</w:t>
      </w:r>
    </w:p>
    <w:p w14:paraId="65A4C29F" w14:textId="77777777" w:rsidR="00021B3B" w:rsidRDefault="00000000">
      <w:pPr>
        <w:spacing w:before="60" w:after="120" w:line="276" w:lineRule="auto"/>
        <w:jc w:val="center"/>
      </w:pPr>
      <w:r>
        <w:rPr>
          <w:rFonts w:ascii="Cambria Math" w:hAnsi="Cambria Math" w:cs="Cambria Math"/>
          <w:sz w:val="21"/>
          <w:szCs w:val="21"/>
          <w:lang w:val="en-US"/>
        </w:rPr>
        <w:t>b_r = σ(Z_b p_r + J_b q_(r−1) + f_b)        (4)</w:t>
      </w:r>
    </w:p>
    <w:p w14:paraId="7CCB2B32" w14:textId="77777777" w:rsidR="00021B3B" w:rsidRDefault="00000000">
      <w:pPr>
        <w:spacing w:before="60" w:after="120" w:line="276" w:lineRule="auto"/>
        <w:jc w:val="center"/>
      </w:pPr>
      <w:r>
        <w:rPr>
          <w:rFonts w:ascii="Cambria Math" w:hAnsi="Cambria Math" w:cs="Cambria Math"/>
          <w:sz w:val="21"/>
          <w:szCs w:val="21"/>
          <w:lang w:val="en-US"/>
        </w:rPr>
        <w:t>d_r = σ(Z_d p_r + J_d q_(r−1) + f_d)        (5)</w:t>
      </w:r>
    </w:p>
    <w:p w14:paraId="19450A6A" w14:textId="77777777" w:rsidR="00021B3B" w:rsidRDefault="00000000">
      <w:pPr>
        <w:spacing w:before="60" w:after="120" w:line="276" w:lineRule="auto"/>
        <w:jc w:val="center"/>
      </w:pPr>
      <w:r>
        <w:rPr>
          <w:rFonts w:ascii="Cambria Math" w:hAnsi="Cambria Math" w:cs="Cambria Math"/>
          <w:sz w:val="21"/>
          <w:szCs w:val="21"/>
          <w:lang w:val="en-US"/>
        </w:rPr>
        <w:t>q̃_r = tanh(Z_q p_r + J_q (q_(r−1) ⊗ b_r) + f_q)        (6)</w:t>
      </w:r>
    </w:p>
    <w:p w14:paraId="08AD31B1" w14:textId="77777777" w:rsidR="00021B3B" w:rsidRDefault="00000000">
      <w:pPr>
        <w:spacing w:before="60" w:after="120" w:line="276" w:lineRule="auto"/>
        <w:jc w:val="center"/>
      </w:pPr>
      <w:r>
        <w:rPr>
          <w:rFonts w:ascii="Cambria Math" w:hAnsi="Cambria Math" w:cs="Cambria Math"/>
          <w:sz w:val="21"/>
          <w:szCs w:val="21"/>
          <w:lang w:val="en-US"/>
        </w:rPr>
        <w:t>q_r = (1 − d_r) ⊗ q_(r−1) + d_r ⊗ q̃_r        (7)</w:t>
      </w:r>
    </w:p>
    <w:p w14:paraId="77581B14" w14:textId="77777777" w:rsidR="00021B3B" w:rsidRDefault="00000000">
      <w:pPr>
        <w:spacing w:after="120" w:line="276" w:lineRule="auto"/>
        <w:jc w:val="both"/>
      </w:pPr>
      <w:r>
        <w:rPr>
          <w:lang w:val="en-US"/>
        </w:rPr>
        <w:t>Forward and backward hidden states are concatenated. In the attention-augmented configuration (PEN-BiGRU [18]), a positional encoding is added to the input sequence and a self-attention layer re-weights the BiGRU outputs so that frames carrying RPW-specific frequency content are emphasised over frames dominated by wind, rain or machinery noise:</w:t>
      </w:r>
    </w:p>
    <w:p w14:paraId="0A13CEEC" w14:textId="77777777" w:rsidR="00021B3B" w:rsidRDefault="00000000">
      <w:pPr>
        <w:spacing w:before="60" w:after="120" w:line="276" w:lineRule="auto"/>
        <w:jc w:val="center"/>
      </w:pPr>
      <w:r>
        <w:rPr>
          <w:rFonts w:ascii="Cambria Math" w:hAnsi="Cambria Math" w:cs="Cambria Math"/>
          <w:sz w:val="21"/>
          <w:szCs w:val="21"/>
          <w:lang w:val="en-US"/>
        </w:rPr>
        <w:t>Attention(Q, K, V) = Softmax(Q·Kᵀ / √d_k)·V        (8)</w:t>
      </w:r>
    </w:p>
    <w:p w14:paraId="34F5E291" w14:textId="77777777" w:rsidR="00021B3B" w:rsidRDefault="00000000">
      <w:pPr>
        <w:spacing w:after="120" w:line="276" w:lineRule="auto"/>
        <w:jc w:val="both"/>
      </w:pPr>
      <w:r>
        <w:rPr>
          <w:lang w:val="en-US"/>
        </w:rPr>
        <w:t>A fully connected layer with a sigmoid output gives the audio infestation probability P_audio ∈ [0, 1]. For the most constrained sensor nodes, the plain CNN–BiGRU [14] or the compact feed-forward classifier on MFCC features [22] can replace PEN-BiGRU, trading some noise robustness for lower latency.</w:t>
      </w:r>
    </w:p>
    <w:p w14:paraId="58019C4E" w14:textId="77777777" w:rsidR="00021B3B" w:rsidRDefault="00000000">
      <w:pPr>
        <w:keepNext/>
        <w:spacing w:before="120" w:after="60" w:line="276" w:lineRule="auto"/>
      </w:pPr>
      <w:r>
        <w:rPr>
          <w:b/>
          <w:bCs/>
          <w:i/>
          <w:iCs/>
          <w:lang w:val="en-US"/>
        </w:rPr>
        <w:t>C. Visual branch</w:t>
      </w:r>
    </w:p>
    <w:p w14:paraId="50D64F0D" w14:textId="77777777" w:rsidR="00021B3B" w:rsidRDefault="00000000">
      <w:pPr>
        <w:spacing w:after="120" w:line="276" w:lineRule="auto"/>
        <w:jc w:val="both"/>
      </w:pPr>
      <w:r>
        <w:rPr>
          <w:lang w:val="en-US"/>
        </w:rPr>
        <w:t>Each stem image, represented by intensity values Y = {Y₁, …, Yₙ}, is denoised with a Savitzky–Golay filter that replaces every point with a weighted sum of its neighbours using m convolution coefficients C_k. The filter is tuned by the correlation between the original image X and the filtered image Y, where a value approaching 1.00 indicates optimal tuning [17], [18]:</w:t>
      </w:r>
    </w:p>
    <w:p w14:paraId="48A38315" w14:textId="77777777" w:rsidR="00021B3B" w:rsidRDefault="00000000">
      <w:pPr>
        <w:spacing w:before="60" w:after="120" w:line="276" w:lineRule="auto"/>
        <w:jc w:val="center"/>
      </w:pPr>
      <w:r>
        <w:rPr>
          <w:rFonts w:ascii="Cambria Math" w:hAnsi="Cambria Math" w:cs="Cambria Math"/>
          <w:sz w:val="21"/>
          <w:szCs w:val="21"/>
          <w:lang w:val="en-US"/>
        </w:rPr>
        <w:t>Y_i = Σ_{k = −(m−1)/2 … (m−1)/2} C_k·y_(i+k),   (m − 1)/2 ≤ i ≤ n − (m − 1)/2        (9)</w:t>
      </w:r>
    </w:p>
    <w:p w14:paraId="43E8A2E8" w14:textId="77777777" w:rsidR="00021B3B" w:rsidRDefault="00000000">
      <w:pPr>
        <w:spacing w:before="60" w:after="120" w:line="276" w:lineRule="auto"/>
        <w:jc w:val="center"/>
      </w:pPr>
      <w:r>
        <w:rPr>
          <w:rFonts w:ascii="Cambria Math" w:hAnsi="Cambria Math" w:cs="Cambria Math"/>
          <w:sz w:val="21"/>
          <w:szCs w:val="21"/>
          <w:lang w:val="en-US"/>
        </w:rPr>
        <w:t>COR = Σ(X_i − X̄)(Y_i − Ȳ) / √[Σ(X_i − X̄)² · Σ(Y_i − Ȳ)²]        (10)</w:t>
      </w:r>
    </w:p>
    <w:p w14:paraId="4EBE75CC" w14:textId="77777777" w:rsidR="00021B3B" w:rsidRDefault="00000000">
      <w:pPr>
        <w:spacing w:after="120" w:line="276" w:lineRule="auto"/>
        <w:jc w:val="both"/>
      </w:pPr>
      <w:r>
        <w:rPr>
          <w:lang w:val="en-US"/>
        </w:rPr>
        <w:t>The backbone extracts hierarchical features through convolution, batch-normalisation and SiLU blocks; in the CAB-RetinaNet configuration it uses ResNeXt grouped convolutions and a channel-attention B-module that re-weights feature channels towards damage-relevant cues. The neck fuses multi-scale features top-down and bottom-up so that both small early boreholes and larger visible damage are represented:</w:t>
      </w:r>
    </w:p>
    <w:p w14:paraId="7BB9F2F0" w14:textId="77777777" w:rsidR="00021B3B" w:rsidRDefault="00000000">
      <w:pPr>
        <w:spacing w:before="60" w:after="120" w:line="276" w:lineRule="auto"/>
        <w:jc w:val="center"/>
      </w:pPr>
      <w:r>
        <w:rPr>
          <w:rFonts w:ascii="Cambria Math" w:hAnsi="Cambria Math" w:cs="Cambria Math"/>
          <w:sz w:val="21"/>
          <w:szCs w:val="21"/>
          <w:lang w:val="en-US"/>
        </w:rPr>
        <w:t>Conv(I, N, c, b) = SiLU(BatchNorm(I, K))        (11)</w:t>
      </w:r>
    </w:p>
    <w:p w14:paraId="27A9ED9B" w14:textId="77777777" w:rsidR="00021B3B" w:rsidRDefault="00000000">
      <w:pPr>
        <w:spacing w:before="60" w:after="120" w:line="276" w:lineRule="auto"/>
        <w:jc w:val="center"/>
      </w:pPr>
      <w:r>
        <w:rPr>
          <w:rFonts w:ascii="Cambria Math" w:hAnsi="Cambria Math" w:cs="Cambria Math"/>
          <w:sz w:val="21"/>
          <w:szCs w:val="21"/>
          <w:lang w:val="en-US"/>
        </w:rPr>
        <w:t>P_l = UpSample(C_(l+1)) + C_l,   U_l = Conv(Concat(P_(l−1), DownSample(P_l)))        (12)</w:t>
      </w:r>
    </w:p>
    <w:p w14:paraId="3D0D1612" w14:textId="77777777" w:rsidR="00021B3B" w:rsidRDefault="00000000">
      <w:pPr>
        <w:spacing w:after="120" w:line="276" w:lineRule="auto"/>
        <w:jc w:val="both"/>
      </w:pPr>
      <w:r>
        <w:rPr>
          <w:lang w:val="en-US"/>
        </w:rPr>
        <w:t>The head regresses bounding boxes and objectness scores through a sigmoid, and the maximum detection score for tree i is taken as the visual infestation probability:</w:t>
      </w:r>
    </w:p>
    <w:p w14:paraId="3A14844F" w14:textId="77777777" w:rsidR="00021B3B" w:rsidRDefault="00000000">
      <w:pPr>
        <w:spacing w:before="60" w:after="120" w:line="276" w:lineRule="auto"/>
        <w:jc w:val="center"/>
      </w:pPr>
      <w:r>
        <w:rPr>
          <w:rFonts w:ascii="Cambria Math" w:hAnsi="Cambria Math" w:cs="Cambria Math"/>
          <w:sz w:val="21"/>
          <w:szCs w:val="21"/>
          <w:lang w:val="en-US"/>
        </w:rPr>
        <w:t>o = σ(t_c),   P_visual = max_k o_k        (13)</w:t>
      </w:r>
    </w:p>
    <w:p w14:paraId="4024A763" w14:textId="77777777" w:rsidR="00021B3B" w:rsidRDefault="00000000">
      <w:pPr>
        <w:spacing w:after="120" w:line="276" w:lineRule="auto"/>
        <w:jc w:val="both"/>
      </w:pPr>
      <w:r>
        <w:rPr>
          <w:lang w:val="en-US"/>
        </w:rPr>
        <w:t>Training minimises a composite loss over localisation, objectness and classification terms. A nano-scale YOLO model [15], [21] is the default for edge nodes, with CAB-RetinaNet reserved for gateway-class hardware where its extra accuracy and noise robustness justify the cost.</w:t>
      </w:r>
    </w:p>
    <w:p w14:paraId="59364EE4" w14:textId="77777777" w:rsidR="00021B3B" w:rsidRDefault="00000000">
      <w:pPr>
        <w:keepNext/>
        <w:spacing w:before="120" w:after="60" w:line="276" w:lineRule="auto"/>
      </w:pPr>
      <w:r>
        <w:rPr>
          <w:b/>
          <w:bCs/>
          <w:i/>
          <w:iCs/>
          <w:lang w:val="en-US"/>
        </w:rPr>
        <w:t>D. Per-tree confidence fusion</w:t>
      </w:r>
    </w:p>
    <w:p w14:paraId="137D5713" w14:textId="77777777" w:rsidR="00021B3B" w:rsidRDefault="00000000">
      <w:pPr>
        <w:spacing w:after="120" w:line="276" w:lineRule="auto"/>
        <w:jc w:val="both"/>
      </w:pPr>
      <w:r>
        <w:rPr>
          <w:lang w:val="en-US"/>
        </w:rPr>
        <w:t xml:space="preserve">P_audio and P_visual are combined into a single per-tree confidence C_i. The default is a confidence-weighted linear fusion whose weights are tuned on the validation split, reflecting that acoustic </w:t>
      </w:r>
      <w:r>
        <w:rPr>
          <w:lang w:val="en-US"/>
        </w:rPr>
        <w:lastRenderedPageBreak/>
        <w:t>evidence degrades under wind and machinery noise while visual evidence degrades under occlusion and poor lighting:</w:t>
      </w:r>
    </w:p>
    <w:p w14:paraId="4A822A00" w14:textId="77777777" w:rsidR="00021B3B" w:rsidRDefault="00000000">
      <w:pPr>
        <w:spacing w:before="60" w:after="120" w:line="276" w:lineRule="auto"/>
        <w:jc w:val="center"/>
      </w:pPr>
      <w:r>
        <w:rPr>
          <w:rFonts w:ascii="Cambria Math" w:hAnsi="Cambria Math" w:cs="Cambria Math"/>
          <w:sz w:val="21"/>
          <w:szCs w:val="21"/>
          <w:lang w:val="en-US"/>
        </w:rPr>
        <w:t>C_i = w₁·P_audio + w₂·P_visual,   w₁ + w₂ = 1        (14)</w:t>
      </w:r>
    </w:p>
    <w:p w14:paraId="7E922161" w14:textId="77777777" w:rsidR="00021B3B" w:rsidRDefault="00000000">
      <w:pPr>
        <w:spacing w:after="120" w:line="276" w:lineRule="auto"/>
        <w:jc w:val="both"/>
      </w:pPr>
      <w:r>
        <w:rPr>
          <w:lang w:val="en-US"/>
        </w:rPr>
        <w:t>The Mamdani fuzzy rule base used in [17] and [18] (Gaussian membership functions, IF–THEN rules and centroid defuzzification) is retained as an interpretable alternative, and an adaptive, Kalman-style re-weighting in the spirit of [19] is noted as the natural extension when one modality becomes unreliable in the field.</w:t>
      </w:r>
    </w:p>
    <w:p w14:paraId="47178F35" w14:textId="77777777" w:rsidR="00021B3B" w:rsidRDefault="00000000">
      <w:pPr>
        <w:keepNext/>
        <w:spacing w:before="120" w:after="60" w:line="276" w:lineRule="auto"/>
      </w:pPr>
      <w:r>
        <w:rPr>
          <w:b/>
          <w:bCs/>
          <w:i/>
          <w:iCs/>
          <w:lang w:val="en-US"/>
        </w:rPr>
        <w:t>E. Spatial–temporal network layer</w:t>
      </w:r>
    </w:p>
    <w:p w14:paraId="6DDDBF97" w14:textId="77777777" w:rsidR="00021B3B" w:rsidRDefault="00000000">
      <w:pPr>
        <w:spacing w:after="120" w:line="276" w:lineRule="auto"/>
        <w:jc w:val="both"/>
      </w:pPr>
      <w:r>
        <w:rPr>
          <w:lang w:val="en-US"/>
        </w:rPr>
        <w:t>Each C_i is tagged with the tree location and scan timestamp and sent to a central aggregator. The plantation is modelled as a graph G = (V, E) in which each tree is a node and edges connect spatially proximate trees (k-nearest neighbours or a fixed radius r), weighted by a Gaussian kernel because spread probability falls with distance:</w:t>
      </w:r>
    </w:p>
    <w:p w14:paraId="6F0BEDCD" w14:textId="77777777" w:rsidR="00021B3B" w:rsidRDefault="00000000">
      <w:pPr>
        <w:spacing w:before="60" w:after="120" w:line="276" w:lineRule="auto"/>
        <w:jc w:val="center"/>
      </w:pPr>
      <w:r>
        <w:rPr>
          <w:rFonts w:ascii="Cambria Math" w:hAnsi="Cambria Math" w:cs="Cambria Math"/>
          <w:sz w:val="21"/>
          <w:szCs w:val="21"/>
          <w:lang w:val="en-US"/>
        </w:rPr>
        <w:t>e_ij = exp(−d(i, j)² / 2σ²) if d(i, j) ≤ r, otherwise 0        (15)</w:t>
      </w:r>
    </w:p>
    <w:p w14:paraId="37AECBAE" w14:textId="77777777" w:rsidR="00021B3B" w:rsidRDefault="00000000">
      <w:pPr>
        <w:spacing w:after="120" w:line="276" w:lineRule="auto"/>
        <w:jc w:val="both"/>
      </w:pPr>
      <w:r>
        <w:rPr>
          <w:lang w:val="en-US"/>
        </w:rPr>
        <w:t>Confidence is propagated one hop across the graph so that a tree whose own score is rising, and whose neighbours are also rising, is pulled towards alert status faster than an isolated reading would be. Exponential smoothing across scans then prevents a single noisy reading from triggering an alert on its own:</w:t>
      </w:r>
    </w:p>
    <w:p w14:paraId="47C8B5F1" w14:textId="77777777" w:rsidR="00021B3B" w:rsidRDefault="00000000">
      <w:pPr>
        <w:spacing w:before="60" w:after="120" w:line="276" w:lineRule="auto"/>
        <w:jc w:val="center"/>
      </w:pPr>
      <w:r>
        <w:rPr>
          <w:rFonts w:ascii="Cambria Math" w:hAnsi="Cambria Math" w:cs="Cambria Math"/>
          <w:sz w:val="21"/>
          <w:szCs w:val="21"/>
          <w:lang w:val="en-US"/>
        </w:rPr>
        <w:t>C_i(t+1) = α·C_i(t) + (1 − α)·Σ_j e_ij·C_j(t) / Σ_j e_ij        (16)</w:t>
      </w:r>
    </w:p>
    <w:p w14:paraId="79F8AF52" w14:textId="77777777" w:rsidR="00021B3B" w:rsidRDefault="00000000">
      <w:pPr>
        <w:spacing w:before="60" w:after="120" w:line="276" w:lineRule="auto"/>
        <w:jc w:val="center"/>
      </w:pPr>
      <w:r>
        <w:rPr>
          <w:rFonts w:ascii="Cambria Math" w:hAnsi="Cambria Math" w:cs="Cambria Math"/>
          <w:sz w:val="21"/>
          <w:szCs w:val="21"/>
          <w:lang w:val="en-US"/>
        </w:rPr>
        <w:t>C̄_i(t) = β·C_i(t) + (1 − β)·C̄_i(t − 1)        (17)</w:t>
      </w:r>
    </w:p>
    <w:p w14:paraId="546AD5A6" w14:textId="77777777" w:rsidR="00021B3B" w:rsidRDefault="00000000">
      <w:pPr>
        <w:spacing w:after="120" w:line="276" w:lineRule="auto"/>
        <w:jc w:val="both"/>
      </w:pPr>
      <w:r>
        <w:rPr>
          <w:lang w:val="en-US"/>
        </w:rPr>
        <w:t>Here α ∈ [0, 1] balances a tree's own reading against its neighbours (α → 1 recovers the per-tree behaviour of [17] and [18]) and β ∈ [0, 1] balances the newest scan against accumulated history. A cluster-aware outbreak score counts spatially contiguous trees whose smoothed confidence exceeds a low watch threshold θ_low, counting only clusters with at least k members:</w:t>
      </w:r>
    </w:p>
    <w:p w14:paraId="21931AB2" w14:textId="77777777" w:rsidR="00021B3B" w:rsidRDefault="00000000">
      <w:pPr>
        <w:spacing w:before="60" w:after="120" w:line="276" w:lineRule="auto"/>
        <w:jc w:val="center"/>
      </w:pPr>
      <w:r>
        <w:rPr>
          <w:rFonts w:ascii="Cambria Math" w:hAnsi="Cambria Math" w:cs="Cambria Math"/>
          <w:sz w:val="21"/>
          <w:szCs w:val="21"/>
          <w:lang w:val="en-US"/>
        </w:rPr>
        <w:t>O(t) = Σ_i 1[C̄_i(t) &gt; θ_low], over connected clusters of size ≥ k        (18)</w:t>
      </w:r>
    </w:p>
    <w:p w14:paraId="2373ECE4" w14:textId="77777777" w:rsidR="00021B3B" w:rsidRDefault="00000000">
      <w:pPr>
        <w:keepNext/>
        <w:spacing w:before="120" w:after="60" w:line="276" w:lineRule="auto"/>
      </w:pPr>
      <w:r>
        <w:rPr>
          <w:b/>
          <w:bCs/>
          <w:i/>
          <w:iCs/>
          <w:lang w:val="en-US"/>
        </w:rPr>
        <w:t>F. Decision layer and notification</w:t>
      </w:r>
    </w:p>
    <w:p w14:paraId="3153B295" w14:textId="77777777" w:rsidR="00021B3B" w:rsidRDefault="00000000">
      <w:pPr>
        <w:spacing w:after="120" w:line="276" w:lineRule="auto"/>
        <w:jc w:val="both"/>
      </w:pPr>
      <w:r>
        <w:rPr>
          <w:lang w:val="en-US"/>
        </w:rPr>
        <w:t>Two independent alerts are evaluated at every scan:</w:t>
      </w:r>
    </w:p>
    <w:p w14:paraId="72F6CA1A" w14:textId="77777777" w:rsidR="00021B3B" w:rsidRDefault="00000000">
      <w:pPr>
        <w:spacing w:before="60" w:after="120" w:line="276" w:lineRule="auto"/>
        <w:jc w:val="center"/>
      </w:pPr>
      <w:r>
        <w:rPr>
          <w:rFonts w:ascii="Cambria Math" w:hAnsi="Cambria Math" w:cs="Cambria Math"/>
          <w:sz w:val="21"/>
          <w:szCs w:val="21"/>
          <w:lang w:val="en-US"/>
        </w:rPr>
        <w:t>IF C̄_i(t) &gt; θ_high → tree-level alert;   IF O(t) &gt; θ_cluster → farm-level outbreak alert        (19)</w:t>
      </w:r>
    </w:p>
    <w:p w14:paraId="00B44EB2" w14:textId="77777777" w:rsidR="00021B3B" w:rsidRDefault="00000000">
      <w:pPr>
        <w:spacing w:after="120" w:line="276" w:lineRule="auto"/>
        <w:jc w:val="both"/>
      </w:pPr>
      <w:r>
        <w:rPr>
          <w:lang w:val="en-US"/>
        </w:rPr>
        <w:t>Alerts are pushed to a farmer-facing IoT dashboard or mobile application, following the Blynk-based pattern of [17] and [18], and carry the tree identifiers, locations, confidence trend and, for outbreak alerts, the boundary of the flagged cluster.</w:t>
      </w:r>
    </w:p>
    <w:p w14:paraId="203BB0E6" w14:textId="77777777" w:rsidR="00021B3B" w:rsidRDefault="00000000">
      <w:pPr>
        <w:keepNext/>
        <w:spacing w:before="120" w:after="60" w:line="276" w:lineRule="auto"/>
      </w:pPr>
      <w:r>
        <w:rPr>
          <w:b/>
          <w:bCs/>
          <w:i/>
          <w:iCs/>
          <w:lang w:val="en-US"/>
        </w:rPr>
        <w:t>G. Formal statement of the algorithm</w:t>
      </w:r>
    </w:p>
    <w:p w14:paraId="2CFE1DCE" w14:textId="77777777" w:rsidR="00021B3B" w:rsidRDefault="00000000">
      <w:pPr>
        <w:spacing w:after="120" w:line="276" w:lineRule="auto"/>
        <w:jc w:val="both"/>
      </w:pPr>
      <w:r>
        <w:rPr>
          <w:b/>
          <w:bCs/>
          <w:lang w:val="en-US"/>
        </w:rPr>
        <w:t>Input:</w:t>
      </w:r>
      <w:r>
        <w:rPr>
          <w:lang w:val="en-US"/>
        </w:rPr>
        <w:t xml:space="preserve"> streams {x_i(n), I_i} for trees i = 1…M, tree locations, thresholds θ_low, θ_high and θ_cluster, smoothing constants α and β, and minimum cluster size k. </w:t>
      </w:r>
      <w:r>
        <w:rPr>
          <w:b/>
          <w:bCs/>
          <w:lang w:val="en-US"/>
        </w:rPr>
        <w:t>Output:</w:t>
      </w:r>
      <w:r>
        <w:rPr>
          <w:lang w:val="en-US"/>
        </w:rPr>
        <w:t xml:space="preserve"> the per-tree alert set and a farm-level outbreak flag with the implicated cluster.</w:t>
      </w:r>
    </w:p>
    <w:p w14:paraId="2BCA3A4C" w14:textId="77777777" w:rsidR="00021B3B" w:rsidRDefault="00000000">
      <w:pPr>
        <w:spacing w:after="60" w:line="276" w:lineRule="auto"/>
        <w:ind w:left="720" w:hanging="360"/>
      </w:pPr>
      <w:r>
        <w:rPr>
          <w:lang w:val="en-US"/>
        </w:rPr>
        <w:t>1.  For each tree, pre-process the audio (Hamming window, STFT, magnitude, min–max normalisation) and the image (Savitzky–Golay filter, resize).</w:t>
      </w:r>
    </w:p>
    <w:p w14:paraId="082B3843" w14:textId="77777777" w:rsidR="00021B3B" w:rsidRDefault="00000000">
      <w:pPr>
        <w:spacing w:after="60" w:line="276" w:lineRule="auto"/>
        <w:ind w:left="720" w:hanging="360"/>
      </w:pPr>
      <w:r>
        <w:rPr>
          <w:lang w:val="en-US"/>
        </w:rPr>
        <w:t>2.  Compute P_audio with the CNN–BiGRU or PEN-BiGRU classifier.</w:t>
      </w:r>
    </w:p>
    <w:p w14:paraId="7D1A1879" w14:textId="77777777" w:rsidR="00021B3B" w:rsidRDefault="00000000">
      <w:pPr>
        <w:spacing w:after="60" w:line="276" w:lineRule="auto"/>
        <w:ind w:left="720" w:hanging="360"/>
      </w:pPr>
      <w:r>
        <w:rPr>
          <w:lang w:val="en-US"/>
        </w:rPr>
        <w:t>3.  Compute P_visual as the maximum detection score of the YOLO-Nano or CAB-RetinaNet detector.</w:t>
      </w:r>
    </w:p>
    <w:p w14:paraId="6D29D001" w14:textId="77777777" w:rsidR="00021B3B" w:rsidRDefault="00000000">
      <w:pPr>
        <w:spacing w:after="60" w:line="276" w:lineRule="auto"/>
        <w:ind w:left="720" w:hanging="360"/>
      </w:pPr>
      <w:r>
        <w:rPr>
          <w:lang w:val="en-US"/>
        </w:rPr>
        <w:lastRenderedPageBreak/>
        <w:t>4.  Fuse the two probabilities into C_i(t) using Eq. (14) or the fuzzy rule base.</w:t>
      </w:r>
    </w:p>
    <w:p w14:paraId="781DAA20" w14:textId="77777777" w:rsidR="00021B3B" w:rsidRDefault="00000000">
      <w:pPr>
        <w:spacing w:after="60" w:line="276" w:lineRule="auto"/>
        <w:ind w:left="720" w:hanging="360"/>
      </w:pPr>
      <w:r>
        <w:rPr>
          <w:lang w:val="en-US"/>
        </w:rPr>
        <w:t>5.  Tag C_i(t) with location and time and push it to the central aggregator.</w:t>
      </w:r>
    </w:p>
    <w:p w14:paraId="25147FE5" w14:textId="77777777" w:rsidR="00021B3B" w:rsidRDefault="00000000">
      <w:pPr>
        <w:spacing w:after="60" w:line="276" w:lineRule="auto"/>
        <w:ind w:left="720" w:hanging="360"/>
      </w:pPr>
      <w:r>
        <w:rPr>
          <w:lang w:val="en-US"/>
        </w:rPr>
        <w:t>6.  Build or update the proximity graph with edge weights from Eq. (15).</w:t>
      </w:r>
    </w:p>
    <w:p w14:paraId="1E7B27D2" w14:textId="77777777" w:rsidR="00021B3B" w:rsidRDefault="00000000">
      <w:pPr>
        <w:spacing w:after="60" w:line="276" w:lineRule="auto"/>
        <w:ind w:left="720" w:hanging="360"/>
      </w:pPr>
      <w:r>
        <w:rPr>
          <w:lang w:val="en-US"/>
        </w:rPr>
        <w:t>7.  Propagate confidence spatially with Eq. (16).</w:t>
      </w:r>
    </w:p>
    <w:p w14:paraId="75B35C88" w14:textId="77777777" w:rsidR="00021B3B" w:rsidRDefault="00000000">
      <w:pPr>
        <w:spacing w:after="60" w:line="276" w:lineRule="auto"/>
        <w:ind w:left="720" w:hanging="360"/>
      </w:pPr>
      <w:r>
        <w:rPr>
          <w:lang w:val="en-US"/>
        </w:rPr>
        <w:t>8.  Smooth confidence temporally with Eq. (17).</w:t>
      </w:r>
    </w:p>
    <w:p w14:paraId="7CF1C4EA" w14:textId="77777777" w:rsidR="00021B3B" w:rsidRDefault="00000000">
      <w:pPr>
        <w:spacing w:after="60" w:line="276" w:lineRule="auto"/>
        <w:ind w:left="720" w:hanging="360"/>
      </w:pPr>
      <w:r>
        <w:rPr>
          <w:lang w:val="en-US"/>
        </w:rPr>
        <w:t>9.  Raise a tree-level alert for every tree with C̄_i(t) &gt; θ_high.</w:t>
      </w:r>
    </w:p>
    <w:p w14:paraId="621C3A6B" w14:textId="77777777" w:rsidR="00021B3B" w:rsidRDefault="00000000">
      <w:pPr>
        <w:spacing w:after="60" w:line="276" w:lineRule="auto"/>
        <w:ind w:left="720" w:hanging="360"/>
      </w:pPr>
      <w:r>
        <w:rPr>
          <w:lang w:val="en-US"/>
        </w:rPr>
        <w:t>10. Identify connected clusters above θ_low with at least k members, compute O(t) with Eq. (18) and raise a farm-level alert if O(t) &gt; θ_cluster.</w:t>
      </w:r>
    </w:p>
    <w:p w14:paraId="6FFA0CFC" w14:textId="77777777" w:rsidR="00021B3B" w:rsidRDefault="00000000">
      <w:pPr>
        <w:spacing w:after="60" w:line="276" w:lineRule="auto"/>
        <w:ind w:left="720" w:hanging="360"/>
      </w:pPr>
      <w:r>
        <w:rPr>
          <w:lang w:val="en-US"/>
        </w:rPr>
        <w:t>11. Push all alerts to the farmer dashboard and repeat at the next scan interval.</w:t>
      </w:r>
    </w:p>
    <w:p w14:paraId="66D111E3" w14:textId="77777777" w:rsidR="00021B3B" w:rsidRDefault="00000000">
      <w:pPr>
        <w:keepNext/>
        <w:spacing w:before="120" w:after="60" w:line="276" w:lineRule="auto"/>
      </w:pPr>
      <w:r>
        <w:rPr>
          <w:b/>
          <w:bCs/>
          <w:i/>
          <w:iCs/>
          <w:lang w:val="en-US"/>
        </w:rPr>
        <w:t>H. AI relevance of the proposed algorithm</w:t>
      </w:r>
    </w:p>
    <w:p w14:paraId="7DA8127E" w14:textId="77777777" w:rsidR="00021B3B" w:rsidRDefault="00000000">
      <w:pPr>
        <w:spacing w:after="120" w:line="276" w:lineRule="auto"/>
        <w:jc w:val="both"/>
      </w:pPr>
      <w:r>
        <w:rPr>
          <w:lang w:val="en-US"/>
        </w:rPr>
        <w:t>Read as a whole, the pipeline chains together four families of AI technique, each chosen for what it does best. The spectrogram CNN–BiGRU and the YOLO or CAB-RetinaNet backbones perform representation learning: the networks discover which spectro-temporal and spatial patterns correlate with infestation instead of relying on hand-crafted rules, which is what makes weakly audible or barely visible early symptoms detectable at all. Both branches then act as supervised discriminative models trained against expert-labelled clips and bounding boxes, which is why the accuracies reported in the surveyed papers (about 85.6% audio-only [22], 95.95% vision-only [21] and 99.54% bimodal [17], [18]) are meaningful benchmarks for each branch. The self-attention in PEN-BiGRU and the channel attention in CAB-RetinaNet are two instances of the same idea, letting the network learn which parts of its own feature map to trust, and this is consistent with COMICS being the only surveyed system with measured noise robustness. Decision-level fusion compensates for each sensor's failure mode by letting the more reliable modality dominate. Finally, Eq. (16) is a one-hop message-passing update, structurally the same aggregation a graph neural network layer performs, so the spatial–temporal layer turns a set of independently validated per-tree classifiers into a system that reasons about how RPW actually spreads. Because this layer feeds back into the alert decision rather than only reporting a metric, it changes what counts as a positive: a tree can be flagged before its own threshold is crossed because its neighbours are trending upward, while temporal smoothing makes the system more conservative against single noisy scans than any of the surveyed per-scan systems.</w:t>
      </w:r>
    </w:p>
    <w:p w14:paraId="33DA7498" w14:textId="77777777" w:rsidR="00021B3B" w:rsidRDefault="00000000">
      <w:pPr>
        <w:keepNext/>
        <w:spacing w:before="120" w:after="60" w:line="276" w:lineRule="auto"/>
      </w:pPr>
      <w:r>
        <w:rPr>
          <w:b/>
          <w:bCs/>
          <w:i/>
          <w:iCs/>
          <w:lang w:val="en-US"/>
        </w:rPr>
        <w:t>I. Evaluation protocol and metrics</w:t>
      </w:r>
    </w:p>
    <w:p w14:paraId="5EB7B8C5" w14:textId="77777777" w:rsidR="00021B3B" w:rsidRDefault="00000000">
      <w:pPr>
        <w:spacing w:after="120" w:line="276" w:lineRule="auto"/>
        <w:jc w:val="both"/>
      </w:pPr>
      <w:r>
        <w:rPr>
          <w:lang w:val="en-US"/>
        </w:rPr>
        <w:t>Branch and system performance will be reported with the metrics that recur across the surveyed papers, summarised in Table II, where TP, TN, FP and FN denote true positives, true negatives, false positives and false negatives. Following the argument of Chicco and Jurman [23] that MCC is harder to inflate than accuracy or F1-score on imbalanced healthy-versus-infested data, MCC and specificity are treated as primary metrics rather than supplementary ones. Inference latency, model size and power draw will additionally be measured on a Raspberry-Pi-class device, as in [3], and on an ESP32-class sensor node, as in [18], so that edge feasibility is demonstrated rather than assumed.</w:t>
      </w:r>
    </w:p>
    <w:p w14:paraId="49383755" w14:textId="77777777" w:rsidR="00021B3B" w:rsidRDefault="00000000">
      <w:pPr>
        <w:keepNext/>
        <w:spacing w:before="120" w:after="80" w:line="276" w:lineRule="auto"/>
        <w:jc w:val="center"/>
      </w:pPr>
      <w:r>
        <w:rPr>
          <w:b/>
          <w:bCs/>
          <w:sz w:val="20"/>
          <w:szCs w:val="20"/>
          <w:lang w:val="en-US"/>
        </w:rPr>
        <w:t>TABLE II. Evaluation metrics used in the proposed study</w:t>
      </w:r>
    </w:p>
    <w:tbl>
      <w:tblPr>
        <w:tblStyle w:val="TableGrid"/>
        <w:tblW w:w="9026" w:type="dxa"/>
        <w:jc w:val="center"/>
        <w:tblLook w:val="04A0" w:firstRow="1" w:lastRow="0" w:firstColumn="1" w:lastColumn="0" w:noHBand="0" w:noVBand="1"/>
      </w:tblPr>
      <w:tblGrid>
        <w:gridCol w:w="1900"/>
        <w:gridCol w:w="4526"/>
        <w:gridCol w:w="2600"/>
      </w:tblGrid>
      <w:tr w:rsidR="00021B3B" w14:paraId="5FE38B3C" w14:textId="77777777">
        <w:trPr>
          <w:tblHeader/>
          <w:jc w:val="center"/>
        </w:trPr>
        <w:tc>
          <w:tcPr>
            <w:tcW w:w="1900" w:type="dxa"/>
            <w:shd w:val="clear" w:color="auto" w:fill="D9E2F3"/>
          </w:tcPr>
          <w:p w14:paraId="0CAF8296" w14:textId="77777777" w:rsidR="00021B3B" w:rsidRDefault="00000000">
            <w:r>
              <w:rPr>
                <w:b/>
                <w:bCs/>
                <w:sz w:val="18"/>
                <w:szCs w:val="18"/>
                <w:lang w:val="en-US"/>
              </w:rPr>
              <w:t>Metric</w:t>
            </w:r>
          </w:p>
        </w:tc>
        <w:tc>
          <w:tcPr>
            <w:tcW w:w="4526" w:type="dxa"/>
            <w:shd w:val="clear" w:color="auto" w:fill="D9E2F3"/>
          </w:tcPr>
          <w:p w14:paraId="44316BA4" w14:textId="77777777" w:rsidR="00021B3B" w:rsidRDefault="00000000">
            <w:r>
              <w:rPr>
                <w:b/>
                <w:bCs/>
                <w:sz w:val="18"/>
                <w:szCs w:val="18"/>
                <w:lang w:val="en-US"/>
              </w:rPr>
              <w:t>Formula</w:t>
            </w:r>
          </w:p>
        </w:tc>
        <w:tc>
          <w:tcPr>
            <w:tcW w:w="2600" w:type="dxa"/>
            <w:shd w:val="clear" w:color="auto" w:fill="D9E2F3"/>
          </w:tcPr>
          <w:p w14:paraId="36FB406E" w14:textId="77777777" w:rsidR="00021B3B" w:rsidRDefault="00000000">
            <w:r>
              <w:rPr>
                <w:b/>
                <w:bCs/>
                <w:sz w:val="18"/>
                <w:szCs w:val="18"/>
                <w:lang w:val="en-US"/>
              </w:rPr>
              <w:t>Used for</w:t>
            </w:r>
          </w:p>
        </w:tc>
      </w:tr>
      <w:tr w:rsidR="00021B3B" w14:paraId="2BF07709" w14:textId="77777777">
        <w:trPr>
          <w:jc w:val="center"/>
        </w:trPr>
        <w:tc>
          <w:tcPr>
            <w:tcW w:w="1900" w:type="dxa"/>
          </w:tcPr>
          <w:p w14:paraId="37615D61" w14:textId="77777777" w:rsidR="00021B3B" w:rsidRDefault="00000000">
            <w:r>
              <w:rPr>
                <w:sz w:val="18"/>
                <w:szCs w:val="18"/>
                <w:lang w:val="en-US"/>
              </w:rPr>
              <w:t>Accuracy</w:t>
            </w:r>
          </w:p>
        </w:tc>
        <w:tc>
          <w:tcPr>
            <w:tcW w:w="4526" w:type="dxa"/>
          </w:tcPr>
          <w:p w14:paraId="2D483140" w14:textId="77777777" w:rsidR="00021B3B" w:rsidRDefault="00000000">
            <w:r>
              <w:rPr>
                <w:sz w:val="18"/>
                <w:szCs w:val="18"/>
                <w:lang w:val="en-US"/>
              </w:rPr>
              <w:t>(TP + TN) / (TP + TN + FP + FN)</w:t>
            </w:r>
          </w:p>
        </w:tc>
        <w:tc>
          <w:tcPr>
            <w:tcW w:w="2600" w:type="dxa"/>
          </w:tcPr>
          <w:p w14:paraId="45962404" w14:textId="77777777" w:rsidR="00021B3B" w:rsidRDefault="00000000">
            <w:r>
              <w:rPr>
                <w:sz w:val="18"/>
                <w:szCs w:val="18"/>
                <w:lang w:val="en-US"/>
              </w:rPr>
              <w:t>Both branches and fused system</w:t>
            </w:r>
          </w:p>
        </w:tc>
      </w:tr>
      <w:tr w:rsidR="00021B3B" w14:paraId="3EAB60DB" w14:textId="77777777">
        <w:trPr>
          <w:jc w:val="center"/>
        </w:trPr>
        <w:tc>
          <w:tcPr>
            <w:tcW w:w="1900" w:type="dxa"/>
          </w:tcPr>
          <w:p w14:paraId="431355FB" w14:textId="77777777" w:rsidR="00021B3B" w:rsidRDefault="00000000">
            <w:r>
              <w:rPr>
                <w:sz w:val="18"/>
                <w:szCs w:val="18"/>
                <w:lang w:val="en-US"/>
              </w:rPr>
              <w:t>Precision</w:t>
            </w:r>
          </w:p>
        </w:tc>
        <w:tc>
          <w:tcPr>
            <w:tcW w:w="4526" w:type="dxa"/>
          </w:tcPr>
          <w:p w14:paraId="57D6637C" w14:textId="77777777" w:rsidR="00021B3B" w:rsidRDefault="00000000">
            <w:r>
              <w:rPr>
                <w:sz w:val="18"/>
                <w:szCs w:val="18"/>
                <w:lang w:val="en-US"/>
              </w:rPr>
              <w:t>TP / (TP + FP)</w:t>
            </w:r>
          </w:p>
        </w:tc>
        <w:tc>
          <w:tcPr>
            <w:tcW w:w="2600" w:type="dxa"/>
          </w:tcPr>
          <w:p w14:paraId="56B37C10" w14:textId="77777777" w:rsidR="00021B3B" w:rsidRDefault="00000000">
            <w:r>
              <w:rPr>
                <w:sz w:val="18"/>
                <w:szCs w:val="18"/>
                <w:lang w:val="en-US"/>
              </w:rPr>
              <w:t>Both branches and fused system</w:t>
            </w:r>
          </w:p>
        </w:tc>
      </w:tr>
      <w:tr w:rsidR="00021B3B" w14:paraId="79CB5876" w14:textId="77777777">
        <w:trPr>
          <w:jc w:val="center"/>
        </w:trPr>
        <w:tc>
          <w:tcPr>
            <w:tcW w:w="1900" w:type="dxa"/>
          </w:tcPr>
          <w:p w14:paraId="4FAF92BD" w14:textId="77777777" w:rsidR="00021B3B" w:rsidRDefault="00000000">
            <w:r>
              <w:rPr>
                <w:sz w:val="18"/>
                <w:szCs w:val="18"/>
                <w:lang w:val="en-US"/>
              </w:rPr>
              <w:t>Recall (sensitivity)</w:t>
            </w:r>
          </w:p>
        </w:tc>
        <w:tc>
          <w:tcPr>
            <w:tcW w:w="4526" w:type="dxa"/>
          </w:tcPr>
          <w:p w14:paraId="1D9D4D0E" w14:textId="77777777" w:rsidR="00021B3B" w:rsidRDefault="00000000">
            <w:r>
              <w:rPr>
                <w:sz w:val="18"/>
                <w:szCs w:val="18"/>
                <w:lang w:val="en-US"/>
              </w:rPr>
              <w:t>TP / (TP + FN)</w:t>
            </w:r>
          </w:p>
        </w:tc>
        <w:tc>
          <w:tcPr>
            <w:tcW w:w="2600" w:type="dxa"/>
          </w:tcPr>
          <w:p w14:paraId="36A1D73F" w14:textId="77777777" w:rsidR="00021B3B" w:rsidRDefault="00000000">
            <w:r>
              <w:rPr>
                <w:sz w:val="18"/>
                <w:szCs w:val="18"/>
                <w:lang w:val="en-US"/>
              </w:rPr>
              <w:t>Both branches and fused system</w:t>
            </w:r>
          </w:p>
        </w:tc>
      </w:tr>
      <w:tr w:rsidR="00021B3B" w14:paraId="42A1B321" w14:textId="77777777">
        <w:trPr>
          <w:jc w:val="center"/>
        </w:trPr>
        <w:tc>
          <w:tcPr>
            <w:tcW w:w="1900" w:type="dxa"/>
          </w:tcPr>
          <w:p w14:paraId="090D9923" w14:textId="77777777" w:rsidR="00021B3B" w:rsidRDefault="00000000">
            <w:r>
              <w:rPr>
                <w:sz w:val="18"/>
                <w:szCs w:val="18"/>
                <w:lang w:val="en-US"/>
              </w:rPr>
              <w:t>Specificity</w:t>
            </w:r>
          </w:p>
        </w:tc>
        <w:tc>
          <w:tcPr>
            <w:tcW w:w="4526" w:type="dxa"/>
          </w:tcPr>
          <w:p w14:paraId="69B88757" w14:textId="77777777" w:rsidR="00021B3B" w:rsidRDefault="00000000">
            <w:r>
              <w:rPr>
                <w:sz w:val="18"/>
                <w:szCs w:val="18"/>
                <w:lang w:val="en-US"/>
              </w:rPr>
              <w:t>TN / (TN + FP)</w:t>
            </w:r>
          </w:p>
        </w:tc>
        <w:tc>
          <w:tcPr>
            <w:tcW w:w="2600" w:type="dxa"/>
          </w:tcPr>
          <w:p w14:paraId="672CF436" w14:textId="77777777" w:rsidR="00021B3B" w:rsidRDefault="00000000">
            <w:r>
              <w:rPr>
                <w:sz w:val="18"/>
                <w:szCs w:val="18"/>
                <w:lang w:val="en-US"/>
              </w:rPr>
              <w:t>Both branches and fused system</w:t>
            </w:r>
          </w:p>
        </w:tc>
      </w:tr>
      <w:tr w:rsidR="00021B3B" w14:paraId="2B4E8C57" w14:textId="77777777">
        <w:trPr>
          <w:jc w:val="center"/>
        </w:trPr>
        <w:tc>
          <w:tcPr>
            <w:tcW w:w="1900" w:type="dxa"/>
          </w:tcPr>
          <w:p w14:paraId="5061C7F6" w14:textId="77777777" w:rsidR="00021B3B" w:rsidRDefault="00000000">
            <w:r>
              <w:rPr>
                <w:sz w:val="18"/>
                <w:szCs w:val="18"/>
                <w:lang w:val="en-US"/>
              </w:rPr>
              <w:t>F1-score</w:t>
            </w:r>
          </w:p>
        </w:tc>
        <w:tc>
          <w:tcPr>
            <w:tcW w:w="4526" w:type="dxa"/>
          </w:tcPr>
          <w:p w14:paraId="52411370" w14:textId="77777777" w:rsidR="00021B3B" w:rsidRDefault="00000000">
            <w:r>
              <w:rPr>
                <w:sz w:val="18"/>
                <w:szCs w:val="18"/>
                <w:lang w:val="en-US"/>
              </w:rPr>
              <w:t>2 × Precision × Recall / (Precision + Recall)</w:t>
            </w:r>
          </w:p>
        </w:tc>
        <w:tc>
          <w:tcPr>
            <w:tcW w:w="2600" w:type="dxa"/>
          </w:tcPr>
          <w:p w14:paraId="25939F2F" w14:textId="77777777" w:rsidR="00021B3B" w:rsidRDefault="00000000">
            <w:r>
              <w:rPr>
                <w:sz w:val="18"/>
                <w:szCs w:val="18"/>
                <w:lang w:val="en-US"/>
              </w:rPr>
              <w:t>Both branches and fused system</w:t>
            </w:r>
          </w:p>
        </w:tc>
      </w:tr>
      <w:tr w:rsidR="00021B3B" w14:paraId="7C27D2D0" w14:textId="77777777">
        <w:trPr>
          <w:jc w:val="center"/>
        </w:trPr>
        <w:tc>
          <w:tcPr>
            <w:tcW w:w="1900" w:type="dxa"/>
          </w:tcPr>
          <w:p w14:paraId="7F6ABD45" w14:textId="77777777" w:rsidR="00021B3B" w:rsidRDefault="00000000">
            <w:r>
              <w:rPr>
                <w:sz w:val="18"/>
                <w:szCs w:val="18"/>
                <w:lang w:val="en-US"/>
              </w:rPr>
              <w:lastRenderedPageBreak/>
              <w:t>MCC</w:t>
            </w:r>
          </w:p>
        </w:tc>
        <w:tc>
          <w:tcPr>
            <w:tcW w:w="4526" w:type="dxa"/>
          </w:tcPr>
          <w:p w14:paraId="3CEBEDD6" w14:textId="77777777" w:rsidR="00021B3B" w:rsidRDefault="00000000">
            <w:r>
              <w:rPr>
                <w:sz w:val="18"/>
                <w:szCs w:val="18"/>
                <w:lang w:val="en-US"/>
              </w:rPr>
              <w:t>(TP·TN − FP·FN) / √[(TP+FP)(TP+FN)(TN+FP)(TN+FN)]</w:t>
            </w:r>
          </w:p>
        </w:tc>
        <w:tc>
          <w:tcPr>
            <w:tcW w:w="2600" w:type="dxa"/>
          </w:tcPr>
          <w:p w14:paraId="421008A1" w14:textId="77777777" w:rsidR="00021B3B" w:rsidRDefault="00000000">
            <w:r>
              <w:rPr>
                <w:sz w:val="18"/>
                <w:szCs w:val="18"/>
                <w:lang w:val="en-US"/>
              </w:rPr>
              <w:t>Primary metric under class imbalance</w:t>
            </w:r>
          </w:p>
        </w:tc>
      </w:tr>
      <w:tr w:rsidR="00021B3B" w14:paraId="6FAC25C8" w14:textId="77777777">
        <w:trPr>
          <w:jc w:val="center"/>
        </w:trPr>
        <w:tc>
          <w:tcPr>
            <w:tcW w:w="1900" w:type="dxa"/>
          </w:tcPr>
          <w:p w14:paraId="1ECF7CF6" w14:textId="77777777" w:rsidR="00021B3B" w:rsidRDefault="00000000">
            <w:r>
              <w:rPr>
                <w:sz w:val="18"/>
                <w:szCs w:val="18"/>
                <w:lang w:val="en-US"/>
              </w:rPr>
              <w:t>IoU</w:t>
            </w:r>
          </w:p>
        </w:tc>
        <w:tc>
          <w:tcPr>
            <w:tcW w:w="4526" w:type="dxa"/>
          </w:tcPr>
          <w:p w14:paraId="18F9A58A" w14:textId="77777777" w:rsidR="00021B3B" w:rsidRDefault="00000000">
            <w:r>
              <w:rPr>
                <w:sz w:val="18"/>
                <w:szCs w:val="18"/>
                <w:lang w:val="en-US"/>
              </w:rPr>
              <w:t>Area of overlap / area of union of predicted and ground-truth boxes</w:t>
            </w:r>
          </w:p>
        </w:tc>
        <w:tc>
          <w:tcPr>
            <w:tcW w:w="2600" w:type="dxa"/>
          </w:tcPr>
          <w:p w14:paraId="3C504D24" w14:textId="77777777" w:rsidR="00021B3B" w:rsidRDefault="00000000">
            <w:r>
              <w:rPr>
                <w:sz w:val="18"/>
                <w:szCs w:val="18"/>
                <w:lang w:val="en-US"/>
              </w:rPr>
              <w:t>Visual branch localisation</w:t>
            </w:r>
          </w:p>
        </w:tc>
      </w:tr>
      <w:tr w:rsidR="00021B3B" w14:paraId="4D41EB41" w14:textId="77777777">
        <w:trPr>
          <w:jc w:val="center"/>
        </w:trPr>
        <w:tc>
          <w:tcPr>
            <w:tcW w:w="1900" w:type="dxa"/>
          </w:tcPr>
          <w:p w14:paraId="3A326357" w14:textId="77777777" w:rsidR="00021B3B" w:rsidRDefault="00000000">
            <w:r>
              <w:rPr>
                <w:sz w:val="18"/>
                <w:szCs w:val="18"/>
                <w:lang w:val="en-US"/>
              </w:rPr>
              <w:t>mAP</w:t>
            </w:r>
          </w:p>
        </w:tc>
        <w:tc>
          <w:tcPr>
            <w:tcW w:w="4526" w:type="dxa"/>
          </w:tcPr>
          <w:p w14:paraId="3A19D9D9" w14:textId="77777777" w:rsidR="00021B3B" w:rsidRDefault="00000000">
            <w:r>
              <w:rPr>
                <w:sz w:val="18"/>
                <w:szCs w:val="18"/>
                <w:lang w:val="en-US"/>
              </w:rPr>
              <w:t>Mean over classes of the area under the precision–recall curve (IoU 0.5 and 0.5:0.95)</w:t>
            </w:r>
          </w:p>
        </w:tc>
        <w:tc>
          <w:tcPr>
            <w:tcW w:w="2600" w:type="dxa"/>
          </w:tcPr>
          <w:p w14:paraId="0CC71A20" w14:textId="77777777" w:rsidR="00021B3B" w:rsidRDefault="00000000">
            <w:r>
              <w:rPr>
                <w:sz w:val="18"/>
                <w:szCs w:val="18"/>
                <w:lang w:val="en-US"/>
              </w:rPr>
              <w:t>Visual branch detection</w:t>
            </w:r>
          </w:p>
        </w:tc>
      </w:tr>
    </w:tbl>
    <w:p w14:paraId="74EB0E34" w14:textId="77777777" w:rsidR="00021B3B" w:rsidRDefault="00021B3B">
      <w:pPr>
        <w:spacing w:after="60" w:line="276" w:lineRule="auto"/>
        <w:jc w:val="both"/>
      </w:pPr>
    </w:p>
    <w:p w14:paraId="788CC8D0" w14:textId="77777777" w:rsidR="00021B3B" w:rsidRDefault="00000000">
      <w:pPr>
        <w:keepNext/>
        <w:spacing w:before="120" w:after="60" w:line="276" w:lineRule="auto"/>
      </w:pPr>
      <w:r>
        <w:rPr>
          <w:b/>
          <w:bCs/>
          <w:i/>
          <w:iCs/>
          <w:lang w:val="en-US"/>
        </w:rPr>
        <w:t>J. Limitations</w:t>
      </w:r>
    </w:p>
    <w:p w14:paraId="4C00D15E" w14:textId="77777777" w:rsidR="00021B3B" w:rsidRDefault="00000000">
      <w:pPr>
        <w:spacing w:after="120" w:line="276" w:lineRule="auto"/>
        <w:jc w:val="both"/>
      </w:pPr>
      <w:r>
        <w:rPr>
          <w:lang w:val="en-US"/>
        </w:rPr>
        <w:t>The fusion weights w₁ and w₂ and the propagation constants α and β are hyperparameters that require field calibration; poorly chosen values could over-smooth a genuinely isolated infestation or under-smooth a noisy sensor. Graph construction assumes that tree locations are known, so dense plantations with GPS error may need a planting-grid index instead of raw coordinates. The attention-augmented branches are heavier than their plain counterparts, and the COMICS hardware study shows that audio processing already dominates battery life, so they should be reserved for gateway nodes. Finally, the one-hop diffusion in Eq. (16) is chosen for interpretability and low cost; a learned graph neural network is the natural next step but requires spatially registered, temporally labelled outbreak data that does not yet exist in any of the surveyed datasets.</w:t>
      </w:r>
    </w:p>
    <w:p w14:paraId="566CDC16" w14:textId="77777777" w:rsidR="00021B3B" w:rsidRDefault="00000000">
      <w:pPr>
        <w:keepNext/>
        <w:spacing w:before="240" w:after="120" w:line="276" w:lineRule="auto"/>
      </w:pPr>
      <w:r>
        <w:rPr>
          <w:b/>
          <w:bCs/>
          <w:sz w:val="26"/>
          <w:szCs w:val="26"/>
          <w:lang w:val="en-US"/>
        </w:rPr>
        <w:t>References</w:t>
      </w:r>
    </w:p>
    <w:p w14:paraId="29442923" w14:textId="77777777" w:rsidR="00021B3B" w:rsidRDefault="00000000">
      <w:pPr>
        <w:tabs>
          <w:tab w:val="left" w:pos="540"/>
        </w:tabs>
        <w:spacing w:after="60" w:line="276" w:lineRule="auto"/>
        <w:ind w:left="540" w:hanging="540"/>
      </w:pPr>
      <w:r>
        <w:rPr>
          <w:sz w:val="20"/>
          <w:szCs w:val="20"/>
          <w:lang w:val="en-US"/>
        </w:rPr>
        <w:t>[1]</w:t>
      </w:r>
      <w:r>
        <w:rPr>
          <w:sz w:val="20"/>
          <w:szCs w:val="20"/>
          <w:lang w:val="en-US"/>
        </w:rPr>
        <w:tab/>
        <w:t xml:space="preserve">J. Pinhas, V. Soroker, A. Hetzroni, A. Mizrach, M. Teicher, and J. Goldberger, “Automatic acoustic detection of the red palm weevil,” </w:t>
      </w:r>
      <w:r>
        <w:rPr>
          <w:i/>
          <w:iCs/>
          <w:sz w:val="20"/>
          <w:szCs w:val="20"/>
          <w:lang w:val="en-US"/>
        </w:rPr>
        <w:t>Comput. Electron. Agric.</w:t>
      </w:r>
      <w:r>
        <w:rPr>
          <w:sz w:val="20"/>
          <w:szCs w:val="20"/>
          <w:lang w:val="en-US"/>
        </w:rPr>
        <w:t>, vol. 63, no. 2, pp. 131–139, 2008.</w:t>
      </w:r>
    </w:p>
    <w:p w14:paraId="36EAE1D5" w14:textId="77777777" w:rsidR="00021B3B" w:rsidRDefault="00000000">
      <w:pPr>
        <w:tabs>
          <w:tab w:val="left" w:pos="540"/>
        </w:tabs>
        <w:spacing w:after="60" w:line="276" w:lineRule="auto"/>
        <w:ind w:left="540" w:hanging="540"/>
      </w:pPr>
      <w:r>
        <w:rPr>
          <w:sz w:val="20"/>
          <w:szCs w:val="20"/>
          <w:lang w:val="en-US"/>
        </w:rPr>
        <w:t>[2]</w:t>
      </w:r>
      <w:r>
        <w:rPr>
          <w:sz w:val="20"/>
          <w:szCs w:val="20"/>
          <w:lang w:val="en-US"/>
        </w:rPr>
        <w:tab/>
        <w:t xml:space="preserve">K. A. P. Siriwardena, L. C. P. Fernando, N. Nanayakkara, K. F. G. Perera, A. D. N. T. Kumara, and T. Nanayakkara, “Portable acoustic device for detection of coconut palms infested by </w:t>
      </w:r>
      <w:r>
        <w:rPr>
          <w:i/>
          <w:iCs/>
          <w:sz w:val="20"/>
          <w:szCs w:val="20"/>
          <w:lang w:val="en-US"/>
        </w:rPr>
        <w:t>Rynchophorus ferrugineus</w:t>
      </w:r>
      <w:r>
        <w:rPr>
          <w:sz w:val="20"/>
          <w:szCs w:val="20"/>
          <w:lang w:val="en-US"/>
        </w:rPr>
        <w:t xml:space="preserve"> (Coleoptera: Curculionidae),” </w:t>
      </w:r>
      <w:r>
        <w:rPr>
          <w:i/>
          <w:iCs/>
          <w:sz w:val="20"/>
          <w:szCs w:val="20"/>
          <w:lang w:val="en-US"/>
        </w:rPr>
        <w:t>Crop Prot.</w:t>
      </w:r>
      <w:r>
        <w:rPr>
          <w:sz w:val="20"/>
          <w:szCs w:val="20"/>
          <w:lang w:val="en-US"/>
        </w:rPr>
        <w:t>, vol. 29, no. 1, pp. 25–29, 2010.</w:t>
      </w:r>
    </w:p>
    <w:p w14:paraId="6BE6721B" w14:textId="77777777" w:rsidR="00021B3B" w:rsidRDefault="00000000">
      <w:pPr>
        <w:tabs>
          <w:tab w:val="left" w:pos="540"/>
        </w:tabs>
        <w:spacing w:after="60" w:line="276" w:lineRule="auto"/>
        <w:ind w:left="540" w:hanging="540"/>
      </w:pPr>
      <w:r>
        <w:rPr>
          <w:sz w:val="20"/>
          <w:szCs w:val="20"/>
          <w:lang w:val="en-US"/>
        </w:rPr>
        <w:t>[3]</w:t>
      </w:r>
      <w:r>
        <w:rPr>
          <w:sz w:val="20"/>
          <w:szCs w:val="20"/>
          <w:lang w:val="en-US"/>
        </w:rPr>
        <w:tab/>
        <w:t xml:space="preserve">B. Martin, S. Saranya, and P. J. Chowdary, “Smart IoT thermal imaging approach for early identification of Red Palm Weevil (RPW) infestation on palms,” </w:t>
      </w:r>
      <w:r>
        <w:rPr>
          <w:i/>
          <w:iCs/>
          <w:sz w:val="20"/>
          <w:szCs w:val="20"/>
          <w:lang w:val="en-US"/>
        </w:rPr>
        <w:t>Sci. Rep.</w:t>
      </w:r>
      <w:r>
        <w:rPr>
          <w:sz w:val="20"/>
          <w:szCs w:val="20"/>
          <w:lang w:val="en-US"/>
        </w:rPr>
        <w:t>, vol. 16, 2026, Art. no. 5392.</w:t>
      </w:r>
    </w:p>
    <w:p w14:paraId="02B46BD3" w14:textId="77777777" w:rsidR="00021B3B" w:rsidRDefault="00000000">
      <w:pPr>
        <w:tabs>
          <w:tab w:val="left" w:pos="540"/>
        </w:tabs>
        <w:spacing w:after="60" w:line="276" w:lineRule="auto"/>
        <w:ind w:left="540" w:hanging="540"/>
      </w:pPr>
      <w:r>
        <w:rPr>
          <w:sz w:val="20"/>
          <w:szCs w:val="20"/>
          <w:lang w:val="en-US"/>
        </w:rPr>
        <w:t>[4]</w:t>
      </w:r>
      <w:r>
        <w:rPr>
          <w:sz w:val="20"/>
          <w:szCs w:val="20"/>
          <w:lang w:val="en-US"/>
        </w:rPr>
        <w:tab/>
        <w:t xml:space="preserve">M. Alsanea, S. Habib, N. F. Khan, M. F. Alsharekh, M. Islam, and S. Khan, “A deep-learning model for real-time red palm weevil detection and localization,” </w:t>
      </w:r>
      <w:r>
        <w:rPr>
          <w:i/>
          <w:iCs/>
          <w:sz w:val="20"/>
          <w:szCs w:val="20"/>
          <w:lang w:val="en-US"/>
        </w:rPr>
        <w:t>J. Imaging</w:t>
      </w:r>
      <w:r>
        <w:rPr>
          <w:sz w:val="20"/>
          <w:szCs w:val="20"/>
          <w:lang w:val="en-US"/>
        </w:rPr>
        <w:t>, vol. 8, no. 6, p. 170, Jun. 2022.</w:t>
      </w:r>
    </w:p>
    <w:p w14:paraId="5E99346C" w14:textId="77777777" w:rsidR="00021B3B" w:rsidRDefault="00000000">
      <w:pPr>
        <w:tabs>
          <w:tab w:val="left" w:pos="540"/>
        </w:tabs>
        <w:spacing w:after="60" w:line="276" w:lineRule="auto"/>
        <w:ind w:left="540" w:hanging="540"/>
      </w:pPr>
      <w:r>
        <w:rPr>
          <w:sz w:val="20"/>
          <w:szCs w:val="20"/>
          <w:lang w:val="en-US"/>
        </w:rPr>
        <w:t>[5]</w:t>
      </w:r>
      <w:r>
        <w:rPr>
          <w:sz w:val="20"/>
          <w:szCs w:val="20"/>
          <w:lang w:val="en-US"/>
        </w:rPr>
        <w:tab/>
        <w:t xml:space="preserve">D. Kagan, G. Fuhrmann Alpert, and M. Fire, “Automatic large scale detection of red palm weevil infestation using street view images,” </w:t>
      </w:r>
      <w:r>
        <w:rPr>
          <w:i/>
          <w:iCs/>
          <w:sz w:val="20"/>
          <w:szCs w:val="20"/>
          <w:lang w:val="en-US"/>
        </w:rPr>
        <w:t>ISPRS J. Photogramm. Remote Sens.</w:t>
      </w:r>
      <w:r>
        <w:rPr>
          <w:sz w:val="20"/>
          <w:szCs w:val="20"/>
          <w:lang w:val="en-US"/>
        </w:rPr>
        <w:t>, vol. 182, pp. 122–133, Dec. 2021.</w:t>
      </w:r>
    </w:p>
    <w:p w14:paraId="367D0AF9" w14:textId="77777777" w:rsidR="00021B3B" w:rsidRDefault="00000000">
      <w:pPr>
        <w:tabs>
          <w:tab w:val="left" w:pos="540"/>
        </w:tabs>
        <w:spacing w:after="60" w:line="276" w:lineRule="auto"/>
        <w:ind w:left="540" w:hanging="540"/>
      </w:pPr>
      <w:r>
        <w:rPr>
          <w:sz w:val="20"/>
          <w:szCs w:val="20"/>
          <w:lang w:val="en-US"/>
        </w:rPr>
        <w:t>[6]</w:t>
      </w:r>
      <w:r>
        <w:rPr>
          <w:sz w:val="20"/>
          <w:szCs w:val="20"/>
          <w:lang w:val="en-US"/>
        </w:rPr>
        <w:tab/>
        <w:t xml:space="preserve">I. Rigakis, I. Potamitis, N.-A. Tatlas, S. M. Potirakis, and S. Ntalampiras, “TreeVibes: Modern tools for global monitoring of trees for borers,” </w:t>
      </w:r>
      <w:r>
        <w:rPr>
          <w:i/>
          <w:iCs/>
          <w:sz w:val="20"/>
          <w:szCs w:val="20"/>
          <w:lang w:val="en-US"/>
        </w:rPr>
        <w:t>Smart Cities</w:t>
      </w:r>
      <w:r>
        <w:rPr>
          <w:sz w:val="20"/>
          <w:szCs w:val="20"/>
          <w:lang w:val="en-US"/>
        </w:rPr>
        <w:t>, vol. 4, no. 1, pp. 271–285, 2021.</w:t>
      </w:r>
    </w:p>
    <w:p w14:paraId="761AC6F9" w14:textId="77777777" w:rsidR="00021B3B" w:rsidRDefault="00000000">
      <w:pPr>
        <w:tabs>
          <w:tab w:val="left" w:pos="540"/>
        </w:tabs>
        <w:spacing w:after="60" w:line="276" w:lineRule="auto"/>
        <w:ind w:left="540" w:hanging="540"/>
      </w:pPr>
      <w:r>
        <w:rPr>
          <w:sz w:val="20"/>
          <w:szCs w:val="20"/>
          <w:lang w:val="en-US"/>
        </w:rPr>
        <w:t>[7]</w:t>
      </w:r>
      <w:r>
        <w:rPr>
          <w:sz w:val="20"/>
          <w:szCs w:val="20"/>
          <w:lang w:val="en-US"/>
        </w:rPr>
        <w:tab/>
        <w:t xml:space="preserve">H. Kurdi, A. Al-Aldawsari, I. Al-Turaiki, and A. S. Aldawood, “Early detection of red palm weevil, </w:t>
      </w:r>
      <w:r>
        <w:rPr>
          <w:i/>
          <w:iCs/>
          <w:sz w:val="20"/>
          <w:szCs w:val="20"/>
          <w:lang w:val="en-US"/>
        </w:rPr>
        <w:t>Rhynchophorus ferrugineus</w:t>
      </w:r>
      <w:r>
        <w:rPr>
          <w:sz w:val="20"/>
          <w:szCs w:val="20"/>
          <w:lang w:val="en-US"/>
        </w:rPr>
        <w:t xml:space="preserve"> (Olivier), infestation using data mining,” </w:t>
      </w:r>
      <w:r>
        <w:rPr>
          <w:i/>
          <w:iCs/>
          <w:sz w:val="20"/>
          <w:szCs w:val="20"/>
          <w:lang w:val="en-US"/>
        </w:rPr>
        <w:t>Plants</w:t>
      </w:r>
      <w:r>
        <w:rPr>
          <w:sz w:val="20"/>
          <w:szCs w:val="20"/>
          <w:lang w:val="en-US"/>
        </w:rPr>
        <w:t>, vol. 10, no. 1, p. 95, 2021.</w:t>
      </w:r>
    </w:p>
    <w:p w14:paraId="7C503A76" w14:textId="77777777" w:rsidR="00021B3B" w:rsidRDefault="00000000">
      <w:pPr>
        <w:tabs>
          <w:tab w:val="left" w:pos="540"/>
        </w:tabs>
        <w:spacing w:after="60" w:line="276" w:lineRule="auto"/>
        <w:ind w:left="540" w:hanging="540"/>
      </w:pPr>
      <w:r>
        <w:rPr>
          <w:sz w:val="20"/>
          <w:szCs w:val="20"/>
          <w:lang w:val="en-US"/>
        </w:rPr>
        <w:t>[8]</w:t>
      </w:r>
      <w:r>
        <w:rPr>
          <w:sz w:val="20"/>
          <w:szCs w:val="20"/>
          <w:lang w:val="en-US"/>
        </w:rPr>
        <w:tab/>
        <w:t xml:space="preserve">W. Boulila, A. Alzahem, A. Koubaa, B. Benjdira, and A. Ammar, “Early detection of red palm weevil infestations using deep learning classification of acoustic signals,” </w:t>
      </w:r>
      <w:r>
        <w:rPr>
          <w:i/>
          <w:iCs/>
          <w:sz w:val="20"/>
          <w:szCs w:val="20"/>
          <w:lang w:val="en-US"/>
        </w:rPr>
        <w:t>Comput. Electron. Agric.</w:t>
      </w:r>
      <w:r>
        <w:rPr>
          <w:sz w:val="20"/>
          <w:szCs w:val="20"/>
          <w:lang w:val="en-US"/>
        </w:rPr>
        <w:t>, vol. 212, Sep. 2023, Art. no. 108154.</w:t>
      </w:r>
    </w:p>
    <w:p w14:paraId="2CDFB263" w14:textId="77777777" w:rsidR="00021B3B" w:rsidRDefault="00000000">
      <w:pPr>
        <w:tabs>
          <w:tab w:val="left" w:pos="540"/>
        </w:tabs>
        <w:spacing w:after="60" w:line="276" w:lineRule="auto"/>
        <w:ind w:left="540" w:hanging="540"/>
      </w:pPr>
      <w:r>
        <w:rPr>
          <w:sz w:val="20"/>
          <w:szCs w:val="20"/>
          <w:lang w:val="en-US"/>
        </w:rPr>
        <w:t>[9]</w:t>
      </w:r>
      <w:r>
        <w:rPr>
          <w:sz w:val="20"/>
          <w:szCs w:val="20"/>
          <w:lang w:val="en-US"/>
        </w:rPr>
        <w:tab/>
        <w:t xml:space="preserve">S. Wu, J. Wang, L. Liu, D. Chen, H. Lu, C. Xu, R. Hao, Z. Li, and Q. Wang, “Enhanced YOLOv5 object detection algorithm for accurate detection of adult </w:t>
      </w:r>
      <w:r>
        <w:rPr>
          <w:i/>
          <w:iCs/>
          <w:sz w:val="20"/>
          <w:szCs w:val="20"/>
          <w:lang w:val="en-US"/>
        </w:rPr>
        <w:t>Rhynchophorus ferrugineus</w:t>
      </w:r>
      <w:r>
        <w:rPr>
          <w:sz w:val="20"/>
          <w:szCs w:val="20"/>
          <w:lang w:val="en-US"/>
        </w:rPr>
        <w:t xml:space="preserve">,” </w:t>
      </w:r>
      <w:r>
        <w:rPr>
          <w:i/>
          <w:iCs/>
          <w:sz w:val="20"/>
          <w:szCs w:val="20"/>
          <w:lang w:val="en-US"/>
        </w:rPr>
        <w:t>Insects</w:t>
      </w:r>
      <w:r>
        <w:rPr>
          <w:sz w:val="20"/>
          <w:szCs w:val="20"/>
          <w:lang w:val="en-US"/>
        </w:rPr>
        <w:t>, vol. 14, no. 8, p. 698, 2023.</w:t>
      </w:r>
    </w:p>
    <w:p w14:paraId="1CCB3AA3" w14:textId="77777777" w:rsidR="00021B3B" w:rsidRDefault="00000000">
      <w:pPr>
        <w:tabs>
          <w:tab w:val="left" w:pos="540"/>
        </w:tabs>
        <w:spacing w:after="60" w:line="276" w:lineRule="auto"/>
        <w:ind w:left="540" w:hanging="540"/>
      </w:pPr>
      <w:r>
        <w:rPr>
          <w:sz w:val="20"/>
          <w:szCs w:val="20"/>
          <w:lang w:val="en-US"/>
        </w:rPr>
        <w:t>[10]</w:t>
      </w:r>
      <w:r>
        <w:rPr>
          <w:sz w:val="20"/>
          <w:szCs w:val="20"/>
          <w:lang w:val="en-US"/>
        </w:rPr>
        <w:tab/>
        <w:t>A. Nadeem, M. Ashraf, A. Mehmood, K. Rizwan, and M. S. Siddiqui, “Dataset of date palm tree (</w:t>
      </w:r>
      <w:r>
        <w:rPr>
          <w:i/>
          <w:iCs/>
          <w:sz w:val="20"/>
          <w:szCs w:val="20"/>
          <w:lang w:val="en-US"/>
        </w:rPr>
        <w:t>Phoenix dactylifera</w:t>
      </w:r>
      <w:r>
        <w:rPr>
          <w:sz w:val="20"/>
          <w:szCs w:val="20"/>
          <w:lang w:val="en-US"/>
        </w:rPr>
        <w:t xml:space="preserve"> L.) thermal images and their classification based on Red Palm Weevil (</w:t>
      </w:r>
      <w:r>
        <w:rPr>
          <w:i/>
          <w:iCs/>
          <w:sz w:val="20"/>
          <w:szCs w:val="20"/>
          <w:lang w:val="en-US"/>
        </w:rPr>
        <w:t>Rhynchophorus ferrugineus</w:t>
      </w:r>
      <w:r>
        <w:rPr>
          <w:sz w:val="20"/>
          <w:szCs w:val="20"/>
          <w:lang w:val="en-US"/>
        </w:rPr>
        <w:t xml:space="preserve">) infestation,” </w:t>
      </w:r>
      <w:r>
        <w:rPr>
          <w:i/>
          <w:iCs/>
          <w:sz w:val="20"/>
          <w:szCs w:val="20"/>
          <w:lang w:val="en-US"/>
        </w:rPr>
        <w:t>Front. Agron.</w:t>
      </w:r>
      <w:r>
        <w:rPr>
          <w:sz w:val="20"/>
          <w:szCs w:val="20"/>
          <w:lang w:val="en-US"/>
        </w:rPr>
        <w:t>, vol. 7, 2025, Art. no. 1604188.</w:t>
      </w:r>
    </w:p>
    <w:p w14:paraId="3B953B4F" w14:textId="77777777" w:rsidR="00021B3B" w:rsidRDefault="00000000">
      <w:pPr>
        <w:tabs>
          <w:tab w:val="left" w:pos="540"/>
        </w:tabs>
        <w:spacing w:after="60" w:line="276" w:lineRule="auto"/>
        <w:ind w:left="540" w:hanging="540"/>
      </w:pPr>
      <w:r>
        <w:rPr>
          <w:sz w:val="20"/>
          <w:szCs w:val="20"/>
          <w:lang w:val="en-US"/>
        </w:rPr>
        <w:lastRenderedPageBreak/>
        <w:t>[11]</w:t>
      </w:r>
      <w:r>
        <w:rPr>
          <w:sz w:val="20"/>
          <w:szCs w:val="20"/>
          <w:lang w:val="en-US"/>
        </w:rPr>
        <w:tab/>
        <w:t>S. Thite, Y. Suryawanshi, K. Patil, and P. Chumchu, “Coconut (</w:t>
      </w:r>
      <w:r>
        <w:rPr>
          <w:i/>
          <w:iCs/>
          <w:sz w:val="20"/>
          <w:szCs w:val="20"/>
          <w:lang w:val="en-US"/>
        </w:rPr>
        <w:t>Cocos nucifera</w:t>
      </w:r>
      <w:r>
        <w:rPr>
          <w:sz w:val="20"/>
          <w:szCs w:val="20"/>
          <w:lang w:val="en-US"/>
        </w:rPr>
        <w:t xml:space="preserve">) tree disease dataset: A dataset for disease detection and classification for machine learning applications,” </w:t>
      </w:r>
      <w:r>
        <w:rPr>
          <w:i/>
          <w:iCs/>
          <w:sz w:val="20"/>
          <w:szCs w:val="20"/>
          <w:lang w:val="en-US"/>
        </w:rPr>
        <w:t>Data Brief</w:t>
      </w:r>
      <w:r>
        <w:rPr>
          <w:sz w:val="20"/>
          <w:szCs w:val="20"/>
          <w:lang w:val="en-US"/>
        </w:rPr>
        <w:t>, vol. 51, Dec. 2023, Art. no. 109690.</w:t>
      </w:r>
    </w:p>
    <w:p w14:paraId="67111319" w14:textId="77777777" w:rsidR="00021B3B" w:rsidRDefault="00000000">
      <w:pPr>
        <w:tabs>
          <w:tab w:val="left" w:pos="540"/>
        </w:tabs>
        <w:spacing w:after="60" w:line="276" w:lineRule="auto"/>
        <w:ind w:left="540" w:hanging="540"/>
      </w:pPr>
      <w:r>
        <w:rPr>
          <w:sz w:val="20"/>
          <w:szCs w:val="20"/>
          <w:lang w:val="en-US"/>
        </w:rPr>
        <w:t>[12]</w:t>
      </w:r>
      <w:r>
        <w:rPr>
          <w:sz w:val="20"/>
          <w:szCs w:val="20"/>
          <w:lang w:val="en-US"/>
        </w:rPr>
        <w:tab/>
        <w:t xml:space="preserve">L. Deng, D. Fang, A. Ullah, Q. Hou, and H. Yu, “AMS-YOLO: Multi-scale feature integration for intelligent plant protection against maize pests,” </w:t>
      </w:r>
      <w:r>
        <w:rPr>
          <w:i/>
          <w:iCs/>
          <w:sz w:val="20"/>
          <w:szCs w:val="20"/>
          <w:lang w:val="en-US"/>
        </w:rPr>
        <w:t>Front. Plant Sci.</w:t>
      </w:r>
      <w:r>
        <w:rPr>
          <w:sz w:val="20"/>
          <w:szCs w:val="20"/>
          <w:lang w:val="en-US"/>
        </w:rPr>
        <w:t>, vol. 16, 2025, Art. no. 1640405.</w:t>
      </w:r>
    </w:p>
    <w:p w14:paraId="15169847" w14:textId="77777777" w:rsidR="00021B3B" w:rsidRDefault="00000000">
      <w:pPr>
        <w:tabs>
          <w:tab w:val="left" w:pos="540"/>
        </w:tabs>
        <w:spacing w:after="60" w:line="276" w:lineRule="auto"/>
        <w:ind w:left="540" w:hanging="540"/>
      </w:pPr>
      <w:r>
        <w:rPr>
          <w:sz w:val="20"/>
          <w:szCs w:val="20"/>
          <w:lang w:val="en-US"/>
        </w:rPr>
        <w:t>[13]</w:t>
      </w:r>
      <w:r>
        <w:rPr>
          <w:sz w:val="20"/>
          <w:szCs w:val="20"/>
          <w:lang w:val="en-US"/>
        </w:rPr>
        <w:tab/>
        <w:t xml:space="preserve">S. Yang, Z. Xing, H. Wang, X. Dong, X. Gao, Z. Liu, X. Zhang, S. Li, and Y. Zhao, “Maize-YOLO: A new high-precision and real-time method for maize pest detection,” </w:t>
      </w:r>
      <w:r>
        <w:rPr>
          <w:i/>
          <w:iCs/>
          <w:sz w:val="20"/>
          <w:szCs w:val="20"/>
          <w:lang w:val="en-US"/>
        </w:rPr>
        <w:t>Insects</w:t>
      </w:r>
      <w:r>
        <w:rPr>
          <w:sz w:val="20"/>
          <w:szCs w:val="20"/>
          <w:lang w:val="en-US"/>
        </w:rPr>
        <w:t>, vol. 14, no. 3, p. 278, 2023.</w:t>
      </w:r>
    </w:p>
    <w:p w14:paraId="1EDC8861" w14:textId="77777777" w:rsidR="00021B3B" w:rsidRDefault="00000000">
      <w:pPr>
        <w:tabs>
          <w:tab w:val="left" w:pos="540"/>
        </w:tabs>
        <w:spacing w:after="60" w:line="276" w:lineRule="auto"/>
        <w:ind w:left="540" w:hanging="540"/>
      </w:pPr>
      <w:r>
        <w:rPr>
          <w:sz w:val="20"/>
          <w:szCs w:val="20"/>
          <w:lang w:val="en-US"/>
        </w:rPr>
        <w:t>[14]</w:t>
      </w:r>
      <w:r>
        <w:rPr>
          <w:sz w:val="20"/>
          <w:szCs w:val="20"/>
          <w:lang w:val="en-US"/>
        </w:rPr>
        <w:tab/>
        <w:t xml:space="preserve">Y. Lu, X. Wu, P. Liu, H. Li, and W. Liu, “Rice disease identification method based on improved CNN-BiGRU,” </w:t>
      </w:r>
      <w:r>
        <w:rPr>
          <w:i/>
          <w:iCs/>
          <w:sz w:val="20"/>
          <w:szCs w:val="20"/>
          <w:lang w:val="en-US"/>
        </w:rPr>
        <w:t>Artif. Intell. Agric.</w:t>
      </w:r>
      <w:r>
        <w:rPr>
          <w:sz w:val="20"/>
          <w:szCs w:val="20"/>
          <w:lang w:val="en-US"/>
        </w:rPr>
        <w:t>, vol. 9, pp. 100–109, 2023.</w:t>
      </w:r>
    </w:p>
    <w:p w14:paraId="0D68A7A4" w14:textId="77777777" w:rsidR="00021B3B" w:rsidRDefault="00000000">
      <w:pPr>
        <w:tabs>
          <w:tab w:val="left" w:pos="540"/>
        </w:tabs>
        <w:spacing w:after="60" w:line="276" w:lineRule="auto"/>
        <w:ind w:left="540" w:hanging="540"/>
      </w:pPr>
      <w:r>
        <w:rPr>
          <w:sz w:val="20"/>
          <w:szCs w:val="20"/>
          <w:lang w:val="en-US"/>
        </w:rPr>
        <w:t>[15]</w:t>
      </w:r>
      <w:r>
        <w:rPr>
          <w:sz w:val="20"/>
          <w:szCs w:val="20"/>
          <w:lang w:val="en-US"/>
        </w:rPr>
        <w:tab/>
        <w:t xml:space="preserve">S. Kamalesh Kanna, R. Kumaraperumal, P. Pazhanivelan, R. Jagadeeswaran, and P. C. Prabu, “YOLO deep learning algorithm for object detection in agriculture: A review,” </w:t>
      </w:r>
      <w:r>
        <w:rPr>
          <w:i/>
          <w:iCs/>
          <w:sz w:val="20"/>
          <w:szCs w:val="20"/>
          <w:lang w:val="en-US"/>
        </w:rPr>
        <w:t>J. Agric. Eng.</w:t>
      </w:r>
      <w:r>
        <w:rPr>
          <w:sz w:val="20"/>
          <w:szCs w:val="20"/>
          <w:lang w:val="en-US"/>
        </w:rPr>
        <w:t>, vol. 55, no. 4, 2024.</w:t>
      </w:r>
    </w:p>
    <w:p w14:paraId="02F3ED1D" w14:textId="77777777" w:rsidR="00021B3B" w:rsidRDefault="00000000">
      <w:pPr>
        <w:tabs>
          <w:tab w:val="left" w:pos="540"/>
        </w:tabs>
        <w:spacing w:after="60" w:line="276" w:lineRule="auto"/>
        <w:ind w:left="540" w:hanging="540"/>
      </w:pPr>
      <w:r>
        <w:rPr>
          <w:sz w:val="20"/>
          <w:szCs w:val="20"/>
          <w:lang w:val="en-US"/>
        </w:rPr>
        <w:t>[16]</w:t>
      </w:r>
      <w:r>
        <w:rPr>
          <w:sz w:val="20"/>
          <w:szCs w:val="20"/>
          <w:lang w:val="en-US"/>
        </w:rPr>
        <w:tab/>
        <w:t xml:space="preserve">B. Wang, Y. Mao, I. Ashry, Y. Al-Fehaid, A. Al-Shawaf, T. K. Ng, C. Yu, and B. S. Ooi, “Towards detecting red palm weevil using machine learning and fiber optic distributed acoustic sensing,” </w:t>
      </w:r>
      <w:r>
        <w:rPr>
          <w:i/>
          <w:iCs/>
          <w:sz w:val="20"/>
          <w:szCs w:val="20"/>
          <w:lang w:val="en-US"/>
        </w:rPr>
        <w:t>Sensors</w:t>
      </w:r>
      <w:r>
        <w:rPr>
          <w:sz w:val="20"/>
          <w:szCs w:val="20"/>
          <w:lang w:val="en-US"/>
        </w:rPr>
        <w:t>, vol. 21, no. 5, p. 1592, 2021.</w:t>
      </w:r>
    </w:p>
    <w:p w14:paraId="62DC1D4B" w14:textId="77777777" w:rsidR="00021B3B" w:rsidRDefault="00000000">
      <w:pPr>
        <w:tabs>
          <w:tab w:val="left" w:pos="540"/>
        </w:tabs>
        <w:spacing w:after="60" w:line="276" w:lineRule="auto"/>
        <w:ind w:left="540" w:hanging="540"/>
      </w:pPr>
      <w:r>
        <w:rPr>
          <w:sz w:val="20"/>
          <w:szCs w:val="20"/>
          <w:lang w:val="en-US"/>
        </w:rPr>
        <w:t>[17]</w:t>
      </w:r>
      <w:r>
        <w:rPr>
          <w:sz w:val="20"/>
          <w:szCs w:val="20"/>
          <w:lang w:val="en-US"/>
        </w:rPr>
        <w:tab/>
        <w:t xml:space="preserve">S. A. Susan T, M. Alagarsamy, S. Gurusamy, A. B. A. Rahuman, V. Ramya, and L. K. Sowmya Sundari, “Real time red palm weevil detection in coconut tree via multimodal sensor data based deep learning network,” </w:t>
      </w:r>
      <w:r>
        <w:rPr>
          <w:i/>
          <w:iCs/>
          <w:sz w:val="20"/>
          <w:szCs w:val="20"/>
          <w:lang w:val="en-US"/>
        </w:rPr>
        <w:t>Int. J. Comput. Intell. Syst.</w:t>
      </w:r>
      <w:r>
        <w:rPr>
          <w:sz w:val="20"/>
          <w:szCs w:val="20"/>
          <w:lang w:val="en-US"/>
        </w:rPr>
        <w:t>, vol. 19, 2026, Art. no. 274, doi: 10.1007/s44196-026-01321-z.</w:t>
      </w:r>
    </w:p>
    <w:p w14:paraId="315CA316" w14:textId="77777777" w:rsidR="00021B3B" w:rsidRDefault="00000000">
      <w:pPr>
        <w:tabs>
          <w:tab w:val="left" w:pos="540"/>
        </w:tabs>
        <w:spacing w:after="60" w:line="276" w:lineRule="auto"/>
        <w:ind w:left="540" w:hanging="540"/>
      </w:pPr>
      <w:r>
        <w:rPr>
          <w:sz w:val="20"/>
          <w:szCs w:val="20"/>
          <w:lang w:val="en-US"/>
        </w:rPr>
        <w:t>[18]</w:t>
      </w:r>
      <w:r>
        <w:rPr>
          <w:sz w:val="20"/>
          <w:szCs w:val="20"/>
          <w:lang w:val="en-US"/>
        </w:rPr>
        <w:tab/>
        <w:t xml:space="preserve">L. K. Sowmya Sundari, M. M. Kodabagi, B. Muthu Kumar, M. A. Ahmed, B. Muthu, and A. Ahilan, “COMICS: Coconut microphone sensor and stem image-based IoT automation in red palm weevil infestation detection,” </w:t>
      </w:r>
      <w:r>
        <w:rPr>
          <w:i/>
          <w:iCs/>
          <w:sz w:val="20"/>
          <w:szCs w:val="20"/>
          <w:lang w:val="en-US"/>
        </w:rPr>
        <w:t>IEEE Sensors J.</w:t>
      </w:r>
      <w:r>
        <w:rPr>
          <w:sz w:val="20"/>
          <w:szCs w:val="20"/>
          <w:lang w:val="en-US"/>
        </w:rPr>
        <w:t>, vol. 26, no. 2, pp. 3304–3314, Jan. 2026, doi: 10.1109/JSEN.2025.3632878.</w:t>
      </w:r>
    </w:p>
    <w:p w14:paraId="49E94F7E" w14:textId="77777777" w:rsidR="00021B3B" w:rsidRDefault="00000000">
      <w:pPr>
        <w:tabs>
          <w:tab w:val="left" w:pos="540"/>
        </w:tabs>
        <w:spacing w:after="60" w:line="276" w:lineRule="auto"/>
        <w:ind w:left="540" w:hanging="540"/>
      </w:pPr>
      <w:r>
        <w:rPr>
          <w:sz w:val="20"/>
          <w:szCs w:val="20"/>
          <w:lang w:val="en-US"/>
        </w:rPr>
        <w:t>[19]</w:t>
      </w:r>
      <w:r>
        <w:rPr>
          <w:sz w:val="20"/>
          <w:szCs w:val="20"/>
          <w:lang w:val="en-US"/>
        </w:rPr>
        <w:tab/>
        <w:t xml:space="preserve">N. Stephen, B. Martin, and A. Rajesh, “Multi-modal fusion of acoustic and microwave signals for early detection of Red Palm Weevil infestation,” </w:t>
      </w:r>
      <w:r>
        <w:rPr>
          <w:i/>
          <w:iCs/>
          <w:sz w:val="20"/>
          <w:szCs w:val="20"/>
          <w:lang w:val="en-US"/>
        </w:rPr>
        <w:t>Sci. Rep.</w:t>
      </w:r>
      <w:r>
        <w:rPr>
          <w:sz w:val="20"/>
          <w:szCs w:val="20"/>
          <w:lang w:val="en-US"/>
        </w:rPr>
        <w:t>, 2026, doi: 10.1038/s41598-026-59429-3.</w:t>
      </w:r>
    </w:p>
    <w:p w14:paraId="169B8013" w14:textId="77777777" w:rsidR="00021B3B" w:rsidRDefault="00000000">
      <w:pPr>
        <w:tabs>
          <w:tab w:val="left" w:pos="540"/>
        </w:tabs>
        <w:spacing w:after="60" w:line="276" w:lineRule="auto"/>
        <w:ind w:left="540" w:hanging="540"/>
      </w:pPr>
      <w:r>
        <w:rPr>
          <w:sz w:val="20"/>
          <w:szCs w:val="20"/>
          <w:lang w:val="en-US"/>
        </w:rPr>
        <w:t>[20]</w:t>
      </w:r>
      <w:r>
        <w:rPr>
          <w:sz w:val="20"/>
          <w:szCs w:val="20"/>
          <w:lang w:val="en-US"/>
        </w:rPr>
        <w:tab/>
        <w:t xml:space="preserve">S. Saranya and B. Martin, “Machine learning-enabled acoustic sensing for RPW infestation detection,” </w:t>
      </w:r>
      <w:r>
        <w:rPr>
          <w:i/>
          <w:iCs/>
          <w:sz w:val="20"/>
          <w:szCs w:val="20"/>
          <w:lang w:val="en-US"/>
        </w:rPr>
        <w:t>Sci. Rep.</w:t>
      </w:r>
      <w:r>
        <w:rPr>
          <w:sz w:val="20"/>
          <w:szCs w:val="20"/>
          <w:lang w:val="en-US"/>
        </w:rPr>
        <w:t>, vol. 15, 2025, Art. no. 38391, doi: 10.1038/s41598-025-22306-6.</w:t>
      </w:r>
    </w:p>
    <w:p w14:paraId="668D1092" w14:textId="77777777" w:rsidR="00021B3B" w:rsidRDefault="00000000">
      <w:pPr>
        <w:tabs>
          <w:tab w:val="left" w:pos="540"/>
        </w:tabs>
        <w:spacing w:after="60" w:line="276" w:lineRule="auto"/>
        <w:ind w:left="540" w:hanging="540"/>
      </w:pPr>
      <w:r>
        <w:rPr>
          <w:sz w:val="20"/>
          <w:szCs w:val="20"/>
          <w:highlight w:val="yellow"/>
          <w:lang w:val="en-US"/>
        </w:rPr>
        <w:t>[21]</w:t>
      </w:r>
      <w:r>
        <w:rPr>
          <w:sz w:val="20"/>
          <w:szCs w:val="20"/>
          <w:highlight w:val="yellow"/>
          <w:lang w:val="en-US"/>
        </w:rPr>
        <w:tab/>
        <w:t xml:space="preserve">B. Sarveshwaran </w:t>
      </w:r>
      <w:r>
        <w:rPr>
          <w:i/>
          <w:iCs/>
          <w:sz w:val="20"/>
          <w:szCs w:val="20"/>
          <w:highlight w:val="yellow"/>
          <w:lang w:val="en-US"/>
        </w:rPr>
        <w:t>et al.</w:t>
      </w:r>
      <w:r>
        <w:rPr>
          <w:sz w:val="20"/>
          <w:szCs w:val="20"/>
          <w:highlight w:val="yellow"/>
          <w:lang w:val="en-US"/>
        </w:rPr>
        <w:t xml:space="preserve">, “[Title of the YOLOv11-Nano RPW detection paper],” in </w:t>
      </w:r>
      <w:r>
        <w:rPr>
          <w:i/>
          <w:iCs/>
          <w:sz w:val="20"/>
          <w:szCs w:val="20"/>
          <w:highlight w:val="yellow"/>
          <w:lang w:val="en-US"/>
        </w:rPr>
        <w:t>Proc. DELCON</w:t>
      </w:r>
      <w:r>
        <w:rPr>
          <w:sz w:val="20"/>
          <w:szCs w:val="20"/>
          <w:highlight w:val="yellow"/>
          <w:lang w:val="en-US"/>
        </w:rPr>
        <w:t>, 2025, pp. [pages].</w:t>
      </w:r>
    </w:p>
    <w:p w14:paraId="4CC1AFAB" w14:textId="77777777" w:rsidR="00021B3B" w:rsidRDefault="00000000">
      <w:pPr>
        <w:tabs>
          <w:tab w:val="left" w:pos="540"/>
        </w:tabs>
        <w:spacing w:after="60" w:line="276" w:lineRule="auto"/>
        <w:ind w:left="540" w:hanging="540"/>
      </w:pPr>
      <w:r>
        <w:rPr>
          <w:sz w:val="20"/>
          <w:szCs w:val="20"/>
          <w:highlight w:val="yellow"/>
          <w:lang w:val="en-US"/>
        </w:rPr>
        <w:t>[22]</w:t>
      </w:r>
      <w:r>
        <w:rPr>
          <w:sz w:val="20"/>
          <w:szCs w:val="20"/>
          <w:highlight w:val="yellow"/>
          <w:lang w:val="en-US"/>
        </w:rPr>
        <w:tab/>
        <w:t xml:space="preserve">S. Abinaya </w:t>
      </w:r>
      <w:r>
        <w:rPr>
          <w:i/>
          <w:iCs/>
          <w:sz w:val="20"/>
          <w:szCs w:val="20"/>
          <w:highlight w:val="yellow"/>
          <w:lang w:val="en-US"/>
        </w:rPr>
        <w:t>et al.</w:t>
      </w:r>
      <w:r>
        <w:rPr>
          <w:sz w:val="20"/>
          <w:szCs w:val="20"/>
          <w:highlight w:val="yellow"/>
          <w:lang w:val="en-US"/>
        </w:rPr>
        <w:t xml:space="preserve">, “[Title of the acoustic FFNN RPW detection paper],” in </w:t>
      </w:r>
      <w:r>
        <w:rPr>
          <w:i/>
          <w:iCs/>
          <w:sz w:val="20"/>
          <w:szCs w:val="20"/>
          <w:highlight w:val="yellow"/>
          <w:lang w:val="en-US"/>
        </w:rPr>
        <w:t>Proc. DELCON</w:t>
      </w:r>
      <w:r>
        <w:rPr>
          <w:sz w:val="20"/>
          <w:szCs w:val="20"/>
          <w:highlight w:val="yellow"/>
          <w:lang w:val="en-US"/>
        </w:rPr>
        <w:t>, 2025, pp. [pages].</w:t>
      </w:r>
    </w:p>
    <w:p w14:paraId="3D7D0BE9" w14:textId="77777777" w:rsidR="00021B3B" w:rsidRDefault="00000000">
      <w:pPr>
        <w:tabs>
          <w:tab w:val="left" w:pos="540"/>
        </w:tabs>
        <w:spacing w:after="60" w:line="276" w:lineRule="auto"/>
        <w:ind w:left="540" w:hanging="540"/>
      </w:pPr>
      <w:r>
        <w:rPr>
          <w:sz w:val="20"/>
          <w:szCs w:val="20"/>
          <w:lang w:val="en-US"/>
        </w:rPr>
        <w:t>[23]</w:t>
      </w:r>
      <w:r>
        <w:rPr>
          <w:sz w:val="20"/>
          <w:szCs w:val="20"/>
          <w:lang w:val="en-US"/>
        </w:rPr>
        <w:tab/>
        <w:t xml:space="preserve">D. Chicco and G. Jurman, “The advantages of the Matthews correlation coefficient (MCC) over F1 score and accuracy in binary classification evaluation,” </w:t>
      </w:r>
      <w:r>
        <w:rPr>
          <w:i/>
          <w:iCs/>
          <w:sz w:val="20"/>
          <w:szCs w:val="20"/>
          <w:lang w:val="en-US"/>
        </w:rPr>
        <w:t>BMC Genomics</w:t>
      </w:r>
      <w:r>
        <w:rPr>
          <w:sz w:val="20"/>
          <w:szCs w:val="20"/>
          <w:lang w:val="en-US"/>
        </w:rPr>
        <w:t>, vol. 21, 2020, Art. no. 6.</w:t>
      </w:r>
    </w:p>
    <w:p w14:paraId="013ECCDB" w14:textId="77777777" w:rsidR="00021B3B" w:rsidRDefault="00000000">
      <w:pPr>
        <w:tabs>
          <w:tab w:val="left" w:pos="540"/>
        </w:tabs>
        <w:spacing w:after="60" w:line="276" w:lineRule="auto"/>
        <w:ind w:left="540" w:hanging="540"/>
      </w:pPr>
      <w:r>
        <w:rPr>
          <w:sz w:val="20"/>
          <w:szCs w:val="20"/>
          <w:lang w:val="en-US"/>
        </w:rPr>
        <w:t>[24]</w:t>
      </w:r>
      <w:r>
        <w:rPr>
          <w:sz w:val="20"/>
          <w:szCs w:val="20"/>
          <w:lang w:val="en-US"/>
        </w:rPr>
        <w:tab/>
        <w:t>I. Potamitis, “TreeVibes,” Kaggle. [Online]. Available: https://www.kaggle.com/datasets/potamitis/treevibes</w:t>
      </w:r>
    </w:p>
    <w:p w14:paraId="61458D8D" w14:textId="77777777" w:rsidR="00021B3B" w:rsidRDefault="00000000">
      <w:pPr>
        <w:tabs>
          <w:tab w:val="left" w:pos="540"/>
        </w:tabs>
        <w:spacing w:after="60" w:line="276" w:lineRule="auto"/>
        <w:ind w:left="540" w:hanging="540"/>
      </w:pPr>
      <w:r>
        <w:rPr>
          <w:sz w:val="20"/>
          <w:szCs w:val="20"/>
          <w:lang w:val="en-US"/>
        </w:rPr>
        <w:t>[25]</w:t>
      </w:r>
      <w:r>
        <w:rPr>
          <w:sz w:val="20"/>
          <w:szCs w:val="20"/>
          <w:lang w:val="en-US"/>
        </w:rPr>
        <w:tab/>
        <w:t>ENIS, “Red palm weevil object detection dataset,” Roboflow Universe, 2024. [Online]. Available: https://universe.roboflow.com/enis-w5nbu/red-palm-weevil-yfykp</w:t>
      </w:r>
    </w:p>
    <w:p w14:paraId="44544991" w14:textId="77777777" w:rsidR="00021B3B" w:rsidRDefault="00000000">
      <w:pPr>
        <w:keepNext/>
        <w:spacing w:before="360" w:after="120" w:line="276" w:lineRule="auto"/>
      </w:pPr>
      <w:r>
        <w:rPr>
          <w:b/>
          <w:bCs/>
          <w:sz w:val="24"/>
          <w:szCs w:val="24"/>
          <w:lang w:val="en-US"/>
        </w:rPr>
        <w:t>From the paper “How to write a scientific paper”</w:t>
      </w:r>
    </w:p>
    <w:tbl>
      <w:tblPr>
        <w:tblStyle w:val="TableGrid"/>
        <w:tblW w:w="9026" w:type="dxa"/>
        <w:tblLook w:val="04A0" w:firstRow="1" w:lastRow="0" w:firstColumn="1" w:lastColumn="0" w:noHBand="0" w:noVBand="1"/>
      </w:tblPr>
      <w:tblGrid>
        <w:gridCol w:w="1100"/>
        <w:gridCol w:w="3700"/>
        <w:gridCol w:w="4226"/>
      </w:tblGrid>
      <w:tr w:rsidR="00746C6A" w14:paraId="3AF581A2" w14:textId="77777777" w:rsidTr="000B59EB">
        <w:tc>
          <w:tcPr>
            <w:tcW w:w="1100" w:type="dxa"/>
          </w:tcPr>
          <w:p w14:paraId="709721D4" w14:textId="77777777" w:rsidR="00746C6A" w:rsidRPr="00746C6A" w:rsidRDefault="000B59EB">
            <w:pPr>
              <w:rPr>
                <w:b/>
                <w:lang w:val="en-US"/>
              </w:rPr>
            </w:pPr>
            <w:r>
              <w:rPr>
                <w:b/>
                <w:lang w:val="en-US"/>
              </w:rPr>
              <w:t>Rule No.</w:t>
            </w:r>
          </w:p>
        </w:tc>
        <w:tc>
          <w:tcPr>
            <w:tcW w:w="3700" w:type="dxa"/>
          </w:tcPr>
          <w:p w14:paraId="70F9C044" w14:textId="77777777" w:rsidR="00746C6A" w:rsidRPr="00746C6A" w:rsidRDefault="00746C6A">
            <w:pPr>
              <w:rPr>
                <w:b/>
                <w:lang w:val="en-US"/>
              </w:rPr>
            </w:pPr>
            <w:r w:rsidRPr="00746C6A">
              <w:rPr>
                <w:b/>
                <w:lang w:val="en-US"/>
              </w:rPr>
              <w:t>Rule description (In your own words)</w:t>
            </w:r>
          </w:p>
        </w:tc>
        <w:tc>
          <w:tcPr>
            <w:tcW w:w="4226" w:type="dxa"/>
          </w:tcPr>
          <w:p w14:paraId="3851F374" w14:textId="77777777" w:rsidR="00746C6A" w:rsidRPr="00746C6A" w:rsidRDefault="00746C6A">
            <w:pPr>
              <w:rPr>
                <w:b/>
                <w:lang w:val="en-US"/>
              </w:rPr>
            </w:pPr>
            <w:r w:rsidRPr="00746C6A">
              <w:rPr>
                <w:b/>
                <w:lang w:val="en-US"/>
              </w:rPr>
              <w:t>How it is done in the paper</w:t>
            </w:r>
          </w:p>
        </w:tc>
      </w:tr>
      <w:tr w:rsidR="00746C6A" w14:paraId="780AF5D7" w14:textId="77777777" w:rsidTr="000B59EB">
        <w:tc>
          <w:tcPr>
            <w:tcW w:w="1100" w:type="dxa"/>
          </w:tcPr>
          <w:p w14:paraId="777AEB2E" w14:textId="77777777" w:rsidR="00021B3B" w:rsidRDefault="00000000">
            <w:r>
              <w:rPr>
                <w:sz w:val="20"/>
                <w:szCs w:val="20"/>
                <w:lang w:val="en-US"/>
              </w:rPr>
              <w:t>1</w:t>
            </w:r>
          </w:p>
        </w:tc>
        <w:tc>
          <w:tcPr>
            <w:tcW w:w="3700" w:type="dxa"/>
          </w:tcPr>
          <w:p w14:paraId="419D40EB" w14:textId="77777777" w:rsidR="00021B3B" w:rsidRDefault="00000000">
            <w:r>
              <w:rPr>
                <w:sz w:val="20"/>
                <w:szCs w:val="20"/>
                <w:lang w:val="en-US"/>
              </w:rPr>
              <w:t>Build the paper around one clear central message and make every section serve it.</w:t>
            </w:r>
          </w:p>
        </w:tc>
        <w:tc>
          <w:tcPr>
            <w:tcW w:w="4226" w:type="dxa"/>
          </w:tcPr>
          <w:p w14:paraId="48D03EED" w14:textId="77777777" w:rsidR="00021B3B" w:rsidRDefault="00000000">
            <w:r>
              <w:rPr>
                <w:sz w:val="20"/>
                <w:szCs w:val="20"/>
                <w:lang w:val="en-US"/>
              </w:rPr>
              <w:t>The whole report argues one point: bimodal detection works, but per-tree decisions miss how RPW spreads, so a spatial–temporal layer is added. The survey, research gap, datasets and method all lead to that point.</w:t>
            </w:r>
          </w:p>
        </w:tc>
      </w:tr>
      <w:tr w:rsidR="00746C6A" w14:paraId="175D70B8" w14:textId="77777777" w:rsidTr="000B59EB">
        <w:tc>
          <w:tcPr>
            <w:tcW w:w="1100" w:type="dxa"/>
          </w:tcPr>
          <w:p w14:paraId="578640F3" w14:textId="77777777" w:rsidR="00021B3B" w:rsidRDefault="00000000">
            <w:r>
              <w:rPr>
                <w:sz w:val="20"/>
                <w:szCs w:val="20"/>
                <w:lang w:val="en-US"/>
              </w:rPr>
              <w:t>2</w:t>
            </w:r>
          </w:p>
        </w:tc>
        <w:tc>
          <w:tcPr>
            <w:tcW w:w="3700" w:type="dxa"/>
          </w:tcPr>
          <w:p w14:paraId="54769041" w14:textId="77777777" w:rsidR="00021B3B" w:rsidRDefault="00000000">
            <w:r>
              <w:rPr>
                <w:sz w:val="20"/>
                <w:szCs w:val="20"/>
                <w:lang w:val="en-US"/>
              </w:rPr>
              <w:t>The title and abstract should let a reader understand the problem, approach and main outcome without reading further.</w:t>
            </w:r>
          </w:p>
        </w:tc>
        <w:tc>
          <w:tcPr>
            <w:tcW w:w="4226" w:type="dxa"/>
          </w:tcPr>
          <w:p w14:paraId="6388EF9E" w14:textId="77777777" w:rsidR="00021B3B" w:rsidRDefault="00000000">
            <w:r>
              <w:rPr>
                <w:sz w:val="20"/>
                <w:szCs w:val="20"/>
                <w:lang w:val="en-US"/>
              </w:rPr>
              <w:t xml:space="preserve">The title names the method (audio–visual fusion with spatial–temporal analysis) and the target (early RPW detection in coconut trees); the </w:t>
            </w:r>
            <w:r>
              <w:rPr>
                <w:sz w:val="20"/>
                <w:szCs w:val="20"/>
                <w:lang w:val="en-US"/>
              </w:rPr>
              <w:lastRenderedPageBreak/>
              <w:t>abstract states the problem, gap, method, datasets and metrics.</w:t>
            </w:r>
          </w:p>
        </w:tc>
      </w:tr>
      <w:tr w:rsidR="00746C6A" w14:paraId="2578C812" w14:textId="77777777" w:rsidTr="000B59EB">
        <w:tc>
          <w:tcPr>
            <w:tcW w:w="1100" w:type="dxa"/>
          </w:tcPr>
          <w:p w14:paraId="76BA0108" w14:textId="77777777" w:rsidR="00021B3B" w:rsidRDefault="00000000">
            <w:r>
              <w:rPr>
                <w:sz w:val="20"/>
                <w:szCs w:val="20"/>
                <w:lang w:val="en-US"/>
              </w:rPr>
              <w:lastRenderedPageBreak/>
              <w:t>3</w:t>
            </w:r>
          </w:p>
        </w:tc>
        <w:tc>
          <w:tcPr>
            <w:tcW w:w="3700" w:type="dxa"/>
          </w:tcPr>
          <w:p w14:paraId="58C686F7" w14:textId="77777777" w:rsidR="00021B3B" w:rsidRDefault="00000000">
            <w:r>
              <w:rPr>
                <w:sz w:val="20"/>
                <w:szCs w:val="20"/>
                <w:lang w:val="en-US"/>
              </w:rPr>
              <w:t>The introduction should move from the broad problem to the specific gap and end with the paper's contributions.</w:t>
            </w:r>
          </w:p>
        </w:tc>
        <w:tc>
          <w:tcPr>
            <w:tcW w:w="4226" w:type="dxa"/>
          </w:tcPr>
          <w:p w14:paraId="5334A3B2" w14:textId="77777777" w:rsidR="00021B3B" w:rsidRDefault="00000000">
            <w:r>
              <w:rPr>
                <w:sz w:val="20"/>
                <w:szCs w:val="20"/>
                <w:lang w:val="en-US"/>
              </w:rPr>
              <w:t>The introduction goes from the importance of palms, to the hidden nature of RPW damage, to existing AI methods, to three recurring limitations, and ends with a problem statement and four listed contributions.</w:t>
            </w:r>
          </w:p>
        </w:tc>
      </w:tr>
      <w:tr w:rsidR="00746C6A" w14:paraId="7B5C8B0A" w14:textId="77777777" w:rsidTr="000B59EB">
        <w:tc>
          <w:tcPr>
            <w:tcW w:w="1100" w:type="dxa"/>
          </w:tcPr>
          <w:p w14:paraId="25A01D4D" w14:textId="77777777" w:rsidR="00021B3B" w:rsidRDefault="00000000">
            <w:r>
              <w:rPr>
                <w:sz w:val="20"/>
                <w:szCs w:val="20"/>
                <w:lang w:val="en-US"/>
              </w:rPr>
              <w:t>4</w:t>
            </w:r>
          </w:p>
        </w:tc>
        <w:tc>
          <w:tcPr>
            <w:tcW w:w="3700" w:type="dxa"/>
          </w:tcPr>
          <w:p w14:paraId="0A90E6BF" w14:textId="77777777" w:rsidR="00021B3B" w:rsidRDefault="00000000">
            <w:r>
              <w:rPr>
                <w:sz w:val="20"/>
                <w:szCs w:val="20"/>
                <w:lang w:val="en-US"/>
              </w:rPr>
              <w:t>Each paragraph should follow a context–content–conclusion pattern so the reader always knows why a point matters.</w:t>
            </w:r>
          </w:p>
        </w:tc>
        <w:tc>
          <w:tcPr>
            <w:tcW w:w="4226" w:type="dxa"/>
          </w:tcPr>
          <w:p w14:paraId="73F0E3B5" w14:textId="77777777" w:rsidR="00021B3B" w:rsidRDefault="00000000">
            <w:r>
              <w:rPr>
                <w:sz w:val="20"/>
                <w:szCs w:val="20"/>
                <w:lang w:val="en-US"/>
              </w:rPr>
              <w:t>Each literature sub-area opens with the purpose of that line of work, describes the papers, and closes with what the group of papers still cannot do.</w:t>
            </w:r>
          </w:p>
        </w:tc>
      </w:tr>
      <w:tr w:rsidR="00746C6A" w14:paraId="3928C617" w14:textId="77777777" w:rsidTr="000B59EB">
        <w:tc>
          <w:tcPr>
            <w:tcW w:w="1100" w:type="dxa"/>
          </w:tcPr>
          <w:p w14:paraId="284EFB3E" w14:textId="77777777" w:rsidR="00021B3B" w:rsidRDefault="00000000">
            <w:r>
              <w:rPr>
                <w:sz w:val="20"/>
                <w:szCs w:val="20"/>
                <w:lang w:val="en-US"/>
              </w:rPr>
              <w:t>5</w:t>
            </w:r>
          </w:p>
        </w:tc>
        <w:tc>
          <w:tcPr>
            <w:tcW w:w="3700" w:type="dxa"/>
          </w:tcPr>
          <w:p w14:paraId="79092FB2" w14:textId="77777777" w:rsidR="00021B3B" w:rsidRDefault="00000000">
            <w:r>
              <w:rPr>
                <w:sz w:val="20"/>
                <w:szCs w:val="20"/>
                <w:lang w:val="en-US"/>
              </w:rPr>
              <w:t>Methods must be described precisely enough for someone else to reproduce them.</w:t>
            </w:r>
          </w:p>
        </w:tc>
        <w:tc>
          <w:tcPr>
            <w:tcW w:w="4226" w:type="dxa"/>
          </w:tcPr>
          <w:p w14:paraId="7077A603" w14:textId="77777777" w:rsidR="00021B3B" w:rsidRDefault="00000000">
            <w:r>
              <w:rPr>
                <w:sz w:val="20"/>
                <w:szCs w:val="20"/>
                <w:lang w:val="en-US"/>
              </w:rPr>
              <w:t>The methodology gives every step with its equation, the pre-processing parameters, split ratios and seed policy, the datasets with links, and a numbered formal algorithm.</w:t>
            </w:r>
          </w:p>
        </w:tc>
      </w:tr>
      <w:tr w:rsidR="00746C6A" w14:paraId="32C7317D" w14:textId="77777777" w:rsidTr="000B59EB">
        <w:tc>
          <w:tcPr>
            <w:tcW w:w="1100" w:type="dxa"/>
          </w:tcPr>
          <w:p w14:paraId="6C4423B7" w14:textId="77777777" w:rsidR="00021B3B" w:rsidRDefault="00000000">
            <w:r>
              <w:rPr>
                <w:sz w:val="20"/>
                <w:szCs w:val="20"/>
                <w:lang w:val="en-US"/>
              </w:rPr>
              <w:t>6</w:t>
            </w:r>
          </w:p>
        </w:tc>
        <w:tc>
          <w:tcPr>
            <w:tcW w:w="3700" w:type="dxa"/>
          </w:tcPr>
          <w:p w14:paraId="0D1B08A3" w14:textId="77777777" w:rsidR="00021B3B" w:rsidRDefault="00000000">
            <w:r>
              <w:rPr>
                <w:sz w:val="20"/>
                <w:szCs w:val="20"/>
                <w:lang w:val="en-US"/>
              </w:rPr>
              <w:t>Support every claim with evidence and cite sources accurately in one consistent style.</w:t>
            </w:r>
          </w:p>
        </w:tc>
        <w:tc>
          <w:tcPr>
            <w:tcW w:w="4226" w:type="dxa"/>
          </w:tcPr>
          <w:p w14:paraId="61271115" w14:textId="77777777" w:rsidR="00021B3B" w:rsidRDefault="00000000">
            <w:r>
              <w:rPr>
                <w:sz w:val="20"/>
                <w:szCs w:val="20"/>
                <w:lang w:val="en-US"/>
              </w:rPr>
              <w:t>Every figure quoted from another study (accuracies, dataset sizes, battery life) is tied to a numbered IEEE reference, and datasets are cited separately from papers.</w:t>
            </w:r>
          </w:p>
        </w:tc>
      </w:tr>
      <w:tr w:rsidR="00746C6A" w14:paraId="7EEC4263" w14:textId="77777777" w:rsidTr="000B59EB">
        <w:tc>
          <w:tcPr>
            <w:tcW w:w="1100" w:type="dxa"/>
          </w:tcPr>
          <w:p w14:paraId="1EC2609A" w14:textId="77777777" w:rsidR="00021B3B" w:rsidRDefault="00000000">
            <w:r>
              <w:rPr>
                <w:sz w:val="20"/>
                <w:szCs w:val="20"/>
                <w:lang w:val="en-US"/>
              </w:rPr>
              <w:t>7</w:t>
            </w:r>
          </w:p>
        </w:tc>
        <w:tc>
          <w:tcPr>
            <w:tcW w:w="3700" w:type="dxa"/>
          </w:tcPr>
          <w:p w14:paraId="2200C5C5" w14:textId="77777777" w:rsidR="00021B3B" w:rsidRDefault="00000000">
            <w:r>
              <w:rPr>
                <w:sz w:val="20"/>
                <w:szCs w:val="20"/>
                <w:lang w:val="en-US"/>
              </w:rPr>
              <w:t>State the limitations of your own work honestly instead of only highlighting strengths.</w:t>
            </w:r>
          </w:p>
        </w:tc>
        <w:tc>
          <w:tcPr>
            <w:tcW w:w="4226" w:type="dxa"/>
          </w:tcPr>
          <w:p w14:paraId="12AFD788" w14:textId="77777777" w:rsidR="00021B3B" w:rsidRDefault="00000000">
            <w:r>
              <w:rPr>
                <w:sz w:val="20"/>
                <w:szCs w:val="20"/>
                <w:lang w:val="en-US"/>
              </w:rPr>
              <w:t>A dedicated limitations subsection lists hyperparameter sensitivity, the need for tree locations, the hardware cost of attention branches and the lack of outbreak-labelled data.</w:t>
            </w:r>
          </w:p>
        </w:tc>
      </w:tr>
    </w:tbl>
    <w:p w14:paraId="48BBC2D4" w14:textId="77777777" w:rsidR="00021B3B" w:rsidRDefault="00021B3B">
      <w:pPr>
        <w:spacing w:after="120" w:line="276" w:lineRule="auto"/>
        <w:jc w:val="both"/>
      </w:pPr>
    </w:p>
    <w:p w14:paraId="662E2A63" w14:textId="77777777" w:rsidR="00021B3B" w:rsidRDefault="00000000">
      <w:pPr>
        <w:keepNext/>
        <w:spacing w:before="120" w:after="120" w:line="276" w:lineRule="auto"/>
      </w:pPr>
      <w:r>
        <w:rPr>
          <w:b/>
          <w:bCs/>
          <w:sz w:val="24"/>
          <w:szCs w:val="24"/>
          <w:lang w:val="en-US"/>
        </w:rPr>
        <w:t>Author contributions</w:t>
      </w:r>
    </w:p>
    <w:tbl>
      <w:tblPr>
        <w:tblStyle w:val="TableGrid"/>
        <w:tblW w:w="9026" w:type="dxa"/>
        <w:tblLook w:val="04A0" w:firstRow="1" w:lastRow="0" w:firstColumn="1" w:lastColumn="0" w:noHBand="0" w:noVBand="1"/>
      </w:tblPr>
      <w:tblGrid>
        <w:gridCol w:w="2100"/>
        <w:gridCol w:w="1500"/>
        <w:gridCol w:w="5426"/>
      </w:tblGrid>
      <w:tr w:rsidR="00746C6A" w14:paraId="37DB92D6" w14:textId="77777777" w:rsidTr="4FEB0408">
        <w:tc>
          <w:tcPr>
            <w:tcW w:w="2100" w:type="dxa"/>
          </w:tcPr>
          <w:p w14:paraId="141CFCF9" w14:textId="77777777" w:rsidR="00746C6A" w:rsidRPr="000B59EB" w:rsidRDefault="00746C6A">
            <w:pPr>
              <w:rPr>
                <w:b/>
                <w:lang w:val="en-US"/>
              </w:rPr>
            </w:pPr>
            <w:r w:rsidRPr="000B59EB">
              <w:rPr>
                <w:b/>
                <w:lang w:val="en-US"/>
              </w:rPr>
              <w:t>RollNo</w:t>
            </w:r>
          </w:p>
        </w:tc>
        <w:tc>
          <w:tcPr>
            <w:tcW w:w="1500" w:type="dxa"/>
          </w:tcPr>
          <w:p w14:paraId="37218A3D" w14:textId="77777777" w:rsidR="00746C6A" w:rsidRPr="000B59EB" w:rsidRDefault="00746C6A">
            <w:pPr>
              <w:rPr>
                <w:b/>
                <w:lang w:val="en-US"/>
              </w:rPr>
            </w:pPr>
            <w:r w:rsidRPr="000B59EB">
              <w:rPr>
                <w:b/>
                <w:lang w:val="en-US"/>
              </w:rPr>
              <w:t xml:space="preserve">Name </w:t>
            </w:r>
          </w:p>
        </w:tc>
        <w:tc>
          <w:tcPr>
            <w:tcW w:w="5426" w:type="dxa"/>
          </w:tcPr>
          <w:p w14:paraId="1CC11F54" w14:textId="77777777" w:rsidR="00746C6A" w:rsidRPr="000B59EB" w:rsidRDefault="00746C6A">
            <w:pPr>
              <w:rPr>
                <w:b/>
                <w:lang w:val="en-US"/>
              </w:rPr>
            </w:pPr>
            <w:r w:rsidRPr="000B59EB">
              <w:rPr>
                <w:b/>
                <w:lang w:val="en-US"/>
              </w:rPr>
              <w:t>Sections contributed in paper</w:t>
            </w:r>
          </w:p>
        </w:tc>
      </w:tr>
      <w:tr w:rsidR="00746C6A" w14:paraId="04111AB9" w14:textId="77777777" w:rsidTr="4FEB0408">
        <w:trPr>
          <w:trHeight w:val="375"/>
        </w:trPr>
        <w:tc>
          <w:tcPr>
            <w:tcW w:w="2100" w:type="dxa"/>
          </w:tcPr>
          <w:p w14:paraId="7D9CF3DB" w14:textId="77777777" w:rsidR="00021B3B" w:rsidRDefault="00000000">
            <w:r>
              <w:rPr>
                <w:sz w:val="20"/>
                <w:szCs w:val="20"/>
                <w:lang w:val="en-US"/>
              </w:rPr>
              <w:t>CB.SC.P2AIE26002</w:t>
            </w:r>
          </w:p>
        </w:tc>
        <w:tc>
          <w:tcPr>
            <w:tcW w:w="1500" w:type="dxa"/>
          </w:tcPr>
          <w:p w14:paraId="094409C7" w14:textId="77777777" w:rsidR="00021B3B" w:rsidRDefault="00000000">
            <w:r>
              <w:rPr>
                <w:sz w:val="20"/>
                <w:szCs w:val="20"/>
                <w:lang w:val="en-US"/>
              </w:rPr>
              <w:t>Abinaya</w:t>
            </w:r>
          </w:p>
        </w:tc>
        <w:tc>
          <w:tcPr>
            <w:tcW w:w="5426" w:type="dxa"/>
          </w:tcPr>
          <w:p w14:paraId="1237DC74" w14:textId="4F1AD52A" w:rsidR="00021B3B" w:rsidRDefault="00000000">
            <w:r>
              <w:rPr>
                <w:sz w:val="20"/>
                <w:szCs w:val="20"/>
                <w:lang w:val="en-US"/>
              </w:rPr>
              <w:t xml:space="preserve">Literature survey detection algorithms and model architectures; Methodology </w:t>
            </w:r>
          </w:p>
        </w:tc>
      </w:tr>
      <w:tr w:rsidR="00746C6A" w14:paraId="4917074E" w14:textId="77777777" w:rsidTr="4FEB0408">
        <w:tc>
          <w:tcPr>
            <w:tcW w:w="2100" w:type="dxa"/>
          </w:tcPr>
          <w:p w14:paraId="1F3AD0C0" w14:textId="77777777" w:rsidR="00021B3B" w:rsidRDefault="00000000">
            <w:r>
              <w:rPr>
                <w:sz w:val="20"/>
                <w:szCs w:val="20"/>
                <w:lang w:val="en-US"/>
              </w:rPr>
              <w:t>CB.SC.P2AIE26004</w:t>
            </w:r>
          </w:p>
        </w:tc>
        <w:tc>
          <w:tcPr>
            <w:tcW w:w="1500" w:type="dxa"/>
          </w:tcPr>
          <w:p w14:paraId="2E67094D" w14:textId="77777777" w:rsidR="00021B3B" w:rsidRDefault="00000000">
            <w:r>
              <w:rPr>
                <w:sz w:val="20"/>
                <w:szCs w:val="20"/>
                <w:lang w:val="en-US"/>
              </w:rPr>
              <w:t>Akshath</w:t>
            </w:r>
          </w:p>
        </w:tc>
        <w:tc>
          <w:tcPr>
            <w:tcW w:w="5426" w:type="dxa"/>
          </w:tcPr>
          <w:p w14:paraId="41DCA79D" w14:textId="54D79065" w:rsidR="00021B3B" w:rsidRDefault="00000000">
            <w:r>
              <w:rPr>
                <w:sz w:val="20"/>
                <w:szCs w:val="20"/>
                <w:lang w:val="en-US"/>
              </w:rPr>
              <w:t>Literature survey Dataset Description ; dataset list of surveyed papers</w:t>
            </w:r>
          </w:p>
        </w:tc>
      </w:tr>
      <w:tr w:rsidR="00746C6A" w14:paraId="6998CF10" w14:textId="77777777" w:rsidTr="4FEB0408">
        <w:tc>
          <w:tcPr>
            <w:tcW w:w="2100" w:type="dxa"/>
          </w:tcPr>
          <w:p w14:paraId="138009F0" w14:textId="77777777" w:rsidR="00021B3B" w:rsidRDefault="00000000">
            <w:r>
              <w:rPr>
                <w:sz w:val="20"/>
                <w:szCs w:val="20"/>
                <w:lang w:val="en-US"/>
              </w:rPr>
              <w:t>CB.SC.P2CSE26031</w:t>
            </w:r>
          </w:p>
        </w:tc>
        <w:tc>
          <w:tcPr>
            <w:tcW w:w="1500" w:type="dxa"/>
          </w:tcPr>
          <w:p w14:paraId="320A046B" w14:textId="77777777" w:rsidR="00021B3B" w:rsidRDefault="00000000">
            <w:r>
              <w:rPr>
                <w:sz w:val="20"/>
                <w:szCs w:val="20"/>
                <w:lang w:val="en-US"/>
              </w:rPr>
              <w:t>Vikram</w:t>
            </w:r>
          </w:p>
        </w:tc>
        <w:tc>
          <w:tcPr>
            <w:tcW w:w="5426" w:type="dxa"/>
          </w:tcPr>
          <w:p w14:paraId="45585A9B" w14:textId="01FDC0CC" w:rsidR="00021B3B" w:rsidRDefault="00000000">
            <w:r>
              <w:rPr>
                <w:sz w:val="20"/>
                <w:szCs w:val="20"/>
                <w:lang w:val="en-US"/>
              </w:rPr>
              <w:t>Introduction and problem statement;</w:t>
            </w:r>
            <w:r w:rsidR="005E692A">
              <w:rPr>
                <w:sz w:val="20"/>
                <w:szCs w:val="20"/>
                <w:lang w:val="en-US"/>
              </w:rPr>
              <w:t xml:space="preserve"> </w:t>
            </w:r>
            <w:r>
              <w:rPr>
                <w:sz w:val="20"/>
                <w:szCs w:val="20"/>
                <w:lang w:val="en-US"/>
              </w:rPr>
              <w:t>Research Gap;</w:t>
            </w:r>
            <w:r w:rsidR="005E692A">
              <w:rPr>
                <w:sz w:val="20"/>
                <w:szCs w:val="20"/>
                <w:lang w:val="en-US"/>
              </w:rPr>
              <w:t xml:space="preserve"> </w:t>
            </w:r>
            <w:r>
              <w:rPr>
                <w:sz w:val="20"/>
                <w:szCs w:val="20"/>
                <w:lang w:val="en-US"/>
              </w:rPr>
              <w:t>fusion, spatial</w:t>
            </w:r>
            <w:r w:rsidR="005E692A">
              <w:rPr>
                <w:sz w:val="20"/>
                <w:szCs w:val="20"/>
                <w:lang w:val="en-US"/>
              </w:rPr>
              <w:t xml:space="preserve"> </w:t>
            </w:r>
            <w:r>
              <w:rPr>
                <w:sz w:val="20"/>
                <w:szCs w:val="20"/>
                <w:lang w:val="en-US"/>
              </w:rPr>
              <w:t>temporal layer, AI relevance, metrics, limitations</w:t>
            </w:r>
          </w:p>
        </w:tc>
      </w:tr>
    </w:tbl>
    <w:p w14:paraId="264C8217" w14:textId="77777777" w:rsidR="00BC7C78" w:rsidRDefault="00BC7C78"/>
    <w:sectPr w:rsidR="00BC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6A"/>
    <w:rsid w:val="00021B3B"/>
    <w:rsid w:val="000B59EB"/>
    <w:rsid w:val="00376768"/>
    <w:rsid w:val="004379C9"/>
    <w:rsid w:val="005257B4"/>
    <w:rsid w:val="005E692A"/>
    <w:rsid w:val="00692208"/>
    <w:rsid w:val="006B6D57"/>
    <w:rsid w:val="00746C6A"/>
    <w:rsid w:val="00A626F3"/>
    <w:rsid w:val="00BC7C78"/>
    <w:rsid w:val="00CD7293"/>
    <w:rsid w:val="00EA4E5A"/>
    <w:rsid w:val="1C157725"/>
    <w:rsid w:val="242035CB"/>
    <w:rsid w:val="4424F8C9"/>
    <w:rsid w:val="4FEB0408"/>
    <w:rsid w:val="5156491D"/>
    <w:rsid w:val="60A5A1F8"/>
    <w:rsid w:val="6DA138F7"/>
    <w:rsid w:val="7E31AA4A"/>
    <w:rsid w:val="7F779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B1CE"/>
  <w15:chartTrackingRefBased/>
  <w15:docId w15:val="{50D22CFA-F510-44FF-B227-763CEA57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6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6768"/>
    <w:rPr>
      <w:color w:val="0563C1" w:themeColor="hyperlink"/>
      <w:u w:val="single"/>
    </w:rPr>
  </w:style>
  <w:style w:type="character" w:styleId="UnresolvedMention">
    <w:name w:val="Unresolved Mention"/>
    <w:basedOn w:val="DefaultParagraphFont"/>
    <w:uiPriority w:val="99"/>
    <w:semiHidden/>
    <w:unhideWhenUsed/>
    <w:rsid w:val="00376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mailto:t_senthilkumar@cb.amrita.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b.sc.p2cse26031@cb.students.amrita.edu" TargetMode="External"/><Relationship Id="rId5" Type="http://schemas.openxmlformats.org/officeDocument/2006/relationships/hyperlink" Target="mailto:cb.sc.p2aie26004@cb.students.amrita.edu" TargetMode="External"/><Relationship Id="rId10" Type="http://schemas.openxmlformats.org/officeDocument/2006/relationships/theme" Target="theme/theme1.xml"/><Relationship Id="rId4" Type="http://schemas.openxmlformats.org/officeDocument/2006/relationships/hyperlink" Target="mailto:cb.sc.p2aie26002@cb.students.amrita.edu"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5771</Words>
  <Characters>32895</Characters>
  <Application>Microsoft Office Word</Application>
  <DocSecurity>0</DocSecurity>
  <Lines>274</Lines>
  <Paragraphs>77</Paragraphs>
  <ScaleCrop>false</ScaleCrop>
  <Company/>
  <LinksUpToDate>false</LinksUpToDate>
  <CharactersWithSpaces>38589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Abinaya Senthil</cp:lastModifiedBy>
  <cp:revision>11</cp:revision>
  <dcterms:created xsi:type="dcterms:W3CDTF">2026-09-21T05:00:00Z</dcterms:created>
  <dcterms:modified xsi:type="dcterms:W3CDTF">2026-09-25T11:07:00Z</dcterms:modified>
</cp:coreProperties>
</file>