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229C" w14:textId="77777777" w:rsidR="002E7441" w:rsidRDefault="00000000">
      <w:pPr>
        <w:jc w:val="center"/>
      </w:pPr>
      <w:r>
        <w:rPr>
          <w:b/>
          <w:sz w:val="32"/>
        </w:rPr>
        <w:t>Study Report: Bimodal Audio-Visual Deep Learning System for</w:t>
      </w:r>
      <w:r>
        <w:rPr>
          <w:b/>
          <w:sz w:val="32"/>
        </w:rPr>
        <w:br/>
        <w:t>Red Palm Weevil (RPW) Infestation Detection and Severity Assessment</w:t>
      </w:r>
    </w:p>
    <w:p w14:paraId="0B597079" w14:textId="77777777" w:rsidR="002E7441" w:rsidRDefault="00000000">
      <w:pPr>
        <w:jc w:val="center"/>
      </w:pPr>
      <w:r>
        <w:rPr>
          <w:i/>
          <w:sz w:val="24"/>
        </w:rPr>
        <w:t>A Literature-Grounded Study of Datasets, Metrics, Experimental Practice, and the Proposed Algorithm</w:t>
      </w:r>
    </w:p>
    <w:p w14:paraId="013C9579" w14:textId="77777777" w:rsidR="002E7441" w:rsidRDefault="002E7441"/>
    <w:p w14:paraId="0C3EE953" w14:textId="77777777" w:rsidR="002E7441" w:rsidRDefault="00000000">
      <w:pPr>
        <w:pStyle w:val="Heading1"/>
      </w:pPr>
      <w:r>
        <w:t>Problem Statement</w:t>
      </w:r>
    </w:p>
    <w:p w14:paraId="6489C8A1" w14:textId="518CF43D" w:rsidR="002E7441" w:rsidRDefault="00000000">
      <w:r>
        <w:t>To identify Red Palm Weevil (RPW) infestation and assess the severity under real-world field conditions using Artificial Intelligence (AI) that can identify RPW infestation at an early stage and assess its severity, thereby supporting timely a</w:t>
      </w:r>
      <w:r w:rsidR="00875479">
        <w:t>/</w:t>
      </w:r>
      <w:proofErr w:type="spellStart"/>
      <w:r>
        <w:t>nd</w:t>
      </w:r>
      <w:proofErr w:type="spellEnd"/>
      <w:r>
        <w:t xml:space="preserve"> informed pest-management decisions.</w:t>
      </w:r>
    </w:p>
    <w:p w14:paraId="14E2A5AA" w14:textId="77777777" w:rsidR="002E7441" w:rsidRDefault="00000000">
      <w:pPr>
        <w:pStyle w:val="Heading1"/>
      </w:pPr>
      <w:r>
        <w:t>1. Study of Papers</w:t>
      </w:r>
    </w:p>
    <w:p w14:paraId="55FA2C65" w14:textId="77777777" w:rsidR="002E7441" w:rsidRDefault="00000000">
      <w:r>
        <w:t>Eighteen journal papers relevant to RPW and coconut/palm pest detection were studied, spanning the problem statement and AI-driven applications, public datasets, detection algorithms, and closely related bimodal/multimodal detection systems. Table 1 summarises the papers studied and their relevance to the proposed bimodal audio-visual detection system.</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E7441" w14:paraId="33E739B4" w14:textId="77777777">
        <w:trPr>
          <w:jc w:val="center"/>
        </w:trPr>
        <w:tc>
          <w:tcPr>
            <w:tcW w:w="1728" w:type="dxa"/>
            <w:shd w:val="clear" w:color="auto" w:fill="D9E2F3"/>
          </w:tcPr>
          <w:p w14:paraId="7985FD06" w14:textId="77777777" w:rsidR="002E7441" w:rsidRDefault="00000000">
            <w:r>
              <w:rPr>
                <w:b/>
                <w:sz w:val="18"/>
              </w:rPr>
              <w:t>Ref</w:t>
            </w:r>
          </w:p>
        </w:tc>
        <w:tc>
          <w:tcPr>
            <w:tcW w:w="1728" w:type="dxa"/>
            <w:shd w:val="clear" w:color="auto" w:fill="D9E2F3"/>
          </w:tcPr>
          <w:p w14:paraId="2448C352" w14:textId="77777777" w:rsidR="002E7441" w:rsidRDefault="00000000">
            <w:r>
              <w:rPr>
                <w:b/>
                <w:sz w:val="18"/>
              </w:rPr>
              <w:t>Author(s), Year</w:t>
            </w:r>
          </w:p>
        </w:tc>
        <w:tc>
          <w:tcPr>
            <w:tcW w:w="1728" w:type="dxa"/>
            <w:shd w:val="clear" w:color="auto" w:fill="D9E2F3"/>
          </w:tcPr>
          <w:p w14:paraId="1679E93F" w14:textId="77777777" w:rsidR="002E7441" w:rsidRDefault="00000000">
            <w:r>
              <w:rPr>
                <w:b/>
                <w:sz w:val="18"/>
              </w:rPr>
              <w:t>Focus</w:t>
            </w:r>
          </w:p>
        </w:tc>
        <w:tc>
          <w:tcPr>
            <w:tcW w:w="1728" w:type="dxa"/>
            <w:shd w:val="clear" w:color="auto" w:fill="D9E2F3"/>
          </w:tcPr>
          <w:p w14:paraId="5DF5E22A" w14:textId="77777777" w:rsidR="002E7441" w:rsidRDefault="00000000">
            <w:r>
              <w:rPr>
                <w:b/>
                <w:sz w:val="18"/>
              </w:rPr>
              <w:t>Method / Contribution</w:t>
            </w:r>
          </w:p>
        </w:tc>
        <w:tc>
          <w:tcPr>
            <w:tcW w:w="1728" w:type="dxa"/>
            <w:shd w:val="clear" w:color="auto" w:fill="D9E2F3"/>
          </w:tcPr>
          <w:p w14:paraId="3CF23BA7" w14:textId="77777777" w:rsidR="002E7441" w:rsidRDefault="00000000">
            <w:r>
              <w:rPr>
                <w:b/>
                <w:sz w:val="18"/>
              </w:rPr>
              <w:t>Relevance to Proposed System</w:t>
            </w:r>
          </w:p>
        </w:tc>
      </w:tr>
      <w:tr w:rsidR="002E7441" w14:paraId="2BF6FEFF" w14:textId="77777777">
        <w:trPr>
          <w:jc w:val="center"/>
        </w:trPr>
        <w:tc>
          <w:tcPr>
            <w:tcW w:w="1728" w:type="dxa"/>
          </w:tcPr>
          <w:p w14:paraId="489D8588" w14:textId="77777777" w:rsidR="002E7441" w:rsidRDefault="00000000">
            <w:r>
              <w:rPr>
                <w:sz w:val="18"/>
              </w:rPr>
              <w:t>[1]</w:t>
            </w:r>
          </w:p>
        </w:tc>
        <w:tc>
          <w:tcPr>
            <w:tcW w:w="1728" w:type="dxa"/>
          </w:tcPr>
          <w:p w14:paraId="5E1895C2" w14:textId="77777777" w:rsidR="002E7441" w:rsidRDefault="00000000">
            <w:r>
              <w:rPr>
                <w:sz w:val="18"/>
              </w:rPr>
              <w:t>Soroker et al., 2010</w:t>
            </w:r>
          </w:p>
        </w:tc>
        <w:tc>
          <w:tcPr>
            <w:tcW w:w="1728" w:type="dxa"/>
          </w:tcPr>
          <w:p w14:paraId="70362E22" w14:textId="77777777" w:rsidR="002E7441" w:rsidRDefault="00000000">
            <w:r>
              <w:rPr>
                <w:sz w:val="18"/>
              </w:rPr>
              <w:t>Problem/AI</w:t>
            </w:r>
          </w:p>
        </w:tc>
        <w:tc>
          <w:tcPr>
            <w:tcW w:w="1728" w:type="dxa"/>
          </w:tcPr>
          <w:p w14:paraId="6994B573" w14:textId="77777777" w:rsidR="002E7441" w:rsidRDefault="00000000">
            <w:r>
              <w:rPr>
                <w:sz w:val="18"/>
              </w:rPr>
              <w:t>Trunk-embedded acoustic sensors for larval sound capture</w:t>
            </w:r>
          </w:p>
        </w:tc>
        <w:tc>
          <w:tcPr>
            <w:tcW w:w="1728" w:type="dxa"/>
          </w:tcPr>
          <w:p w14:paraId="0901FA96" w14:textId="77777777" w:rsidR="002E7441" w:rsidRDefault="00000000">
            <w:r>
              <w:rPr>
                <w:sz w:val="18"/>
              </w:rPr>
              <w:t>Establishes acoustic sensing as viable core modality</w:t>
            </w:r>
          </w:p>
        </w:tc>
      </w:tr>
      <w:tr w:rsidR="002E7441" w14:paraId="70FC2F58" w14:textId="77777777">
        <w:trPr>
          <w:jc w:val="center"/>
        </w:trPr>
        <w:tc>
          <w:tcPr>
            <w:tcW w:w="1728" w:type="dxa"/>
          </w:tcPr>
          <w:p w14:paraId="3DA14073" w14:textId="77777777" w:rsidR="002E7441" w:rsidRDefault="00000000">
            <w:r>
              <w:rPr>
                <w:sz w:val="18"/>
              </w:rPr>
              <w:t>[2]</w:t>
            </w:r>
          </w:p>
        </w:tc>
        <w:tc>
          <w:tcPr>
            <w:tcW w:w="1728" w:type="dxa"/>
          </w:tcPr>
          <w:p w14:paraId="6E323E03" w14:textId="77777777" w:rsidR="002E7441" w:rsidRDefault="00000000">
            <w:r>
              <w:rPr>
                <w:sz w:val="18"/>
              </w:rPr>
              <w:t>Faleiro et al., 2012</w:t>
            </w:r>
          </w:p>
        </w:tc>
        <w:tc>
          <w:tcPr>
            <w:tcW w:w="1728" w:type="dxa"/>
          </w:tcPr>
          <w:p w14:paraId="1881E8D0" w14:textId="77777777" w:rsidR="002E7441" w:rsidRDefault="00000000">
            <w:r>
              <w:rPr>
                <w:sz w:val="18"/>
              </w:rPr>
              <w:t>Problem/AI</w:t>
            </w:r>
          </w:p>
        </w:tc>
        <w:tc>
          <w:tcPr>
            <w:tcW w:w="1728" w:type="dxa"/>
          </w:tcPr>
          <w:p w14:paraId="4ACD2072" w14:textId="77777777" w:rsidR="002E7441" w:rsidRDefault="00000000">
            <w:r>
              <w:rPr>
                <w:sz w:val="18"/>
              </w:rPr>
              <w:t>Field validation of acoustic detection vs. environmental noise</w:t>
            </w:r>
          </w:p>
        </w:tc>
        <w:tc>
          <w:tcPr>
            <w:tcW w:w="1728" w:type="dxa"/>
          </w:tcPr>
          <w:p w14:paraId="3A6287B0" w14:textId="77777777" w:rsidR="002E7441" w:rsidRDefault="00000000">
            <w:r>
              <w:rPr>
                <w:sz w:val="18"/>
              </w:rPr>
              <w:t>Confirms field robustness of acoustic channel</w:t>
            </w:r>
          </w:p>
        </w:tc>
      </w:tr>
      <w:tr w:rsidR="002E7441" w14:paraId="7A8EA35F" w14:textId="77777777">
        <w:trPr>
          <w:jc w:val="center"/>
        </w:trPr>
        <w:tc>
          <w:tcPr>
            <w:tcW w:w="1728" w:type="dxa"/>
          </w:tcPr>
          <w:p w14:paraId="15B13CF4" w14:textId="77777777" w:rsidR="002E7441" w:rsidRDefault="00000000">
            <w:r>
              <w:rPr>
                <w:sz w:val="18"/>
              </w:rPr>
              <w:t>[3]</w:t>
            </w:r>
          </w:p>
        </w:tc>
        <w:tc>
          <w:tcPr>
            <w:tcW w:w="1728" w:type="dxa"/>
          </w:tcPr>
          <w:p w14:paraId="4B7C2B64" w14:textId="77777777" w:rsidR="002E7441" w:rsidRDefault="00000000">
            <w:r>
              <w:rPr>
                <w:sz w:val="18"/>
              </w:rPr>
              <w:t>Martin, Saranya &amp; Chowdary, 2026</w:t>
            </w:r>
          </w:p>
        </w:tc>
        <w:tc>
          <w:tcPr>
            <w:tcW w:w="1728" w:type="dxa"/>
          </w:tcPr>
          <w:p w14:paraId="7599717E" w14:textId="77777777" w:rsidR="002E7441" w:rsidRDefault="00000000">
            <w:r>
              <w:rPr>
                <w:sz w:val="18"/>
              </w:rPr>
              <w:t>Problem/AI</w:t>
            </w:r>
          </w:p>
        </w:tc>
        <w:tc>
          <w:tcPr>
            <w:tcW w:w="1728" w:type="dxa"/>
          </w:tcPr>
          <w:p w14:paraId="1AA3EAA2" w14:textId="77777777" w:rsidR="002E7441" w:rsidRDefault="00000000">
            <w:r>
              <w:rPr>
                <w:sz w:val="18"/>
              </w:rPr>
              <w:t>IoT Raspberry-Pi thermal-imaging CNN pipeline</w:t>
            </w:r>
          </w:p>
        </w:tc>
        <w:tc>
          <w:tcPr>
            <w:tcW w:w="1728" w:type="dxa"/>
          </w:tcPr>
          <w:p w14:paraId="1D6D0612" w14:textId="77777777" w:rsidR="002E7441" w:rsidRDefault="00000000">
            <w:r>
              <w:rPr>
                <w:sz w:val="18"/>
              </w:rPr>
              <w:t>Template for low-cost, edge-deployed sensing pipeline</w:t>
            </w:r>
          </w:p>
        </w:tc>
      </w:tr>
      <w:tr w:rsidR="002E7441" w14:paraId="2858538B" w14:textId="77777777">
        <w:trPr>
          <w:jc w:val="center"/>
        </w:trPr>
        <w:tc>
          <w:tcPr>
            <w:tcW w:w="1728" w:type="dxa"/>
          </w:tcPr>
          <w:p w14:paraId="4D1E749D" w14:textId="77777777" w:rsidR="002E7441" w:rsidRDefault="00000000">
            <w:r>
              <w:rPr>
                <w:sz w:val="18"/>
              </w:rPr>
              <w:t>[4]</w:t>
            </w:r>
          </w:p>
        </w:tc>
        <w:tc>
          <w:tcPr>
            <w:tcW w:w="1728" w:type="dxa"/>
          </w:tcPr>
          <w:p w14:paraId="246C83AD" w14:textId="77777777" w:rsidR="002E7441" w:rsidRDefault="00000000">
            <w:r>
              <w:rPr>
                <w:sz w:val="18"/>
              </w:rPr>
              <w:t>Alsanea et al., 2022</w:t>
            </w:r>
          </w:p>
        </w:tc>
        <w:tc>
          <w:tcPr>
            <w:tcW w:w="1728" w:type="dxa"/>
          </w:tcPr>
          <w:p w14:paraId="7204591D" w14:textId="77777777" w:rsidR="002E7441" w:rsidRDefault="00000000">
            <w:r>
              <w:rPr>
                <w:sz w:val="18"/>
              </w:rPr>
              <w:t>Problem/AI</w:t>
            </w:r>
          </w:p>
        </w:tc>
        <w:tc>
          <w:tcPr>
            <w:tcW w:w="1728" w:type="dxa"/>
          </w:tcPr>
          <w:p w14:paraId="2BDBA280" w14:textId="77777777" w:rsidR="002E7441" w:rsidRDefault="00000000">
            <w:r>
              <w:rPr>
                <w:sz w:val="18"/>
              </w:rPr>
              <w:t>R-CNN based visual RPW localisation</w:t>
            </w:r>
          </w:p>
        </w:tc>
        <w:tc>
          <w:tcPr>
            <w:tcW w:w="1728" w:type="dxa"/>
          </w:tcPr>
          <w:p w14:paraId="23F5D0CF" w14:textId="77777777" w:rsidR="002E7441" w:rsidRDefault="00000000">
            <w:r>
              <w:rPr>
                <w:sz w:val="18"/>
              </w:rPr>
              <w:t>Baseline for RGB visual detection component</w:t>
            </w:r>
          </w:p>
        </w:tc>
      </w:tr>
      <w:tr w:rsidR="002E7441" w14:paraId="2C20879D" w14:textId="77777777">
        <w:trPr>
          <w:jc w:val="center"/>
        </w:trPr>
        <w:tc>
          <w:tcPr>
            <w:tcW w:w="1728" w:type="dxa"/>
          </w:tcPr>
          <w:p w14:paraId="5F89B3C4" w14:textId="77777777" w:rsidR="002E7441" w:rsidRDefault="00000000">
            <w:r>
              <w:rPr>
                <w:sz w:val="18"/>
              </w:rPr>
              <w:t>[5]</w:t>
            </w:r>
          </w:p>
        </w:tc>
        <w:tc>
          <w:tcPr>
            <w:tcW w:w="1728" w:type="dxa"/>
          </w:tcPr>
          <w:p w14:paraId="40C24FDA" w14:textId="77777777" w:rsidR="002E7441" w:rsidRDefault="00000000">
            <w:r>
              <w:rPr>
                <w:sz w:val="18"/>
              </w:rPr>
              <w:t>Kagan et al., 2021</w:t>
            </w:r>
          </w:p>
        </w:tc>
        <w:tc>
          <w:tcPr>
            <w:tcW w:w="1728" w:type="dxa"/>
          </w:tcPr>
          <w:p w14:paraId="797E3C61" w14:textId="77777777" w:rsidR="002E7441" w:rsidRDefault="00000000">
            <w:r>
              <w:rPr>
                <w:sz w:val="18"/>
              </w:rPr>
              <w:t>Problem/AI</w:t>
            </w:r>
          </w:p>
        </w:tc>
        <w:tc>
          <w:tcPr>
            <w:tcW w:w="1728" w:type="dxa"/>
          </w:tcPr>
          <w:p w14:paraId="7ADF3B70" w14:textId="77777777" w:rsidR="002E7441" w:rsidRDefault="00000000">
            <w:r>
              <w:rPr>
                <w:sz w:val="18"/>
              </w:rPr>
              <w:t>Landscape-scale palm mapping from aerial/street imagery</w:t>
            </w:r>
          </w:p>
        </w:tc>
        <w:tc>
          <w:tcPr>
            <w:tcW w:w="1728" w:type="dxa"/>
          </w:tcPr>
          <w:p w14:paraId="60F82E99" w14:textId="77777777" w:rsidR="002E7441" w:rsidRDefault="00000000">
            <w:r>
              <w:rPr>
                <w:sz w:val="18"/>
              </w:rPr>
              <w:t>Motivates scaling detection beyond single tree</w:t>
            </w:r>
          </w:p>
        </w:tc>
      </w:tr>
      <w:tr w:rsidR="002E7441" w14:paraId="00556D01" w14:textId="77777777">
        <w:trPr>
          <w:jc w:val="center"/>
        </w:trPr>
        <w:tc>
          <w:tcPr>
            <w:tcW w:w="1728" w:type="dxa"/>
          </w:tcPr>
          <w:p w14:paraId="76FF5851" w14:textId="77777777" w:rsidR="002E7441" w:rsidRDefault="00000000">
            <w:r>
              <w:rPr>
                <w:sz w:val="18"/>
              </w:rPr>
              <w:t>[6]</w:t>
            </w:r>
          </w:p>
        </w:tc>
        <w:tc>
          <w:tcPr>
            <w:tcW w:w="1728" w:type="dxa"/>
          </w:tcPr>
          <w:p w14:paraId="3CEC03CD" w14:textId="77777777" w:rsidR="002E7441" w:rsidRDefault="00000000">
            <w:r>
              <w:rPr>
                <w:sz w:val="18"/>
              </w:rPr>
              <w:t>Rigakis et al., 2021</w:t>
            </w:r>
          </w:p>
        </w:tc>
        <w:tc>
          <w:tcPr>
            <w:tcW w:w="1728" w:type="dxa"/>
          </w:tcPr>
          <w:p w14:paraId="455AAA5C" w14:textId="77777777" w:rsidR="002E7441" w:rsidRDefault="00000000">
            <w:r>
              <w:rPr>
                <w:sz w:val="18"/>
              </w:rPr>
              <w:t>Dataset</w:t>
            </w:r>
          </w:p>
        </w:tc>
        <w:tc>
          <w:tcPr>
            <w:tcW w:w="1728" w:type="dxa"/>
          </w:tcPr>
          <w:p w14:paraId="424671ED" w14:textId="77777777" w:rsidR="002E7441" w:rsidRDefault="00000000">
            <w:r>
              <w:rPr>
                <w:sz w:val="18"/>
              </w:rPr>
              <w:t>TreeVibes public labelled acoustic RPW dataset &amp; platform</w:t>
            </w:r>
          </w:p>
        </w:tc>
        <w:tc>
          <w:tcPr>
            <w:tcW w:w="1728" w:type="dxa"/>
          </w:tcPr>
          <w:p w14:paraId="238D5728" w14:textId="77777777" w:rsidR="002E7441" w:rsidRDefault="00000000">
            <w:r>
              <w:rPr>
                <w:sz w:val="18"/>
              </w:rPr>
              <w:t>Source of the acoustic dataset used in this study</w:t>
            </w:r>
          </w:p>
        </w:tc>
      </w:tr>
      <w:tr w:rsidR="002E7441" w14:paraId="63551279" w14:textId="77777777">
        <w:trPr>
          <w:jc w:val="center"/>
        </w:trPr>
        <w:tc>
          <w:tcPr>
            <w:tcW w:w="1728" w:type="dxa"/>
          </w:tcPr>
          <w:p w14:paraId="6843802D" w14:textId="77777777" w:rsidR="002E7441" w:rsidRDefault="00000000">
            <w:r>
              <w:rPr>
                <w:sz w:val="18"/>
              </w:rPr>
              <w:t>[7]</w:t>
            </w:r>
          </w:p>
        </w:tc>
        <w:tc>
          <w:tcPr>
            <w:tcW w:w="1728" w:type="dxa"/>
          </w:tcPr>
          <w:p w14:paraId="00991CC3" w14:textId="77777777" w:rsidR="002E7441" w:rsidRDefault="00000000">
            <w:r>
              <w:rPr>
                <w:sz w:val="18"/>
              </w:rPr>
              <w:t>Kurdi et al., 2021</w:t>
            </w:r>
          </w:p>
        </w:tc>
        <w:tc>
          <w:tcPr>
            <w:tcW w:w="1728" w:type="dxa"/>
          </w:tcPr>
          <w:p w14:paraId="0CF1219C" w14:textId="77777777" w:rsidR="002E7441" w:rsidRDefault="00000000">
            <w:r>
              <w:rPr>
                <w:sz w:val="18"/>
              </w:rPr>
              <w:t>Dataset</w:t>
            </w:r>
          </w:p>
        </w:tc>
        <w:tc>
          <w:tcPr>
            <w:tcW w:w="1728" w:type="dxa"/>
          </w:tcPr>
          <w:p w14:paraId="19A31D11" w14:textId="77777777" w:rsidR="002E7441" w:rsidRDefault="00000000">
            <w:r>
              <w:rPr>
                <w:sz w:val="18"/>
              </w:rPr>
              <w:t xml:space="preserve">Curated RPW dataset benchmarked on classical ML </w:t>
            </w:r>
            <w:r>
              <w:rPr>
                <w:sz w:val="18"/>
              </w:rPr>
              <w:lastRenderedPageBreak/>
              <w:t>classifiers</w:t>
            </w:r>
          </w:p>
        </w:tc>
        <w:tc>
          <w:tcPr>
            <w:tcW w:w="1728" w:type="dxa"/>
          </w:tcPr>
          <w:p w14:paraId="219EC76B" w14:textId="77777777" w:rsidR="002E7441" w:rsidRDefault="00000000">
            <w:r>
              <w:rPr>
                <w:sz w:val="18"/>
              </w:rPr>
              <w:lastRenderedPageBreak/>
              <w:t>Accuracy baseline for non-deep-learning audio methods</w:t>
            </w:r>
          </w:p>
        </w:tc>
      </w:tr>
      <w:tr w:rsidR="002E7441" w14:paraId="1B2FF2A3" w14:textId="77777777">
        <w:trPr>
          <w:jc w:val="center"/>
        </w:trPr>
        <w:tc>
          <w:tcPr>
            <w:tcW w:w="1728" w:type="dxa"/>
          </w:tcPr>
          <w:p w14:paraId="51B28FCC" w14:textId="77777777" w:rsidR="002E7441" w:rsidRDefault="00000000">
            <w:r>
              <w:rPr>
                <w:sz w:val="18"/>
              </w:rPr>
              <w:t>[8]</w:t>
            </w:r>
          </w:p>
        </w:tc>
        <w:tc>
          <w:tcPr>
            <w:tcW w:w="1728" w:type="dxa"/>
          </w:tcPr>
          <w:p w14:paraId="4A43738E" w14:textId="77777777" w:rsidR="002E7441" w:rsidRDefault="00000000">
            <w:r>
              <w:rPr>
                <w:sz w:val="18"/>
              </w:rPr>
              <w:t>Boulila et al., 2023</w:t>
            </w:r>
          </w:p>
        </w:tc>
        <w:tc>
          <w:tcPr>
            <w:tcW w:w="1728" w:type="dxa"/>
          </w:tcPr>
          <w:p w14:paraId="18B4DE63" w14:textId="77777777" w:rsidR="002E7441" w:rsidRDefault="00000000">
            <w:r>
              <w:rPr>
                <w:sz w:val="18"/>
              </w:rPr>
              <w:t>Dataset</w:t>
            </w:r>
          </w:p>
        </w:tc>
        <w:tc>
          <w:tcPr>
            <w:tcW w:w="1728" w:type="dxa"/>
          </w:tcPr>
          <w:p w14:paraId="6DC44099" w14:textId="77777777" w:rsidR="002E7441" w:rsidRDefault="00000000">
            <w:r>
              <w:rPr>
                <w:sz w:val="18"/>
              </w:rPr>
              <w:t>Sound-to-spectrogram-image conversion for CNN classification</w:t>
            </w:r>
          </w:p>
        </w:tc>
        <w:tc>
          <w:tcPr>
            <w:tcW w:w="1728" w:type="dxa"/>
          </w:tcPr>
          <w:p w14:paraId="1CEF161C" w14:textId="77777777" w:rsidR="002E7441" w:rsidRDefault="00000000">
            <w:r>
              <w:rPr>
                <w:sz w:val="18"/>
              </w:rPr>
              <w:t>Basis for spectrogram-based audio pre-processing</w:t>
            </w:r>
          </w:p>
        </w:tc>
      </w:tr>
      <w:tr w:rsidR="002E7441" w14:paraId="71EB4258" w14:textId="77777777">
        <w:trPr>
          <w:jc w:val="center"/>
        </w:trPr>
        <w:tc>
          <w:tcPr>
            <w:tcW w:w="1728" w:type="dxa"/>
          </w:tcPr>
          <w:p w14:paraId="197C0F1D" w14:textId="77777777" w:rsidR="002E7441" w:rsidRDefault="00000000">
            <w:r>
              <w:rPr>
                <w:sz w:val="18"/>
              </w:rPr>
              <w:t>[9]</w:t>
            </w:r>
          </w:p>
        </w:tc>
        <w:tc>
          <w:tcPr>
            <w:tcW w:w="1728" w:type="dxa"/>
          </w:tcPr>
          <w:p w14:paraId="475C9258" w14:textId="77777777" w:rsidR="002E7441" w:rsidRDefault="00000000">
            <w:r>
              <w:rPr>
                <w:sz w:val="18"/>
              </w:rPr>
              <w:t>Wu et al., 2023</w:t>
            </w:r>
          </w:p>
        </w:tc>
        <w:tc>
          <w:tcPr>
            <w:tcW w:w="1728" w:type="dxa"/>
          </w:tcPr>
          <w:p w14:paraId="45670665" w14:textId="77777777" w:rsidR="002E7441" w:rsidRDefault="00000000">
            <w:r>
              <w:rPr>
                <w:sz w:val="18"/>
              </w:rPr>
              <w:t>Dataset</w:t>
            </w:r>
          </w:p>
        </w:tc>
        <w:tc>
          <w:tcPr>
            <w:tcW w:w="1728" w:type="dxa"/>
          </w:tcPr>
          <w:p w14:paraId="1C6D3506" w14:textId="77777777" w:rsidR="002E7441" w:rsidRDefault="00000000">
            <w:r>
              <w:rPr>
                <w:sz w:val="18"/>
              </w:rPr>
              <w:t>~2,600-image RGB dataset with attention-enhanced YOLOv5</w:t>
            </w:r>
          </w:p>
        </w:tc>
        <w:tc>
          <w:tcPr>
            <w:tcW w:w="1728" w:type="dxa"/>
          </w:tcPr>
          <w:p w14:paraId="2497E2F9" w14:textId="77777777" w:rsidR="002E7441" w:rsidRDefault="00000000">
            <w:r>
              <w:rPr>
                <w:sz w:val="18"/>
              </w:rPr>
              <w:t>Source/reference for the RGB image dataset used in this study</w:t>
            </w:r>
          </w:p>
        </w:tc>
      </w:tr>
      <w:tr w:rsidR="002E7441" w14:paraId="7EAAEFA6" w14:textId="77777777">
        <w:trPr>
          <w:jc w:val="center"/>
        </w:trPr>
        <w:tc>
          <w:tcPr>
            <w:tcW w:w="1728" w:type="dxa"/>
          </w:tcPr>
          <w:p w14:paraId="695D2CA4" w14:textId="77777777" w:rsidR="002E7441" w:rsidRDefault="00000000">
            <w:r>
              <w:rPr>
                <w:sz w:val="18"/>
              </w:rPr>
              <w:t>[10]</w:t>
            </w:r>
          </w:p>
        </w:tc>
        <w:tc>
          <w:tcPr>
            <w:tcW w:w="1728" w:type="dxa"/>
          </w:tcPr>
          <w:p w14:paraId="36868764" w14:textId="77777777" w:rsidR="002E7441" w:rsidRDefault="00000000">
            <w:r>
              <w:rPr>
                <w:sz w:val="18"/>
              </w:rPr>
              <w:t>Nadeem et al., 2025</w:t>
            </w:r>
          </w:p>
        </w:tc>
        <w:tc>
          <w:tcPr>
            <w:tcW w:w="1728" w:type="dxa"/>
          </w:tcPr>
          <w:p w14:paraId="6204CBD0" w14:textId="77777777" w:rsidR="002E7441" w:rsidRDefault="00000000">
            <w:r>
              <w:rPr>
                <w:sz w:val="18"/>
              </w:rPr>
              <w:t>Dataset</w:t>
            </w:r>
          </w:p>
        </w:tc>
        <w:tc>
          <w:tcPr>
            <w:tcW w:w="1728" w:type="dxa"/>
          </w:tcPr>
          <w:p w14:paraId="6D0BC526" w14:textId="77777777" w:rsidR="002E7441" w:rsidRDefault="00000000">
            <w:r>
              <w:rPr>
                <w:sz w:val="18"/>
              </w:rPr>
              <w:t>Paired RGB+thermal date-palm image dataset</w:t>
            </w:r>
          </w:p>
        </w:tc>
        <w:tc>
          <w:tcPr>
            <w:tcW w:w="1728" w:type="dxa"/>
          </w:tcPr>
          <w:p w14:paraId="779733CB" w14:textId="77777777" w:rsidR="002E7441" w:rsidRDefault="00000000">
            <w:r>
              <w:rPr>
                <w:sz w:val="18"/>
              </w:rPr>
              <w:t>Illustrates multi-channel dataset structuring</w:t>
            </w:r>
          </w:p>
        </w:tc>
      </w:tr>
      <w:tr w:rsidR="002E7441" w14:paraId="76EB95A8" w14:textId="77777777">
        <w:trPr>
          <w:jc w:val="center"/>
        </w:trPr>
        <w:tc>
          <w:tcPr>
            <w:tcW w:w="1728" w:type="dxa"/>
          </w:tcPr>
          <w:p w14:paraId="7EB8ABB6" w14:textId="77777777" w:rsidR="002E7441" w:rsidRDefault="00000000">
            <w:r>
              <w:rPr>
                <w:sz w:val="18"/>
              </w:rPr>
              <w:t>[11]</w:t>
            </w:r>
          </w:p>
        </w:tc>
        <w:tc>
          <w:tcPr>
            <w:tcW w:w="1728" w:type="dxa"/>
          </w:tcPr>
          <w:p w14:paraId="0DA0616D" w14:textId="77777777" w:rsidR="002E7441" w:rsidRDefault="00000000">
            <w:r>
              <w:rPr>
                <w:sz w:val="18"/>
              </w:rPr>
              <w:t>Deng et al., 2025</w:t>
            </w:r>
          </w:p>
        </w:tc>
        <w:tc>
          <w:tcPr>
            <w:tcW w:w="1728" w:type="dxa"/>
          </w:tcPr>
          <w:p w14:paraId="5CC65342" w14:textId="77777777" w:rsidR="002E7441" w:rsidRDefault="00000000">
            <w:r>
              <w:rPr>
                <w:sz w:val="18"/>
              </w:rPr>
              <w:t>Algorithm</w:t>
            </w:r>
          </w:p>
        </w:tc>
        <w:tc>
          <w:tcPr>
            <w:tcW w:w="1728" w:type="dxa"/>
          </w:tcPr>
          <w:p w14:paraId="3F7501D0" w14:textId="77777777" w:rsidR="002E7441" w:rsidRDefault="00000000">
            <w:r>
              <w:rPr>
                <w:sz w:val="18"/>
              </w:rPr>
              <w:t>AMS-YOLO: YOLOv8n + SMCA attention + MSBlock + AMConv</w:t>
            </w:r>
          </w:p>
        </w:tc>
        <w:tc>
          <w:tcPr>
            <w:tcW w:w="1728" w:type="dxa"/>
          </w:tcPr>
          <w:p w14:paraId="06D3658D" w14:textId="77777777" w:rsidR="002E7441" w:rsidRDefault="00000000">
            <w:r>
              <w:rPr>
                <w:sz w:val="18"/>
              </w:rPr>
              <w:t>Attention-augmented YOLO design reference</w:t>
            </w:r>
          </w:p>
        </w:tc>
      </w:tr>
      <w:tr w:rsidR="002E7441" w14:paraId="2E5B1EDE" w14:textId="77777777">
        <w:trPr>
          <w:jc w:val="center"/>
        </w:trPr>
        <w:tc>
          <w:tcPr>
            <w:tcW w:w="1728" w:type="dxa"/>
          </w:tcPr>
          <w:p w14:paraId="46D93A27" w14:textId="77777777" w:rsidR="002E7441" w:rsidRDefault="00000000">
            <w:r>
              <w:rPr>
                <w:sz w:val="18"/>
              </w:rPr>
              <w:t>[12]</w:t>
            </w:r>
          </w:p>
        </w:tc>
        <w:tc>
          <w:tcPr>
            <w:tcW w:w="1728" w:type="dxa"/>
          </w:tcPr>
          <w:p w14:paraId="1698C835" w14:textId="77777777" w:rsidR="002E7441" w:rsidRDefault="00000000">
            <w:r>
              <w:rPr>
                <w:sz w:val="18"/>
              </w:rPr>
              <w:t>Yang et al., 2023</w:t>
            </w:r>
          </w:p>
        </w:tc>
        <w:tc>
          <w:tcPr>
            <w:tcW w:w="1728" w:type="dxa"/>
          </w:tcPr>
          <w:p w14:paraId="7E454B27" w14:textId="77777777" w:rsidR="002E7441" w:rsidRDefault="00000000">
            <w:r>
              <w:rPr>
                <w:sz w:val="18"/>
              </w:rPr>
              <w:t>Algorithm</w:t>
            </w:r>
          </w:p>
        </w:tc>
        <w:tc>
          <w:tcPr>
            <w:tcW w:w="1728" w:type="dxa"/>
          </w:tcPr>
          <w:p w14:paraId="43611652" w14:textId="77777777" w:rsidR="002E7441" w:rsidRDefault="00000000">
            <w:r>
              <w:rPr>
                <w:sz w:val="18"/>
              </w:rPr>
              <w:t>Maize-YOLO: YOLOv7 + CSPResNeXt-50 + VoVGSCSP</w:t>
            </w:r>
          </w:p>
        </w:tc>
        <w:tc>
          <w:tcPr>
            <w:tcW w:w="1728" w:type="dxa"/>
          </w:tcPr>
          <w:p w14:paraId="7EA22B11" w14:textId="77777777" w:rsidR="002E7441" w:rsidRDefault="00000000">
            <w:r>
              <w:rPr>
                <w:sz w:val="18"/>
              </w:rPr>
              <w:t>Lightweight backbone design reference</w:t>
            </w:r>
          </w:p>
        </w:tc>
      </w:tr>
      <w:tr w:rsidR="002E7441" w14:paraId="576D5B54" w14:textId="77777777">
        <w:trPr>
          <w:jc w:val="center"/>
        </w:trPr>
        <w:tc>
          <w:tcPr>
            <w:tcW w:w="1728" w:type="dxa"/>
          </w:tcPr>
          <w:p w14:paraId="78BBEF81" w14:textId="77777777" w:rsidR="002E7441" w:rsidRDefault="00000000">
            <w:r>
              <w:rPr>
                <w:sz w:val="18"/>
              </w:rPr>
              <w:t>[13]</w:t>
            </w:r>
          </w:p>
        </w:tc>
        <w:tc>
          <w:tcPr>
            <w:tcW w:w="1728" w:type="dxa"/>
          </w:tcPr>
          <w:p w14:paraId="5CE0254B" w14:textId="77777777" w:rsidR="002E7441" w:rsidRDefault="00000000">
            <w:r>
              <w:rPr>
                <w:sz w:val="18"/>
              </w:rPr>
              <w:t>Lu et al., 2023</w:t>
            </w:r>
          </w:p>
        </w:tc>
        <w:tc>
          <w:tcPr>
            <w:tcW w:w="1728" w:type="dxa"/>
          </w:tcPr>
          <w:p w14:paraId="1E038AC9" w14:textId="77777777" w:rsidR="002E7441" w:rsidRDefault="00000000">
            <w:r>
              <w:rPr>
                <w:sz w:val="18"/>
              </w:rPr>
              <w:t>Algorithm</w:t>
            </w:r>
          </w:p>
        </w:tc>
        <w:tc>
          <w:tcPr>
            <w:tcW w:w="1728" w:type="dxa"/>
          </w:tcPr>
          <w:p w14:paraId="08F00103" w14:textId="77777777" w:rsidR="002E7441" w:rsidRDefault="00000000">
            <w:r>
              <w:rPr>
                <w:sz w:val="18"/>
              </w:rPr>
              <w:t>CNN-BiGRU for rice-disease identification</w:t>
            </w:r>
          </w:p>
        </w:tc>
        <w:tc>
          <w:tcPr>
            <w:tcW w:w="1728" w:type="dxa"/>
          </w:tcPr>
          <w:p w14:paraId="7A638835" w14:textId="77777777" w:rsidR="002E7441" w:rsidRDefault="00000000">
            <w:r>
              <w:rPr>
                <w:sz w:val="18"/>
              </w:rPr>
              <w:t>Direct architectural reference for the audio BiGRU branch</w:t>
            </w:r>
          </w:p>
        </w:tc>
      </w:tr>
      <w:tr w:rsidR="002E7441" w14:paraId="4C71E2D6" w14:textId="77777777">
        <w:trPr>
          <w:jc w:val="center"/>
        </w:trPr>
        <w:tc>
          <w:tcPr>
            <w:tcW w:w="1728" w:type="dxa"/>
          </w:tcPr>
          <w:p w14:paraId="19558BF2" w14:textId="77777777" w:rsidR="002E7441" w:rsidRDefault="00000000">
            <w:r>
              <w:rPr>
                <w:sz w:val="18"/>
              </w:rPr>
              <w:t>[14]</w:t>
            </w:r>
          </w:p>
        </w:tc>
        <w:tc>
          <w:tcPr>
            <w:tcW w:w="1728" w:type="dxa"/>
          </w:tcPr>
          <w:p w14:paraId="01E68202" w14:textId="77777777" w:rsidR="002E7441" w:rsidRDefault="00000000">
            <w:r>
              <w:rPr>
                <w:sz w:val="18"/>
              </w:rPr>
              <w:t>Kamalesh Kanna et al., 2024</w:t>
            </w:r>
          </w:p>
        </w:tc>
        <w:tc>
          <w:tcPr>
            <w:tcW w:w="1728" w:type="dxa"/>
          </w:tcPr>
          <w:p w14:paraId="031637F5" w14:textId="77777777" w:rsidR="002E7441" w:rsidRDefault="00000000">
            <w:r>
              <w:rPr>
                <w:sz w:val="18"/>
              </w:rPr>
              <w:t>Algorithm</w:t>
            </w:r>
          </w:p>
        </w:tc>
        <w:tc>
          <w:tcPr>
            <w:tcW w:w="1728" w:type="dxa"/>
          </w:tcPr>
          <w:p w14:paraId="066D7273" w14:textId="77777777" w:rsidR="002E7441" w:rsidRDefault="00000000">
            <w:r>
              <w:rPr>
                <w:sz w:val="18"/>
              </w:rPr>
              <w:t>Comparative review of YOLO versions in agriculture</w:t>
            </w:r>
          </w:p>
        </w:tc>
        <w:tc>
          <w:tcPr>
            <w:tcW w:w="1728" w:type="dxa"/>
          </w:tcPr>
          <w:p w14:paraId="2FCC51FB" w14:textId="77777777" w:rsidR="002E7441" w:rsidRDefault="00000000">
            <w:r>
              <w:rPr>
                <w:sz w:val="18"/>
              </w:rPr>
              <w:t>Guides choice of lightweight YOLO variant</w:t>
            </w:r>
          </w:p>
        </w:tc>
      </w:tr>
      <w:tr w:rsidR="002E7441" w14:paraId="025306E4" w14:textId="77777777">
        <w:trPr>
          <w:jc w:val="center"/>
        </w:trPr>
        <w:tc>
          <w:tcPr>
            <w:tcW w:w="1728" w:type="dxa"/>
          </w:tcPr>
          <w:p w14:paraId="481817E7" w14:textId="77777777" w:rsidR="002E7441" w:rsidRDefault="00000000">
            <w:r>
              <w:rPr>
                <w:sz w:val="18"/>
              </w:rPr>
              <w:t>[15]</w:t>
            </w:r>
          </w:p>
        </w:tc>
        <w:tc>
          <w:tcPr>
            <w:tcW w:w="1728" w:type="dxa"/>
          </w:tcPr>
          <w:p w14:paraId="5F59C724" w14:textId="77777777" w:rsidR="002E7441" w:rsidRDefault="00000000">
            <w:r>
              <w:rPr>
                <w:sz w:val="18"/>
              </w:rPr>
              <w:t>Wang et al., 2021</w:t>
            </w:r>
          </w:p>
        </w:tc>
        <w:tc>
          <w:tcPr>
            <w:tcW w:w="1728" w:type="dxa"/>
          </w:tcPr>
          <w:p w14:paraId="1239A232" w14:textId="77777777" w:rsidR="002E7441" w:rsidRDefault="00000000">
            <w:r>
              <w:rPr>
                <w:sz w:val="18"/>
              </w:rPr>
              <w:t>Algorithm</w:t>
            </w:r>
          </w:p>
        </w:tc>
        <w:tc>
          <w:tcPr>
            <w:tcW w:w="1728" w:type="dxa"/>
          </w:tcPr>
          <w:p w14:paraId="48102424" w14:textId="77777777" w:rsidR="002E7441" w:rsidRDefault="00000000">
            <w:r>
              <w:rPr>
                <w:sz w:val="18"/>
              </w:rPr>
              <w:t>Fibre-optic DAS + ANN/CNN RPW classification (&gt;99% acc.)</w:t>
            </w:r>
          </w:p>
        </w:tc>
        <w:tc>
          <w:tcPr>
            <w:tcW w:w="1728" w:type="dxa"/>
          </w:tcPr>
          <w:p w14:paraId="2E4759F6" w14:textId="77777777" w:rsidR="002E7441" w:rsidRDefault="00000000">
            <w:r>
              <w:rPr>
                <w:sz w:val="18"/>
              </w:rPr>
              <w:t>Confirms neural classifiers suit RPW acoustic features</w:t>
            </w:r>
          </w:p>
        </w:tc>
      </w:tr>
      <w:tr w:rsidR="002E7441" w14:paraId="45262CB4" w14:textId="77777777">
        <w:trPr>
          <w:jc w:val="center"/>
        </w:trPr>
        <w:tc>
          <w:tcPr>
            <w:tcW w:w="1728" w:type="dxa"/>
          </w:tcPr>
          <w:p w14:paraId="463C081C" w14:textId="77777777" w:rsidR="002E7441" w:rsidRDefault="00000000">
            <w:r>
              <w:rPr>
                <w:sz w:val="18"/>
              </w:rPr>
              <w:t>[16]</w:t>
            </w:r>
          </w:p>
        </w:tc>
        <w:tc>
          <w:tcPr>
            <w:tcW w:w="1728" w:type="dxa"/>
          </w:tcPr>
          <w:p w14:paraId="080FE542" w14:textId="77777777" w:rsidR="002E7441" w:rsidRDefault="00000000">
            <w:r>
              <w:rPr>
                <w:sz w:val="18"/>
              </w:rPr>
              <w:t>Susan T et al. (RED-BIYO), 2026</w:t>
            </w:r>
          </w:p>
        </w:tc>
        <w:tc>
          <w:tcPr>
            <w:tcW w:w="1728" w:type="dxa"/>
          </w:tcPr>
          <w:p w14:paraId="64DAB93D" w14:textId="77777777" w:rsidR="002E7441" w:rsidRDefault="00000000">
            <w:r>
              <w:rPr>
                <w:sz w:val="18"/>
              </w:rPr>
              <w:t>Bimodal system</w:t>
            </w:r>
          </w:p>
        </w:tc>
        <w:tc>
          <w:tcPr>
            <w:tcW w:w="1728" w:type="dxa"/>
          </w:tcPr>
          <w:p w14:paraId="36015611" w14:textId="77777777" w:rsidR="002E7441" w:rsidRDefault="00000000">
            <w:r>
              <w:rPr>
                <w:sz w:val="18"/>
              </w:rPr>
              <w:t>YOLOv9 (stem image) + SCNN-BiGRU (audio) fused by Mamdani fuzzy logic; 99.54% accuracy</w:t>
            </w:r>
          </w:p>
        </w:tc>
        <w:tc>
          <w:tcPr>
            <w:tcW w:w="1728" w:type="dxa"/>
          </w:tcPr>
          <w:p w14:paraId="6C4F9C25" w14:textId="77777777" w:rsidR="002E7441" w:rsidRDefault="00000000">
            <w:r>
              <w:rPr>
                <w:sz w:val="18"/>
              </w:rPr>
              <w:t>Closest prior system; direct precedent for fusion design</w:t>
            </w:r>
          </w:p>
        </w:tc>
      </w:tr>
      <w:tr w:rsidR="002E7441" w14:paraId="750E33C9" w14:textId="77777777">
        <w:trPr>
          <w:jc w:val="center"/>
        </w:trPr>
        <w:tc>
          <w:tcPr>
            <w:tcW w:w="1728" w:type="dxa"/>
          </w:tcPr>
          <w:p w14:paraId="648DD991" w14:textId="77777777" w:rsidR="002E7441" w:rsidRDefault="00000000">
            <w:r>
              <w:rPr>
                <w:sz w:val="18"/>
              </w:rPr>
              <w:t>[17]</w:t>
            </w:r>
          </w:p>
        </w:tc>
        <w:tc>
          <w:tcPr>
            <w:tcW w:w="1728" w:type="dxa"/>
          </w:tcPr>
          <w:p w14:paraId="30E08A42" w14:textId="77777777" w:rsidR="002E7441" w:rsidRDefault="00000000">
            <w:r>
              <w:rPr>
                <w:sz w:val="18"/>
              </w:rPr>
              <w:t>Stephen, Martin &amp; Rajesh, 2026</w:t>
            </w:r>
          </w:p>
        </w:tc>
        <w:tc>
          <w:tcPr>
            <w:tcW w:w="1728" w:type="dxa"/>
          </w:tcPr>
          <w:p w14:paraId="3124E61C" w14:textId="77777777" w:rsidR="002E7441" w:rsidRDefault="00000000">
            <w:r>
              <w:rPr>
                <w:sz w:val="18"/>
              </w:rPr>
              <w:t>Bimodal system</w:t>
            </w:r>
          </w:p>
        </w:tc>
        <w:tc>
          <w:tcPr>
            <w:tcW w:w="1728" w:type="dxa"/>
          </w:tcPr>
          <w:p w14:paraId="6F9C9BBB" w14:textId="77777777" w:rsidR="002E7441" w:rsidRDefault="00000000">
            <w:r>
              <w:rPr>
                <w:sz w:val="18"/>
              </w:rPr>
              <w:t>Attention-guided acoustic classifier + sensor-guided transformer fused by adaptive Kalman filter; 96.2% accuracy</w:t>
            </w:r>
          </w:p>
        </w:tc>
        <w:tc>
          <w:tcPr>
            <w:tcW w:w="1728" w:type="dxa"/>
          </w:tcPr>
          <w:p w14:paraId="660F53C9" w14:textId="77777777" w:rsidR="002E7441" w:rsidRDefault="00000000">
            <w:r>
              <w:rPr>
                <w:sz w:val="18"/>
              </w:rPr>
              <w:t>Precedent for confidence-weighted fusion logic</w:t>
            </w:r>
          </w:p>
        </w:tc>
      </w:tr>
      <w:tr w:rsidR="002E7441" w14:paraId="54F28DD1" w14:textId="77777777">
        <w:trPr>
          <w:jc w:val="center"/>
        </w:trPr>
        <w:tc>
          <w:tcPr>
            <w:tcW w:w="1728" w:type="dxa"/>
          </w:tcPr>
          <w:p w14:paraId="3CE5AA32" w14:textId="77777777" w:rsidR="002E7441" w:rsidRDefault="00000000">
            <w:r>
              <w:rPr>
                <w:sz w:val="18"/>
              </w:rPr>
              <w:t>[18]</w:t>
            </w:r>
          </w:p>
        </w:tc>
        <w:tc>
          <w:tcPr>
            <w:tcW w:w="1728" w:type="dxa"/>
          </w:tcPr>
          <w:p w14:paraId="51BF0386" w14:textId="77777777" w:rsidR="002E7441" w:rsidRDefault="00000000">
            <w:r>
              <w:rPr>
                <w:sz w:val="18"/>
              </w:rPr>
              <w:t>Saranya &amp; Martin, 2025</w:t>
            </w:r>
          </w:p>
        </w:tc>
        <w:tc>
          <w:tcPr>
            <w:tcW w:w="1728" w:type="dxa"/>
          </w:tcPr>
          <w:p w14:paraId="27F710D6" w14:textId="77777777" w:rsidR="002E7441" w:rsidRDefault="00000000">
            <w:r>
              <w:rPr>
                <w:sz w:val="18"/>
              </w:rPr>
              <w:t>Algorithm</w:t>
            </w:r>
          </w:p>
        </w:tc>
        <w:tc>
          <w:tcPr>
            <w:tcW w:w="1728" w:type="dxa"/>
          </w:tcPr>
          <w:p w14:paraId="4C4D9D76" w14:textId="77777777" w:rsidR="002E7441" w:rsidRDefault="00000000">
            <w:r>
              <w:rPr>
                <w:sz w:val="18"/>
              </w:rPr>
              <w:t>LPC + cosine similarity + Bi-LSTM acoustic classifier; 98.02% accuracy</w:t>
            </w:r>
          </w:p>
        </w:tc>
        <w:tc>
          <w:tcPr>
            <w:tcW w:w="1728" w:type="dxa"/>
          </w:tcPr>
          <w:p w14:paraId="589E88CA" w14:textId="77777777" w:rsidR="002E7441" w:rsidRDefault="00000000">
            <w:r>
              <w:rPr>
                <w:sz w:val="18"/>
              </w:rPr>
              <w:t>Alternative audio-branch architecture reference</w:t>
            </w:r>
          </w:p>
        </w:tc>
      </w:tr>
    </w:tbl>
    <w:p w14:paraId="78375BFF" w14:textId="77777777" w:rsidR="002E7441" w:rsidRDefault="002E7441"/>
    <w:p w14:paraId="7ED13401" w14:textId="77777777" w:rsidR="002E7441" w:rsidRDefault="00000000">
      <w:pPr>
        <w:pStyle w:val="Heading1"/>
      </w:pPr>
      <w:r>
        <w:t>2. Dataset Identified for the Problem Area</w:t>
      </w:r>
    </w:p>
    <w:p w14:paraId="3AC4F9A2" w14:textId="77777777" w:rsidR="002E7441" w:rsidRDefault="00000000">
      <w:r>
        <w:t>Two publicly available datasets, one per modality, were identified as the primary data sources for this study, matching the bimodal (audio + RGB-image) design of the proposed system.</w:t>
      </w:r>
    </w:p>
    <w:p w14:paraId="31A98BA7" w14:textId="77777777" w:rsidR="002E7441" w:rsidRDefault="00000000">
      <w:pPr>
        <w:pStyle w:val="Heading2"/>
      </w:pPr>
      <w:r>
        <w:lastRenderedPageBreak/>
        <w:t>2.1 Acoustic Dataset — TreeVibes (Kaggle)</w:t>
      </w:r>
    </w:p>
    <w:p w14:paraId="505F4A4D" w14:textId="77777777" w:rsidR="002E7441" w:rsidRDefault="00000000">
      <w:r>
        <w:t>Source: https://www.kaggle.com/datasets/potamitis/treevibes/data. TreeVibes is a labelled collection of trunk-mounted acoustic recordings from infested and non-infested palm and other borer-susceptible trees, distributed by I. Potamitis and formally described as a monitoring platform by Rigakis et al. [6] in Smart Cities. Recordings are captured via cloud-connected sensor nodes across a range of tree species, locations, and seasons, and have been reused in multiple acoustic RPW-detection studies reviewed in Section 1 (e.g., Boulila et al. [8], Wang et al. [15]) as a reproducible benchmark for training spectrogram-based larval-activity classifiers. As an audio-only resource, it carries no paired visual data for the same trees, which is why a second, image-based dataset is required for the RGB branch of the proposed system.</w:t>
      </w:r>
    </w:p>
    <w:p w14:paraId="72B2547F" w14:textId="77777777" w:rsidR="002E7441" w:rsidRDefault="00000000">
      <w:pPr>
        <w:pStyle w:val="Heading2"/>
      </w:pPr>
      <w:r>
        <w:t>2.2 Visual Dataset — Red Palm Weevil Object Detection Dataset (Roboflow Universe)</w:t>
      </w:r>
    </w:p>
    <w:p w14:paraId="3E6074E3" w14:textId="77777777" w:rsidR="002E7441" w:rsidRDefault="00000000">
      <w:r>
        <w:t>Source: https://universe.roboflow.com/enis-w5nbu/red-palm-weevil-yfykp. This is a community-maintained, bounding-box-annotated RGB image dataset of red palm weevils and infestation symptoms, exported in YOLO-compatible formats (YOLOv5 through YOLOv12, plus COCO/TFRecord/Darknet variants), making it directly usable to train the YOLO/RetinaNet-family visual detector proposed for this study. It is comparable in purpose to the purpose-built RGB datasets described in the literature, such as the ~2,600-image dataset of Wu et al. [9] used to train an attention-enhanced YOLOv5 detector, and the paired RGB-thermal dataset of Nadeem et al. [10]; both are noted here as alternative or supplementary visual sources should broader class coverage or larger sample counts be required.</w:t>
      </w:r>
    </w:p>
    <w:p w14:paraId="1570FFE9" w14:textId="77777777" w:rsidR="002E7441" w:rsidRDefault="00000000">
      <w:r>
        <w:t>Together, these two datasets provide independently-sourced, single-modality data for the audio and visual branches respectively; consistent with the research gap identified in Section 5, they are not paired on the same trees, so model-level fusion (rather than data-level pairing) is the appropriate integration strategy for the proposed system.</w:t>
      </w:r>
    </w:p>
    <w:p w14:paraId="2B164026" w14:textId="77777777" w:rsidR="002E7441" w:rsidRDefault="00000000">
      <w:pPr>
        <w:pStyle w:val="Heading1"/>
      </w:pPr>
      <w:r>
        <w:t>3. Performance Metrics Identified from Papers, with Formulae</w:t>
      </w:r>
    </w:p>
    <w:p w14:paraId="0FA7B59E" w14:textId="77777777" w:rsidR="002E7441" w:rsidRDefault="00000000">
      <w:r>
        <w:t>Across the eighteen papers studied, nine performance metrics recur for evaluating classification and detection models. Table 2 lists each metric, its formula (TP = true positive, TN = true negative, FP = false positive, FN = false negative), and the papers in which it is used.</w:t>
      </w:r>
    </w:p>
    <w:tbl>
      <w:tblPr>
        <w:tblStyle w:val="TableGrid"/>
        <w:tblW w:w="0" w:type="auto"/>
        <w:jc w:val="center"/>
        <w:tblLook w:val="04A0" w:firstRow="1" w:lastRow="0" w:firstColumn="1" w:lastColumn="0" w:noHBand="0" w:noVBand="1"/>
      </w:tblPr>
      <w:tblGrid>
        <w:gridCol w:w="2880"/>
        <w:gridCol w:w="2929"/>
        <w:gridCol w:w="2880"/>
      </w:tblGrid>
      <w:tr w:rsidR="002E7441" w14:paraId="0DA99CEC" w14:textId="77777777">
        <w:trPr>
          <w:jc w:val="center"/>
        </w:trPr>
        <w:tc>
          <w:tcPr>
            <w:tcW w:w="2880" w:type="dxa"/>
            <w:shd w:val="clear" w:color="auto" w:fill="D9E2F3"/>
          </w:tcPr>
          <w:p w14:paraId="2FEF30A3" w14:textId="77777777" w:rsidR="002E7441" w:rsidRDefault="00000000">
            <w:r>
              <w:rPr>
                <w:b/>
                <w:sz w:val="18"/>
              </w:rPr>
              <w:t>Metric</w:t>
            </w:r>
          </w:p>
        </w:tc>
        <w:tc>
          <w:tcPr>
            <w:tcW w:w="2880" w:type="dxa"/>
            <w:shd w:val="clear" w:color="auto" w:fill="D9E2F3"/>
          </w:tcPr>
          <w:p w14:paraId="0629A693" w14:textId="77777777" w:rsidR="002E7441" w:rsidRDefault="00000000">
            <w:r>
              <w:rPr>
                <w:b/>
                <w:sz w:val="18"/>
              </w:rPr>
              <w:t>Formula</w:t>
            </w:r>
          </w:p>
        </w:tc>
        <w:tc>
          <w:tcPr>
            <w:tcW w:w="2880" w:type="dxa"/>
            <w:shd w:val="clear" w:color="auto" w:fill="D9E2F3"/>
          </w:tcPr>
          <w:p w14:paraId="06E80237" w14:textId="77777777" w:rsidR="002E7441" w:rsidRDefault="00000000">
            <w:r>
              <w:rPr>
                <w:b/>
                <w:sz w:val="18"/>
              </w:rPr>
              <w:t>Papers Using It</w:t>
            </w:r>
          </w:p>
        </w:tc>
      </w:tr>
      <w:tr w:rsidR="002E7441" w14:paraId="271226C9" w14:textId="77777777">
        <w:trPr>
          <w:jc w:val="center"/>
        </w:trPr>
        <w:tc>
          <w:tcPr>
            <w:tcW w:w="2880" w:type="dxa"/>
          </w:tcPr>
          <w:p w14:paraId="3EF5D244" w14:textId="77777777" w:rsidR="002E7441" w:rsidRDefault="00000000">
            <w:r>
              <w:rPr>
                <w:sz w:val="18"/>
              </w:rPr>
              <w:t>Accuracy (AC)</w:t>
            </w:r>
          </w:p>
        </w:tc>
        <w:tc>
          <w:tcPr>
            <w:tcW w:w="2880" w:type="dxa"/>
          </w:tcPr>
          <w:p w14:paraId="77904DF2" w14:textId="77777777" w:rsidR="002E7441" w:rsidRDefault="00000000">
            <w:r>
              <w:rPr>
                <w:sz w:val="18"/>
              </w:rPr>
              <w:t>(TP + TN) / (TP + TN + FP + FN)</w:t>
            </w:r>
          </w:p>
        </w:tc>
        <w:tc>
          <w:tcPr>
            <w:tcW w:w="2880" w:type="dxa"/>
          </w:tcPr>
          <w:p w14:paraId="760B358C" w14:textId="77777777" w:rsidR="002E7441" w:rsidRDefault="00000000">
            <w:r>
              <w:rPr>
                <w:sz w:val="18"/>
              </w:rPr>
              <w:t>[1]-[18], reported in nearly all</w:t>
            </w:r>
          </w:p>
        </w:tc>
      </w:tr>
      <w:tr w:rsidR="002E7441" w14:paraId="0F44EAEA" w14:textId="77777777">
        <w:trPr>
          <w:jc w:val="center"/>
        </w:trPr>
        <w:tc>
          <w:tcPr>
            <w:tcW w:w="2880" w:type="dxa"/>
          </w:tcPr>
          <w:p w14:paraId="7E66A849" w14:textId="77777777" w:rsidR="002E7441" w:rsidRDefault="00000000">
            <w:r>
              <w:rPr>
                <w:sz w:val="18"/>
              </w:rPr>
              <w:t>Precision (PRE)</w:t>
            </w:r>
          </w:p>
        </w:tc>
        <w:tc>
          <w:tcPr>
            <w:tcW w:w="2880" w:type="dxa"/>
          </w:tcPr>
          <w:p w14:paraId="4352EC5C" w14:textId="77777777" w:rsidR="002E7441" w:rsidRDefault="00000000">
            <w:r>
              <w:rPr>
                <w:sz w:val="18"/>
              </w:rPr>
              <w:t>TP / (TP + FP)</w:t>
            </w:r>
          </w:p>
        </w:tc>
        <w:tc>
          <w:tcPr>
            <w:tcW w:w="2880" w:type="dxa"/>
          </w:tcPr>
          <w:p w14:paraId="5F42585E" w14:textId="77777777" w:rsidR="002E7441" w:rsidRDefault="00000000">
            <w:r>
              <w:rPr>
                <w:sz w:val="18"/>
              </w:rPr>
              <w:t>[9],[16],[17],[18]</w:t>
            </w:r>
          </w:p>
        </w:tc>
      </w:tr>
      <w:tr w:rsidR="002E7441" w14:paraId="098D4EA5" w14:textId="77777777">
        <w:trPr>
          <w:jc w:val="center"/>
        </w:trPr>
        <w:tc>
          <w:tcPr>
            <w:tcW w:w="2880" w:type="dxa"/>
          </w:tcPr>
          <w:p w14:paraId="61F4C189" w14:textId="77777777" w:rsidR="002E7441" w:rsidRDefault="00000000">
            <w:r>
              <w:rPr>
                <w:sz w:val="18"/>
              </w:rPr>
              <w:t>Recall / Sensitivity (REC)</w:t>
            </w:r>
          </w:p>
        </w:tc>
        <w:tc>
          <w:tcPr>
            <w:tcW w:w="2880" w:type="dxa"/>
          </w:tcPr>
          <w:p w14:paraId="05B19D42" w14:textId="77777777" w:rsidR="002E7441" w:rsidRDefault="00000000">
            <w:r>
              <w:rPr>
                <w:sz w:val="18"/>
              </w:rPr>
              <w:t>TP / (TP + FN)</w:t>
            </w:r>
          </w:p>
        </w:tc>
        <w:tc>
          <w:tcPr>
            <w:tcW w:w="2880" w:type="dxa"/>
          </w:tcPr>
          <w:p w14:paraId="09EAA374" w14:textId="77777777" w:rsidR="002E7441" w:rsidRDefault="00000000">
            <w:r>
              <w:rPr>
                <w:sz w:val="18"/>
              </w:rPr>
              <w:t>[9],[16],[17],[18]</w:t>
            </w:r>
          </w:p>
        </w:tc>
      </w:tr>
      <w:tr w:rsidR="002E7441" w14:paraId="2C3A24A8" w14:textId="77777777">
        <w:trPr>
          <w:jc w:val="center"/>
        </w:trPr>
        <w:tc>
          <w:tcPr>
            <w:tcW w:w="2880" w:type="dxa"/>
          </w:tcPr>
          <w:p w14:paraId="0D0EB795" w14:textId="77777777" w:rsidR="002E7441" w:rsidRDefault="00000000">
            <w:r>
              <w:rPr>
                <w:sz w:val="18"/>
              </w:rPr>
              <w:t>Specificity (SPE)</w:t>
            </w:r>
          </w:p>
        </w:tc>
        <w:tc>
          <w:tcPr>
            <w:tcW w:w="2880" w:type="dxa"/>
          </w:tcPr>
          <w:p w14:paraId="08A585FB" w14:textId="77777777" w:rsidR="002E7441" w:rsidRDefault="00000000">
            <w:r>
              <w:rPr>
                <w:sz w:val="18"/>
              </w:rPr>
              <w:t>TN / (TN + FP)</w:t>
            </w:r>
          </w:p>
        </w:tc>
        <w:tc>
          <w:tcPr>
            <w:tcW w:w="2880" w:type="dxa"/>
          </w:tcPr>
          <w:p w14:paraId="5111A029" w14:textId="77777777" w:rsidR="002E7441" w:rsidRDefault="00000000">
            <w:r>
              <w:rPr>
                <w:sz w:val="18"/>
              </w:rPr>
              <w:t>[16],[17]</w:t>
            </w:r>
          </w:p>
        </w:tc>
      </w:tr>
      <w:tr w:rsidR="002E7441" w14:paraId="7F478054" w14:textId="77777777">
        <w:trPr>
          <w:jc w:val="center"/>
        </w:trPr>
        <w:tc>
          <w:tcPr>
            <w:tcW w:w="2880" w:type="dxa"/>
          </w:tcPr>
          <w:p w14:paraId="4D9CF9C0" w14:textId="77777777" w:rsidR="002E7441" w:rsidRDefault="00000000">
            <w:r>
              <w:rPr>
                <w:sz w:val="18"/>
              </w:rPr>
              <w:t>F1-score (F1)</w:t>
            </w:r>
          </w:p>
        </w:tc>
        <w:tc>
          <w:tcPr>
            <w:tcW w:w="2880" w:type="dxa"/>
          </w:tcPr>
          <w:p w14:paraId="1A2627D9" w14:textId="77777777" w:rsidR="002E7441" w:rsidRDefault="00000000">
            <w:r>
              <w:rPr>
                <w:sz w:val="18"/>
              </w:rPr>
              <w:t>2 x (PRE x REC) / (PRE + REC)</w:t>
            </w:r>
          </w:p>
        </w:tc>
        <w:tc>
          <w:tcPr>
            <w:tcW w:w="2880" w:type="dxa"/>
          </w:tcPr>
          <w:p w14:paraId="44D3754A" w14:textId="77777777" w:rsidR="002E7441" w:rsidRDefault="00000000">
            <w:r>
              <w:rPr>
                <w:sz w:val="18"/>
              </w:rPr>
              <w:t>[9],[16],[17],[18]</w:t>
            </w:r>
          </w:p>
        </w:tc>
      </w:tr>
      <w:tr w:rsidR="002E7441" w14:paraId="2ED6EC86" w14:textId="77777777">
        <w:trPr>
          <w:jc w:val="center"/>
        </w:trPr>
        <w:tc>
          <w:tcPr>
            <w:tcW w:w="2880" w:type="dxa"/>
          </w:tcPr>
          <w:p w14:paraId="75131EA8" w14:textId="77777777" w:rsidR="002E7441" w:rsidRDefault="00000000">
            <w:r>
              <w:rPr>
                <w:sz w:val="18"/>
              </w:rPr>
              <w:t>Matthews Correlation Coefficient (MCC)</w:t>
            </w:r>
          </w:p>
        </w:tc>
        <w:tc>
          <w:tcPr>
            <w:tcW w:w="2880" w:type="dxa"/>
          </w:tcPr>
          <w:p w14:paraId="798C14E1" w14:textId="77777777" w:rsidR="002E7441" w:rsidRDefault="00000000">
            <w:r>
              <w:rPr>
                <w:sz w:val="18"/>
              </w:rPr>
              <w:t>(TP.TN - FP.FN) / sqrt[(TP+FP)(TP+FN)(TN+FP)(TN+FN)]</w:t>
            </w:r>
          </w:p>
        </w:tc>
        <w:tc>
          <w:tcPr>
            <w:tcW w:w="2880" w:type="dxa"/>
          </w:tcPr>
          <w:p w14:paraId="0E09F3B4" w14:textId="77777777" w:rsidR="002E7441" w:rsidRDefault="00000000">
            <w:r>
              <w:rPr>
                <w:sz w:val="18"/>
              </w:rPr>
              <w:t>[16]; formal justification in Chicco &amp; Jurman (2020, BMC Genomics) and Chicco et al. (2021, BioData Mining)</w:t>
            </w:r>
          </w:p>
        </w:tc>
      </w:tr>
      <w:tr w:rsidR="002E7441" w14:paraId="0B1D46C8" w14:textId="77777777">
        <w:trPr>
          <w:jc w:val="center"/>
        </w:trPr>
        <w:tc>
          <w:tcPr>
            <w:tcW w:w="2880" w:type="dxa"/>
          </w:tcPr>
          <w:p w14:paraId="063CAA00" w14:textId="77777777" w:rsidR="002E7441" w:rsidRDefault="00000000">
            <w:r>
              <w:rPr>
                <w:sz w:val="18"/>
              </w:rPr>
              <w:t>ROC-AUC</w:t>
            </w:r>
          </w:p>
        </w:tc>
        <w:tc>
          <w:tcPr>
            <w:tcW w:w="2880" w:type="dxa"/>
          </w:tcPr>
          <w:p w14:paraId="605262E4" w14:textId="77777777" w:rsidR="002E7441" w:rsidRDefault="00000000">
            <w:r>
              <w:rPr>
                <w:sz w:val="18"/>
              </w:rPr>
              <w:t xml:space="preserve">Area under the True-Positive-Rate vs. False-Positive-Rate curve across </w:t>
            </w:r>
            <w:r>
              <w:rPr>
                <w:sz w:val="18"/>
              </w:rPr>
              <w:lastRenderedPageBreak/>
              <w:t>decision thresholds</w:t>
            </w:r>
          </w:p>
        </w:tc>
        <w:tc>
          <w:tcPr>
            <w:tcW w:w="2880" w:type="dxa"/>
          </w:tcPr>
          <w:p w14:paraId="53A8BB10" w14:textId="77777777" w:rsidR="002E7441" w:rsidRDefault="00000000">
            <w:r>
              <w:rPr>
                <w:sz w:val="18"/>
              </w:rPr>
              <w:lastRenderedPageBreak/>
              <w:t>[17]</w:t>
            </w:r>
          </w:p>
        </w:tc>
      </w:tr>
      <w:tr w:rsidR="002E7441" w14:paraId="179E5ABA" w14:textId="77777777">
        <w:trPr>
          <w:jc w:val="center"/>
        </w:trPr>
        <w:tc>
          <w:tcPr>
            <w:tcW w:w="2880" w:type="dxa"/>
          </w:tcPr>
          <w:p w14:paraId="7D3124B2" w14:textId="77777777" w:rsidR="002E7441" w:rsidRDefault="00000000">
            <w:r>
              <w:rPr>
                <w:sz w:val="18"/>
              </w:rPr>
              <w:t>Mean Average Precision (mAP)</w:t>
            </w:r>
          </w:p>
        </w:tc>
        <w:tc>
          <w:tcPr>
            <w:tcW w:w="2880" w:type="dxa"/>
          </w:tcPr>
          <w:p w14:paraId="6159A9C9" w14:textId="77777777" w:rsidR="002E7441" w:rsidRDefault="00000000">
            <w:r>
              <w:rPr>
                <w:sz w:val="18"/>
              </w:rPr>
              <w:t>mAP = (1/N) x sum of Average Precision (AP) over N classes, where AP is the area under the Precision-Recall curve</w:t>
            </w:r>
          </w:p>
        </w:tc>
        <w:tc>
          <w:tcPr>
            <w:tcW w:w="2880" w:type="dxa"/>
          </w:tcPr>
          <w:p w14:paraId="47D37E3A" w14:textId="77777777" w:rsidR="002E7441" w:rsidRDefault="00000000">
            <w:r>
              <w:rPr>
                <w:sz w:val="18"/>
              </w:rPr>
              <w:t>[9],[11],[12]</w:t>
            </w:r>
          </w:p>
        </w:tc>
      </w:tr>
      <w:tr w:rsidR="002E7441" w14:paraId="69105142" w14:textId="77777777">
        <w:trPr>
          <w:jc w:val="center"/>
        </w:trPr>
        <w:tc>
          <w:tcPr>
            <w:tcW w:w="2880" w:type="dxa"/>
          </w:tcPr>
          <w:p w14:paraId="310B5B60" w14:textId="77777777" w:rsidR="002E7441" w:rsidRDefault="00000000">
            <w:r>
              <w:rPr>
                <w:sz w:val="18"/>
              </w:rPr>
              <w:t>Intersection over Union (IoU)</w:t>
            </w:r>
          </w:p>
        </w:tc>
        <w:tc>
          <w:tcPr>
            <w:tcW w:w="2880" w:type="dxa"/>
          </w:tcPr>
          <w:p w14:paraId="1BBD487F" w14:textId="77777777" w:rsidR="002E7441" w:rsidRDefault="00000000">
            <w:r>
              <w:rPr>
                <w:sz w:val="18"/>
              </w:rPr>
              <w:t>Area of Overlap(predicted box, ground-truth box) / Area of Union(predicted box, ground-truth box)</w:t>
            </w:r>
          </w:p>
        </w:tc>
        <w:tc>
          <w:tcPr>
            <w:tcW w:w="2880" w:type="dxa"/>
          </w:tcPr>
          <w:p w14:paraId="4792E2B7" w14:textId="77777777" w:rsidR="002E7441" w:rsidRDefault="00000000">
            <w:r>
              <w:rPr>
                <w:sz w:val="18"/>
              </w:rPr>
              <w:t>[9],[11],[12], underlies mAP@0.5 / mAP@0.5:0.95 thresholds</w:t>
            </w:r>
          </w:p>
        </w:tc>
      </w:tr>
    </w:tbl>
    <w:p w14:paraId="320A3575" w14:textId="77777777" w:rsidR="002E7441" w:rsidRDefault="002E7441"/>
    <w:p w14:paraId="4CB1933C" w14:textId="77777777" w:rsidR="002E7441" w:rsidRDefault="00000000">
      <w:r>
        <w:t>Two additional confusion-matrix-derived quantities appear as intermediate terms in the fuzzy and Kalman-filter fusion papers: the fuzzy Mamdani decision threshold used by Susan T et al. [16] (a crisp output above 0.6 triggers a Not-Healthy alert), and the adaptive Kalman gain used by Stephen et al. [17] to weight each modality's contribution to the fused infestation probability in inverse proportion to its measurement noise variance.</w:t>
      </w:r>
    </w:p>
    <w:p w14:paraId="536A3472" w14:textId="77777777" w:rsidR="002E7441" w:rsidRDefault="00000000">
      <w:pPr>
        <w:pStyle w:val="Heading1"/>
      </w:pPr>
      <w:r>
        <w:t>4. Performance Metrics Experimental Setup as Presented in Papers</w:t>
      </w:r>
    </w:p>
    <w:p w14:paraId="2C6AD67A" w14:textId="77777777" w:rsidR="002E7441" w:rsidRDefault="00000000">
      <w:r>
        <w:t>Table 3 summarises how the three most directly comparable bimodal/algorithmic papers ([16], [17], [18]) set up their evaluation, since these closely parallel the evaluation protocol required for the proposed system.</w:t>
      </w:r>
    </w:p>
    <w:tbl>
      <w:tblPr>
        <w:tblStyle w:val="TableGrid"/>
        <w:tblW w:w="0" w:type="auto"/>
        <w:jc w:val="center"/>
        <w:tblLook w:val="04A0" w:firstRow="1" w:lastRow="0" w:firstColumn="1" w:lastColumn="0" w:noHBand="0" w:noVBand="1"/>
      </w:tblPr>
      <w:tblGrid>
        <w:gridCol w:w="1440"/>
        <w:gridCol w:w="1440"/>
        <w:gridCol w:w="1440"/>
        <w:gridCol w:w="1440"/>
        <w:gridCol w:w="1632"/>
        <w:gridCol w:w="1440"/>
      </w:tblGrid>
      <w:tr w:rsidR="002E7441" w14:paraId="1E52ECA3" w14:textId="77777777">
        <w:trPr>
          <w:jc w:val="center"/>
        </w:trPr>
        <w:tc>
          <w:tcPr>
            <w:tcW w:w="1440" w:type="dxa"/>
            <w:shd w:val="clear" w:color="auto" w:fill="D9E2F3"/>
          </w:tcPr>
          <w:p w14:paraId="19B2D0BA" w14:textId="77777777" w:rsidR="002E7441" w:rsidRDefault="00000000">
            <w:r>
              <w:rPr>
                <w:b/>
                <w:sz w:val="18"/>
              </w:rPr>
              <w:t>Ref</w:t>
            </w:r>
          </w:p>
        </w:tc>
        <w:tc>
          <w:tcPr>
            <w:tcW w:w="1440" w:type="dxa"/>
            <w:shd w:val="clear" w:color="auto" w:fill="D9E2F3"/>
          </w:tcPr>
          <w:p w14:paraId="7BFE3134" w14:textId="77777777" w:rsidR="002E7441" w:rsidRDefault="00000000">
            <w:r>
              <w:rPr>
                <w:b/>
                <w:sz w:val="18"/>
              </w:rPr>
              <w:t>Dataset Size</w:t>
            </w:r>
          </w:p>
        </w:tc>
        <w:tc>
          <w:tcPr>
            <w:tcW w:w="1440" w:type="dxa"/>
            <w:shd w:val="clear" w:color="auto" w:fill="D9E2F3"/>
          </w:tcPr>
          <w:p w14:paraId="61B29C96" w14:textId="77777777" w:rsidR="002E7441" w:rsidRDefault="00000000">
            <w:r>
              <w:rPr>
                <w:b/>
                <w:sz w:val="18"/>
              </w:rPr>
              <w:t>Train/Val/Test Split</w:t>
            </w:r>
          </w:p>
        </w:tc>
        <w:tc>
          <w:tcPr>
            <w:tcW w:w="1440" w:type="dxa"/>
            <w:shd w:val="clear" w:color="auto" w:fill="D9E2F3"/>
          </w:tcPr>
          <w:p w14:paraId="1C2E1AB5" w14:textId="77777777" w:rsidR="002E7441" w:rsidRDefault="00000000">
            <w:r>
              <w:rPr>
                <w:b/>
                <w:sz w:val="18"/>
              </w:rPr>
              <w:t>Validation Strategy</w:t>
            </w:r>
          </w:p>
        </w:tc>
        <w:tc>
          <w:tcPr>
            <w:tcW w:w="1440" w:type="dxa"/>
            <w:shd w:val="clear" w:color="auto" w:fill="D9E2F3"/>
          </w:tcPr>
          <w:p w14:paraId="2FC36108" w14:textId="77777777" w:rsidR="002E7441" w:rsidRDefault="00000000">
            <w:r>
              <w:rPr>
                <w:b/>
                <w:sz w:val="18"/>
              </w:rPr>
              <w:t>Hardware / Platform</w:t>
            </w:r>
          </w:p>
        </w:tc>
        <w:tc>
          <w:tcPr>
            <w:tcW w:w="1440" w:type="dxa"/>
            <w:shd w:val="clear" w:color="auto" w:fill="D9E2F3"/>
          </w:tcPr>
          <w:p w14:paraId="756E2A1F" w14:textId="77777777" w:rsidR="002E7441" w:rsidRDefault="00000000">
            <w:r>
              <w:rPr>
                <w:b/>
                <w:sz w:val="18"/>
              </w:rPr>
              <w:t>Reported Result</w:t>
            </w:r>
          </w:p>
        </w:tc>
      </w:tr>
      <w:tr w:rsidR="002E7441" w14:paraId="5BB30161" w14:textId="77777777">
        <w:trPr>
          <w:jc w:val="center"/>
        </w:trPr>
        <w:tc>
          <w:tcPr>
            <w:tcW w:w="1440" w:type="dxa"/>
          </w:tcPr>
          <w:p w14:paraId="6E4CE8FA" w14:textId="77777777" w:rsidR="002E7441" w:rsidRDefault="00000000">
            <w:r>
              <w:rPr>
                <w:sz w:val="18"/>
              </w:rPr>
              <w:t>[16] RED-BIYO</w:t>
            </w:r>
          </w:p>
        </w:tc>
        <w:tc>
          <w:tcPr>
            <w:tcW w:w="1440" w:type="dxa"/>
          </w:tcPr>
          <w:p w14:paraId="1792AEC4" w14:textId="77777777" w:rsidR="002E7441" w:rsidRDefault="00000000">
            <w:r>
              <w:rPr>
                <w:sz w:val="18"/>
              </w:rPr>
              <w:t>3,000 stem images; 2,400 acoustic clips</w:t>
            </w:r>
          </w:p>
        </w:tc>
        <w:tc>
          <w:tcPr>
            <w:tcW w:w="1440" w:type="dxa"/>
          </w:tcPr>
          <w:p w14:paraId="71475710" w14:textId="77777777" w:rsidR="002E7441" w:rsidRDefault="00000000">
            <w:r>
              <w:rPr>
                <w:sz w:val="18"/>
              </w:rPr>
              <w:t>80% / 10% / 10% per fold</w:t>
            </w:r>
          </w:p>
        </w:tc>
        <w:tc>
          <w:tcPr>
            <w:tcW w:w="1440" w:type="dxa"/>
          </w:tcPr>
          <w:p w14:paraId="58E3F40D" w14:textId="77777777" w:rsidR="002E7441" w:rsidRDefault="00000000">
            <w:r>
              <w:rPr>
                <w:sz w:val="18"/>
              </w:rPr>
              <w:t>5-fold cross-validation, class-balanced, fixed seed</w:t>
            </w:r>
          </w:p>
        </w:tc>
        <w:tc>
          <w:tcPr>
            <w:tcW w:w="1440" w:type="dxa"/>
          </w:tcPr>
          <w:p w14:paraId="3C167EA6" w14:textId="77777777" w:rsidR="002E7441" w:rsidRDefault="00000000">
            <w:r>
              <w:rPr>
                <w:sz w:val="18"/>
              </w:rPr>
              <w:t>Intel i7, 16 GB RAM, NVIDIA RTX 3060 GPU (Spyder/Anaconda)</w:t>
            </w:r>
          </w:p>
        </w:tc>
        <w:tc>
          <w:tcPr>
            <w:tcW w:w="1440" w:type="dxa"/>
          </w:tcPr>
          <w:p w14:paraId="46057DAC" w14:textId="77777777" w:rsidR="002E7441" w:rsidRDefault="00000000">
            <w:r>
              <w:rPr>
                <w:sz w:val="18"/>
              </w:rPr>
              <w:t>Accuracy 99.54%, MCC 97.93%, F1 94.87%</w:t>
            </w:r>
          </w:p>
        </w:tc>
      </w:tr>
      <w:tr w:rsidR="002E7441" w14:paraId="09701BF1" w14:textId="77777777">
        <w:trPr>
          <w:jc w:val="center"/>
        </w:trPr>
        <w:tc>
          <w:tcPr>
            <w:tcW w:w="1440" w:type="dxa"/>
          </w:tcPr>
          <w:p w14:paraId="7D48D488" w14:textId="77777777" w:rsidR="002E7441" w:rsidRDefault="00000000">
            <w:r>
              <w:rPr>
                <w:sz w:val="18"/>
              </w:rPr>
              <w:t>[17] Acoustic-Microwave Fusion</w:t>
            </w:r>
          </w:p>
        </w:tc>
        <w:tc>
          <w:tcPr>
            <w:tcW w:w="1440" w:type="dxa"/>
          </w:tcPr>
          <w:p w14:paraId="6E0E4DA1" w14:textId="77777777" w:rsidR="002E7441" w:rsidRDefault="00000000">
            <w:r>
              <w:rPr>
                <w:sz w:val="18"/>
              </w:rPr>
              <w:t>3,077 acoustic clips (1,332 RPW / 1,745 non-RPW); 2,000 microwave samples (1,000/1,000)</w:t>
            </w:r>
          </w:p>
        </w:tc>
        <w:tc>
          <w:tcPr>
            <w:tcW w:w="1440" w:type="dxa"/>
          </w:tcPr>
          <w:p w14:paraId="35C50CCE" w14:textId="77777777" w:rsidR="002E7441" w:rsidRDefault="00000000">
            <w:r>
              <w:rPr>
                <w:sz w:val="18"/>
              </w:rPr>
              <w:t>80% / 10% / 10%, fixed stratified split (no k-fold)</w:t>
            </w:r>
          </w:p>
        </w:tc>
        <w:tc>
          <w:tcPr>
            <w:tcW w:w="1440" w:type="dxa"/>
          </w:tcPr>
          <w:p w14:paraId="6389034A" w14:textId="77777777" w:rsidR="002E7441" w:rsidRDefault="00000000">
            <w:r>
              <w:rPr>
                <w:sz w:val="18"/>
              </w:rPr>
              <w:t>Single stratified split; ablation across 4 fusion strategies</w:t>
            </w:r>
          </w:p>
        </w:tc>
        <w:tc>
          <w:tcPr>
            <w:tcW w:w="1440" w:type="dxa"/>
          </w:tcPr>
          <w:p w14:paraId="1A502087" w14:textId="77777777" w:rsidR="002E7441" w:rsidRDefault="00000000">
            <w:r>
              <w:rPr>
                <w:sz w:val="18"/>
              </w:rPr>
              <w:t>SDR + CSRR microwave sensor (2.887 GHz); microphone acoustic rig</w:t>
            </w:r>
          </w:p>
        </w:tc>
        <w:tc>
          <w:tcPr>
            <w:tcW w:w="1440" w:type="dxa"/>
          </w:tcPr>
          <w:p w14:paraId="0EFC8B13" w14:textId="77777777" w:rsidR="002E7441" w:rsidRDefault="00000000">
            <w:r>
              <w:rPr>
                <w:sz w:val="18"/>
              </w:rPr>
              <w:t>Acoustic-only 99%, microwave-only 50%, ASKF-fused 96.2%, AUC 0.98</w:t>
            </w:r>
          </w:p>
        </w:tc>
      </w:tr>
      <w:tr w:rsidR="002E7441" w14:paraId="39AC535F" w14:textId="77777777">
        <w:trPr>
          <w:jc w:val="center"/>
        </w:trPr>
        <w:tc>
          <w:tcPr>
            <w:tcW w:w="1440" w:type="dxa"/>
          </w:tcPr>
          <w:p w14:paraId="2CEC9D55" w14:textId="77777777" w:rsidR="002E7441" w:rsidRDefault="00000000">
            <w:r>
              <w:rPr>
                <w:sz w:val="18"/>
              </w:rPr>
              <w:t>[18] LPC + Bi-LSTM</w:t>
            </w:r>
          </w:p>
        </w:tc>
        <w:tc>
          <w:tcPr>
            <w:tcW w:w="1440" w:type="dxa"/>
          </w:tcPr>
          <w:p w14:paraId="0C5C82E0" w14:textId="77777777" w:rsidR="002E7441" w:rsidRDefault="00000000">
            <w:r>
              <w:rPr>
                <w:sz w:val="18"/>
              </w:rPr>
              <w:t>3,000 acoustic segments (1,500 RPW / 1,500 non-RPW)</w:t>
            </w:r>
          </w:p>
        </w:tc>
        <w:tc>
          <w:tcPr>
            <w:tcW w:w="1440" w:type="dxa"/>
          </w:tcPr>
          <w:p w14:paraId="5415794E" w14:textId="77777777" w:rsidR="002E7441" w:rsidRDefault="00000000">
            <w:r>
              <w:rPr>
                <w:sz w:val="18"/>
              </w:rPr>
              <w:t>2,400 train / 600 test (80/20)</w:t>
            </w:r>
          </w:p>
        </w:tc>
        <w:tc>
          <w:tcPr>
            <w:tcW w:w="1440" w:type="dxa"/>
          </w:tcPr>
          <w:p w14:paraId="56DB8C70" w14:textId="77777777" w:rsidR="002E7441" w:rsidRDefault="00000000">
            <w:r>
              <w:rPr>
                <w:sz w:val="18"/>
              </w:rPr>
              <w:t>Single held-out split; 3,050 training iterations, validated every 10 iterations</w:t>
            </w:r>
          </w:p>
        </w:tc>
        <w:tc>
          <w:tcPr>
            <w:tcW w:w="1440" w:type="dxa"/>
          </w:tcPr>
          <w:p w14:paraId="3FA77C21" w14:textId="77777777" w:rsidR="002E7441" w:rsidRDefault="00000000">
            <w:r>
              <w:rPr>
                <w:sz w:val="18"/>
              </w:rPr>
              <w:t>MATLAB (band-pass filter, LPC order 14, Bi-LSTM)</w:t>
            </w:r>
          </w:p>
        </w:tc>
        <w:tc>
          <w:tcPr>
            <w:tcW w:w="1440" w:type="dxa"/>
          </w:tcPr>
          <w:p w14:paraId="1751D6DB" w14:textId="77777777" w:rsidR="002E7441" w:rsidRDefault="00000000">
            <w:r>
              <w:rPr>
                <w:sz w:val="18"/>
              </w:rPr>
              <w:t>Accuracy 98.02%, Precision 0.972, Recall 96.65%, F1 97%</w:t>
            </w:r>
          </w:p>
        </w:tc>
      </w:tr>
    </w:tbl>
    <w:p w14:paraId="230725C0" w14:textId="77777777" w:rsidR="002E7441" w:rsidRDefault="002E7441"/>
    <w:p w14:paraId="6440001A" w14:textId="77777777" w:rsidR="002E7441" w:rsidRDefault="00000000">
      <w:r>
        <w:t>Two further data points are relevant to the visual branch: Wu et al. [9] trained their attention-enhanced YOLOv5 detector on ~2,600 RGB images split 7:2:1 (train/validation/test), and Deng et al. [11] and Yang et al. [12] each evaluate their attention-augmented YOLO variants on held-out test partitions of their respective maize-pest datasets. Across all six papers, class balance, a fixed or stratified split, and hardware disclosure are treated as prerequisites for a credible performance claim, which the proposed system's evaluation protocol should also follow.</w:t>
      </w:r>
    </w:p>
    <w:p w14:paraId="0650DEFC" w14:textId="77777777" w:rsidR="002E7441" w:rsidRDefault="00000000">
      <w:pPr>
        <w:pStyle w:val="Heading1"/>
      </w:pPr>
      <w:r>
        <w:lastRenderedPageBreak/>
        <w:t>5. Improvements Suggested or Identified in the Research</w:t>
      </w:r>
    </w:p>
    <w:p w14:paraId="67870E7C" w14:textId="77777777" w:rsidR="002E7441" w:rsidRDefault="00000000">
      <w:r>
        <w:t>The following improvement opportunities are drawn directly from limitations that the studied papers themselves acknowledge or that emerge when comparing them against one another.</w:t>
      </w:r>
    </w:p>
    <w:p w14:paraId="434399F1" w14:textId="77777777" w:rsidR="002E7441" w:rsidRDefault="00000000">
      <w:r>
        <w:rPr>
          <w:b/>
        </w:rPr>
        <w:t xml:space="preserve">Move from per-tree, single-scan decisions to farm-level, spread-aware monitoring: </w:t>
      </w:r>
      <w:r>
        <w:t>Almost every reviewed system, including the fused RED-BIYO [16] and Kalman-fusion [17] pipelines, outputs an independent health decision for one tree at one point in time; none models how infestation likelihood is spatially correlated with neighbouring trees or how it evolves over successive scans. Tagging per-tree decisions with location and timestamp and analysing them as a spatial-temporal graph would allow an emerging outbreak to be recognised before individual trees independently cross a hard alert threshold.</w:t>
      </w:r>
    </w:p>
    <w:p w14:paraId="137585CD" w14:textId="77777777" w:rsidR="002E7441" w:rsidRDefault="00000000">
      <w:r>
        <w:rPr>
          <w:b/>
        </w:rPr>
        <w:t xml:space="preserve">Reduce dependence on a single modality and on costly sensing channels: </w:t>
      </w:r>
      <w:r>
        <w:t>A majority of the problem-statement and algorithm papers ([1],[2],[4],[5],[7],[9],[11]-[15],[18]) use acoustic sensing or visual detection in isolation. Where fusion is attempted, it either adds hardware cost and calibration burden (thermal imaging in [3]; a custom CSRR microwave sensor in [17]) or stops at a single-tree fuzzy or Kalman-filter decision ([16],[17]) without extending to a farm-level analysis layer. A lightweight acoustic-plus-RGB pairing, without thermal or microwave hardware, keeps the sensing stack field-deployable while retaining fusion's accuracy benefit.</w:t>
      </w:r>
    </w:p>
    <w:p w14:paraId="1E9AB562" w14:textId="77777777" w:rsidR="002E7441" w:rsidRDefault="00000000">
      <w:r>
        <w:rPr>
          <w:b/>
        </w:rPr>
        <w:t xml:space="preserve">Close the dataset-pairing gap: </w:t>
      </w:r>
      <w:r>
        <w:t>Public datasets such as TreeVibes (audio-only) [6] and the Roboflow RGB set (vision-only) are not collected on the same trees or under matched conditions, so models trained on them cannot be directly validated as a genuinely paired multimodal pipeline. Collecting even a modest purpose-built paired subset, following the annotation approach of Nadeem et al.'s paired RGB-thermal dataset [10], would let a fused model be validated end-to-end rather than per modality.</w:t>
      </w:r>
    </w:p>
    <w:p w14:paraId="302D3503" w14:textId="77777777" w:rsidR="002E7441" w:rsidRDefault="00000000">
      <w:r>
        <w:rPr>
          <w:b/>
        </w:rPr>
        <w:t xml:space="preserve">Validate edge-deployability consistently: </w:t>
      </w:r>
      <w:r>
        <w:t>Several high-accuracy algorithm-focused papers ([8],[11],[12],[13]) are evaluated on workstation-class GPUs, with limited evidence of real-time performance on constrained hardware; RED-BIYO [16] explicitly lists this as future work, and the Kalman-fusion paper [17] notes its 0(n^3) fusion cost is only moderate-to-high, not yet benchmarked on embedded hardware. Reporting inference latency and model size on a Raspberry-Pi-class device (as done in [3]) should be a standard part of evaluation for any field-deployable variant of the proposed system.</w:t>
      </w:r>
    </w:p>
    <w:p w14:paraId="515787B6" w14:textId="77777777" w:rsidR="002E7441" w:rsidRDefault="00000000">
      <w:r>
        <w:rPr>
          <w:b/>
        </w:rPr>
        <w:t xml:space="preserve">Report MCC and specificity alongside accuracy: </w:t>
      </w:r>
      <w:r>
        <w:t>Only RED-BIYO [16] among the RPW-specific papers reports MCC; the methodological case made by Chicco and Jurman (2020) and Chicco et al. (2021) is that MCC and specificity are harder to inflate on the imbalanced healthy-vs-infested class ratios typical of field data than accuracy or F1-score alone, so both should be reported as primary, not supplementary, metrics.</w:t>
      </w:r>
    </w:p>
    <w:p w14:paraId="25FE1FDE" w14:textId="77777777" w:rsidR="002E7441" w:rsidRDefault="00000000">
      <w:r>
        <w:rPr>
          <w:b/>
        </w:rPr>
        <w:t xml:space="preserve">Move fusion from fixed fuzzy rules toward learned, confidence-weighted logic: </w:t>
      </w:r>
      <w:r>
        <w:t xml:space="preserve">RED-BIYO's Mamdani fuzzy rule base [16] uses fixed Gaussian membership functions and a fixed decision </w:t>
      </w:r>
      <w:r>
        <w:lastRenderedPageBreak/>
        <w:t>threshold (0.6), which cannot adapt to changing sensor reliability; the adaptive Kalman filter of Stephen et al. [17] addresses this by re-weighting each modality according to its measurement noise variance in real time. Adopting a similarly adaptive, confidence-weighted fusion layer, rather than a fixed rule table, is a direct, literature-supported improvement for the audio-visual system proposed here.</w:t>
      </w:r>
    </w:p>
    <w:p w14:paraId="21195DD1" w14:textId="77777777" w:rsidR="002E7441" w:rsidRDefault="00000000">
      <w:pPr>
        <w:pStyle w:val="Heading1"/>
      </w:pPr>
      <w:r>
        <w:t>6. Algorithm Chosen for Study, with Explanation</w:t>
      </w:r>
    </w:p>
    <w:p w14:paraId="6530F06B" w14:textId="77777777" w:rsidR="002E7441" w:rsidRDefault="00000000">
      <w:r>
        <w:t>The algorithm chosen for this study is a bimodal (audio + RGB-image) deep-learning detection pipeline: an attention-augmented CNN/BiGRU audio classifier paired with a YOLO/RetinaNet-family visual detector, fused by confidence-weighted or Mamdani-fuzzy decision logic. Each component is explained below with its literature grounding.</w:t>
      </w:r>
    </w:p>
    <w:p w14:paraId="21841C61" w14:textId="77777777" w:rsidR="002E7441" w:rsidRDefault="00000000">
      <w:pPr>
        <w:pStyle w:val="Heading2"/>
      </w:pPr>
      <w:r>
        <w:t>6.1 Audio branch — attention-augmented CNN/BiGRU</w:t>
      </w:r>
    </w:p>
    <w:p w14:paraId="6441711B" w14:textId="77777777" w:rsidR="002E7441" w:rsidRDefault="00000000">
      <w:r>
        <w:t>Acoustic recordings from the TreeVibes dataset [6] are converted to spectrograms (following the acoustic-to-image conversion strategy of Boulila et al. [8]) and passed through a convolutional front end that extracts spatial-frequency features, followed by a Bidirectional Gated Recurrent Unit (BiGRU) that captures forward and backward temporal dependencies in the larval feeding-sound signature. This convolution-plus-recurrent pattern follows the CNN-BiGRU design of Lu et al. [13] and the Spiking-CNN-BiGRU (SCNN-BiGRU) audio branch of RED-BIYO [16], both of which report accuracy gains over CNN-only or RNN-only baselines. An attention mechanism is layered onto the convolutional stage, in the spirit of the SMCA attention module in AMS-YOLO [11], to weight the most discriminative frequency bands of the RPW feeding signature more heavily than background noise. LPC-feature-plus-Bi-LSTM, as used by Saranya and Martin [18] (98.02% accuracy), is noted as a viable lighter-weight alternative to the spectrogram-CNN-BiGRU path where compute is more tightly constrained.</w:t>
      </w:r>
    </w:p>
    <w:p w14:paraId="3D9CF7AB" w14:textId="77777777" w:rsidR="002E7441" w:rsidRDefault="00000000">
      <w:pPr>
        <w:pStyle w:val="Heading2"/>
      </w:pPr>
      <w:r>
        <w:t>6.2 Visual branch — YOLO/RetinaNet-family detector</w:t>
      </w:r>
    </w:p>
    <w:p w14:paraId="49D63350" w14:textId="77777777" w:rsidR="002E7441" w:rsidRDefault="00000000">
      <w:r>
        <w:t>RGB images from the Roboflow RPW dataset are processed by a single-stage object detector from the YOLO family (or, where two-stage accuracy is preferred over speed, RetinaNet), localising the adult weevil or externally visible damage (boreholes, frass, discoloration) via bounding boxes. The specific variant is informed by the comparative review of Kamalesh Kanna et al. [14] and by two attention-augmented designs reviewed in this study: AMS-YOLO's SMCA attention and MSBlock multi-scale fusion [11], and Maize-YOLO's CSPResNeXt-50 and VoVGSCSP modules for efficiency [12], both of which improve small-object detection accuracy without a large increase in model size. A Nano- or small-scale YOLO variant (e.g., YOLOv5-Nano/YOLOv8n, following the base-paper choice reviewed elsewhere in this project, and consistent with the lightweight backbone used by Alsanea et al. [4] and Wu et al. [9]) is preferred over a larger backbone so that inference can run on field-deployable, non-GPU hardware.</w:t>
      </w:r>
    </w:p>
    <w:p w14:paraId="397B55E3" w14:textId="77777777" w:rsidR="002E7441" w:rsidRDefault="00000000">
      <w:pPr>
        <w:pStyle w:val="Heading2"/>
      </w:pPr>
      <w:r>
        <w:lastRenderedPageBreak/>
        <w:t>6.3 Fusion layer — confidence-weighted or Mamdani-fuzzy decision logic</w:t>
      </w:r>
    </w:p>
    <w:p w14:paraId="4B9AA66D" w14:textId="77777777" w:rsidR="002E7441" w:rsidRDefault="00000000">
      <w:r>
        <w:t>The audio and visual branch outputs, each a confidence score for RPW presence, are combined into a single per-tree infestation decision and severity estimate using one of two literature-grounded fusion strategies. The first, following RED-BIYO [16], is a Mamdani fuzzy inference system in which each modality's output is fuzzified into Low/Medium/High linguistic terms via Gaussian membership functions, combined through IF-THEN rules, and defuzzified via the centroid method into a crisp Healthy/Not-Healthy decision. The second, following the adaptive sequential Kalman filter (ASKF) of Stephen et al. [17], treats the fused infestation probability as a hidden state updated sequentially by each modality's measurement, with the Kalman gain automatically down-weighting the less reliable sensor at each time step; this proved more robust than a fixed-weight or single-shot fusion rule when one modality was degraded by noise. Given the improvement identified in Section 5 (adaptive over fixed fusion), the confidence-weighted Kalman-style approach is the preferred default for this study, with the Mamdani fuzzy rule base retained as an interpretable fallback.</w:t>
      </w:r>
    </w:p>
    <w:p w14:paraId="06EF8FF3" w14:textId="77777777" w:rsidR="002E7441" w:rsidRDefault="00000000">
      <w:pPr>
        <w:pStyle w:val="Heading1"/>
      </w:pPr>
      <w:r>
        <w:t>7. SDG Justification</w:t>
      </w:r>
    </w:p>
    <w:p w14:paraId="2F72036B" w14:textId="77777777" w:rsidR="002E7441" w:rsidRDefault="00000000">
      <w:r>
        <w:t>The proposed system aligns most directly with two United Nations Sustainable Development Goals:</w:t>
      </w:r>
    </w:p>
    <w:p w14:paraId="43F9E4CE" w14:textId="77777777" w:rsidR="002E7441" w:rsidRDefault="00000000">
      <w:pPr>
        <w:pStyle w:val="Heading2"/>
      </w:pPr>
      <w:r>
        <w:t>SDG 15 — Life on Land</w:t>
      </w:r>
    </w:p>
    <w:p w14:paraId="64CB90DE" w14:textId="77777777" w:rsidR="002E7441" w:rsidRDefault="00000000">
      <w:r>
        <w:t>Red Palm Weevil is a globally invasive species that causes severe, often irreversible damage to coconut, date, and ornamental palms, degrading terrestrial plantation ecosystems and, in urban and peri-urban settings, the landscape and biodiversity value of palm populations more broadly (reflected in the landscape-scale monitoring motivation of Kagan et al. [5]). SDG 15 explicitly targets the prevention and control of invasive alien species (Target 15.8) and the restoration of degraded land and ecosystems (Target 15.3). By enabling non-invasive, early-stage detection before internal larval damage becomes externally visible and irreversible, as every reviewed detection paper in Section 1 sets out to do, the proposed system supports timely intervention that reduces tree mortality, limits the spread of the pest to neighbouring palms, and reduces reliance on blanket chemical treatment in favour of targeted, confirmed-infestation response.</w:t>
      </w:r>
    </w:p>
    <w:p w14:paraId="70819346" w14:textId="77777777" w:rsidR="002E7441" w:rsidRDefault="00000000">
      <w:pPr>
        <w:pStyle w:val="Heading2"/>
      </w:pPr>
      <w:r>
        <w:t>SDG 9 — Industry, Innovation and Infrastructure</w:t>
      </w:r>
    </w:p>
    <w:p w14:paraId="35FBE395" w14:textId="77777777" w:rsidR="002E7441" w:rsidRDefault="00000000">
      <w:r>
        <w:t xml:space="preserve">The proposed system is itself a piece of innovative digital agricultural infrastructure: a bimodal AI detection pipeline built on lightweight, field-deployable sensing and inference hardware, in the spirit of the IoT-enabled architectures reviewed in this study (the Raspberry-Pi thermal-CNN pipeline of Martin et al. [3], the IoT-Blynk alerting system of RED-BIYO [16], and the SDR-based sensing rig of Stephen et al. [17]). SDG 9 targets enhanced scientific research and upgraded technological capabilities in industrial sectors (Target 9.5) and the development of reliable, resilient infrastructure to support economic development (Target 9.1). By translating recent advances in attention-augmented deep learning, spectrogram-based audio classification, and sensor fusion into an accessible, low-cost monitoring tool for smallholder and mid-size </w:t>
      </w:r>
      <w:r>
        <w:lastRenderedPageBreak/>
        <w:t>plantations, the proposed system contributes concretely to building innovative, technology-driven agricultural infrastructure rather than relying on manual inspection alone.</w:t>
      </w:r>
    </w:p>
    <w:sectPr w:rsidR="002E74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762914">
    <w:abstractNumId w:val="8"/>
  </w:num>
  <w:num w:numId="2" w16cid:durableId="1590044983">
    <w:abstractNumId w:val="6"/>
  </w:num>
  <w:num w:numId="3" w16cid:durableId="2070031041">
    <w:abstractNumId w:val="5"/>
  </w:num>
  <w:num w:numId="4" w16cid:durableId="1600286550">
    <w:abstractNumId w:val="4"/>
  </w:num>
  <w:num w:numId="5" w16cid:durableId="157692582">
    <w:abstractNumId w:val="7"/>
  </w:num>
  <w:num w:numId="6" w16cid:durableId="966858763">
    <w:abstractNumId w:val="3"/>
  </w:num>
  <w:num w:numId="7" w16cid:durableId="1027636254">
    <w:abstractNumId w:val="2"/>
  </w:num>
  <w:num w:numId="8" w16cid:durableId="1668748425">
    <w:abstractNumId w:val="1"/>
  </w:num>
  <w:num w:numId="9" w16cid:durableId="71620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441"/>
    <w:rsid w:val="00326F90"/>
    <w:rsid w:val="00875479"/>
    <w:rsid w:val="00AA1D8D"/>
    <w:rsid w:val="00B23141"/>
    <w:rsid w:val="00B47730"/>
    <w:rsid w:val="00C417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37C8E"/>
  <w14:defaultImageDpi w14:val="300"/>
  <w15:docId w15:val="{E683686A-E90C-477B-B52A-ADE1BD39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2840</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Abinaya Senthil</cp:lastModifiedBy>
  <cp:revision>2</cp:revision>
  <dcterms:created xsi:type="dcterms:W3CDTF">2013-12-23T23:15:00Z</dcterms:created>
  <dcterms:modified xsi:type="dcterms:W3CDTF">2026-09-15T09:55:00Z</dcterms:modified>
  <cp:category/>
</cp:coreProperties>
</file>