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b365d"/>
          <w:sz w:val="28"/>
          <w:szCs w:val="28"/>
          <w:rtl w:val="0"/>
        </w:rPr>
        <w:t xml:space="preserve">SASTRA DEEMED TO BE UNIVERSITY</w:t>
        <w:br w:type="textWrapping"/>
      </w:r>
      <w:r w:rsidDel="00000000" w:rsidR="00000000" w:rsidRPr="00000000">
        <w:rPr>
          <w:color w:val="4a5568"/>
          <w:sz w:val="22"/>
          <w:szCs w:val="22"/>
          <w:rtl w:val="0"/>
        </w:rPr>
        <w:t xml:space="preserve">School of Computing — Department of Computer Science &amp; Engineering</w:t>
        <w:br w:type="textWrapping"/>
        <w:br w:type="textWrapping"/>
      </w:r>
      <w:r w:rsidDel="00000000" w:rsidR="00000000" w:rsidRPr="00000000">
        <w:rPr>
          <w:b w:val="1"/>
          <w:bCs w:val="1"/>
          <w:color w:val="1b365d"/>
          <w:sz w:val="36"/>
          <w:szCs w:val="36"/>
          <w:rtl w:val="0"/>
        </w:rPr>
        <w:t xml:space="preserve">PROJECT SYNOPSIS</w:t>
        <w:br w:type="textWrapping"/>
      </w:r>
      <w:r w:rsidDel="00000000" w:rsidR="00000000" w:rsidRPr="00000000">
        <w:rPr>
          <w:b w:val="1"/>
          <w:bCs w:val="1"/>
          <w:color w:val="2d3748"/>
          <w:sz w:val="28"/>
          <w:szCs w:val="28"/>
          <w:rtl w:val="0"/>
        </w:rPr>
        <w:t xml:space="preserve">AUTOSAR AI – High-Level Design Document Intelligence Platform</w:t>
        <w:br w:type="textWrapping"/>
      </w:r>
      <w:r w:rsidDel="00000000" w:rsidR="00000000" w:rsidRPr="00000000">
        <w:rPr>
          <w:rtl w:val="0"/>
        </w:rPr>
      </w:r>
    </w:p>
    <w:tbl>
      <w:tblPr>
        <w:tblStyle w:val="Table1"/>
        <w:tblW w:w="9360.0" w:type="dxa"/>
        <w:jc w:val="center"/>
        <w:tblLayout w:type="fixed"/>
        <w:tblLook w:val="0400"/>
      </w:tblPr>
      <w:tblGrid>
        <w:gridCol w:w="4680"/>
        <w:gridCol w:w="4680"/>
        <w:tblGridChange w:id="0">
          <w:tblGrid>
            <w:gridCol w:w="4680"/>
            <w:gridCol w:w="4680"/>
          </w:tblGrid>
        </w:tblGridChange>
      </w:tblGrid>
      <w:tr>
        <w:trPr>
          <w:cantSplit w:val="0"/>
          <w:tblHeader w:val="0"/>
        </w:trPr>
        <w:tc>
          <w:tcPr>
            <w:shd w:fill="1b365d" w:val="clear"/>
            <w:tcMar>
              <w:top w:w="120.0" w:type="dxa"/>
              <w:left w:w="150.0" w:type="dxa"/>
              <w:bottom w:w="120.0" w:type="dxa"/>
              <w:right w:w="150.0" w:type="dxa"/>
            </w:tcMar>
          </w:tcPr>
          <w:p w:rsidR="00000000" w:rsidDel="00000000" w:rsidP="00000000" w:rsidRDefault="00000000" w:rsidRPr="00000000" w14:paraId="00000002">
            <w:pPr>
              <w:jc w:val="center"/>
              <w:rPr>
                <w:sz w:val="14"/>
                <w:szCs w:val="14"/>
              </w:rPr>
            </w:pPr>
            <w:r w:rsidDel="00000000" w:rsidR="00000000" w:rsidRPr="00000000">
              <w:rPr>
                <w:b w:val="1"/>
                <w:bCs w:val="1"/>
                <w:color w:val="ffffff"/>
                <w:sz w:val="12"/>
                <w:szCs w:val="12"/>
                <w:rtl w:val="0"/>
              </w:rPr>
              <w:t xml:space="preserve">Student Name:</w:t>
            </w:r>
            <w:r w:rsidDel="00000000" w:rsidR="00000000" w:rsidRPr="00000000">
              <w:rPr>
                <w:rtl w:val="0"/>
              </w:rPr>
            </w:r>
          </w:p>
        </w:tc>
        <w:tc>
          <w:tcPr>
            <w:shd w:fill="1b365d" w:val="clear"/>
            <w:tcMar>
              <w:top w:w="120.0" w:type="dxa"/>
              <w:left w:w="150.0" w:type="dxa"/>
              <w:bottom w:w="120.0" w:type="dxa"/>
              <w:right w:w="150.0" w:type="dxa"/>
            </w:tcMar>
          </w:tcPr>
          <w:p w:rsidR="00000000" w:rsidDel="00000000" w:rsidP="00000000" w:rsidRDefault="00000000" w:rsidRPr="00000000" w14:paraId="00000003">
            <w:pPr>
              <w:jc w:val="center"/>
              <w:rPr>
                <w:sz w:val="14"/>
                <w:szCs w:val="14"/>
              </w:rPr>
            </w:pPr>
            <w:r w:rsidDel="00000000" w:rsidR="00000000" w:rsidRPr="00000000">
              <w:rPr>
                <w:b w:val="1"/>
                <w:bCs w:val="1"/>
                <w:color w:val="ffffff"/>
                <w:sz w:val="12"/>
                <w:szCs w:val="12"/>
                <w:rtl w:val="0"/>
              </w:rPr>
              <w:t xml:space="preserve">Abineswari K</w:t>
            </w:r>
            <w:r w:rsidDel="00000000" w:rsidR="00000000" w:rsidRPr="00000000">
              <w:rPr>
                <w:rtl w:val="0"/>
              </w:rPr>
            </w:r>
          </w:p>
        </w:tc>
      </w:tr>
      <w:tr>
        <w:trPr>
          <w:cantSplit w:val="0"/>
          <w:tblHeader w:val="0"/>
        </w:trPr>
        <w:tc>
          <w:tcPr>
            <w:shd w:fill="f7fafc" w:val="clear"/>
            <w:tcMar>
              <w:top w:w="120.0" w:type="dxa"/>
              <w:left w:w="150.0" w:type="dxa"/>
              <w:bottom w:w="120.0" w:type="dxa"/>
              <w:right w:w="150.0" w:type="dxa"/>
            </w:tcMar>
          </w:tcPr>
          <w:p w:rsidR="00000000" w:rsidDel="00000000" w:rsidP="00000000" w:rsidRDefault="00000000" w:rsidRPr="00000000" w14:paraId="00000004">
            <w:pPr>
              <w:rPr>
                <w:sz w:val="18"/>
                <w:szCs w:val="18"/>
              </w:rPr>
            </w:pPr>
            <w:r w:rsidDel="00000000" w:rsidR="00000000" w:rsidRPr="00000000">
              <w:rPr>
                <w:b w:val="1"/>
                <w:bCs w:val="1"/>
                <w:color w:val="2d3748"/>
                <w:sz w:val="15"/>
                <w:szCs w:val="15"/>
                <w:rtl w:val="0"/>
              </w:rPr>
              <w:t xml:space="preserve">Register Number:</w:t>
            </w:r>
            <w:r w:rsidDel="00000000" w:rsidR="00000000" w:rsidRPr="00000000">
              <w:rPr>
                <w:rtl w:val="0"/>
              </w:rPr>
            </w:r>
          </w:p>
        </w:tc>
        <w:tc>
          <w:tcPr>
            <w:shd w:fill="f7fafc" w:val="clear"/>
            <w:tcMar>
              <w:top w:w="120.0" w:type="dxa"/>
              <w:left w:w="150.0" w:type="dxa"/>
              <w:bottom w:w="120.0" w:type="dxa"/>
              <w:right w:w="150.0" w:type="dxa"/>
            </w:tcMar>
          </w:tcPr>
          <w:p w:rsidR="00000000" w:rsidDel="00000000" w:rsidP="00000000" w:rsidRDefault="00000000" w:rsidRPr="00000000" w14:paraId="00000005">
            <w:pPr>
              <w:rPr>
                <w:sz w:val="18"/>
                <w:szCs w:val="18"/>
              </w:rPr>
            </w:pPr>
            <w:r w:rsidDel="00000000" w:rsidR="00000000" w:rsidRPr="00000000">
              <w:rPr>
                <w:color w:val="2d3748"/>
                <w:sz w:val="15"/>
                <w:szCs w:val="15"/>
                <w:rtl w:val="0"/>
              </w:rPr>
              <w:t xml:space="preserve">127003005</w:t>
            </w:r>
            <w:r w:rsidDel="00000000" w:rsidR="00000000" w:rsidRPr="00000000">
              <w:rPr>
                <w:rtl w:val="0"/>
              </w:rPr>
            </w:r>
          </w:p>
        </w:tc>
      </w:tr>
      <w:tr>
        <w:trPr>
          <w:cantSplit w:val="0"/>
          <w:tblHeader w:val="0"/>
        </w:trPr>
        <w:tc>
          <w:tcPr>
            <w:tcMar>
              <w:top w:w="120.0" w:type="dxa"/>
              <w:left w:w="150.0" w:type="dxa"/>
              <w:bottom w:w="120.0" w:type="dxa"/>
              <w:right w:w="150.0" w:type="dxa"/>
            </w:tcMar>
          </w:tcPr>
          <w:p w:rsidR="00000000" w:rsidDel="00000000" w:rsidP="00000000" w:rsidRDefault="00000000" w:rsidRPr="00000000" w14:paraId="00000006">
            <w:pPr>
              <w:rPr>
                <w:sz w:val="18"/>
                <w:szCs w:val="18"/>
              </w:rPr>
            </w:pPr>
            <w:r w:rsidDel="00000000" w:rsidR="00000000" w:rsidRPr="00000000">
              <w:rPr>
                <w:b w:val="1"/>
                <w:bCs w:val="1"/>
                <w:color w:val="2d3748"/>
                <w:sz w:val="15"/>
                <w:szCs w:val="15"/>
                <w:rtl w:val="0"/>
              </w:rPr>
              <w:t xml:space="preserve">Degree &amp; Branch:</w:t>
            </w:r>
            <w:r w:rsidDel="00000000" w:rsidR="00000000" w:rsidRPr="00000000">
              <w:rPr>
                <w:rtl w:val="0"/>
              </w:rPr>
            </w:r>
          </w:p>
        </w:tc>
        <w:tc>
          <w:tcPr>
            <w:tcMar>
              <w:top w:w="120.0" w:type="dxa"/>
              <w:left w:w="150.0" w:type="dxa"/>
              <w:bottom w:w="120.0" w:type="dxa"/>
              <w:right w:w="150.0" w:type="dxa"/>
            </w:tcMar>
          </w:tcPr>
          <w:p w:rsidR="00000000" w:rsidDel="00000000" w:rsidP="00000000" w:rsidRDefault="00000000" w:rsidRPr="00000000" w14:paraId="00000007">
            <w:pPr>
              <w:rPr>
                <w:sz w:val="18"/>
                <w:szCs w:val="18"/>
              </w:rPr>
            </w:pPr>
            <w:r w:rsidDel="00000000" w:rsidR="00000000" w:rsidRPr="00000000">
              <w:rPr>
                <w:color w:val="2d3748"/>
                <w:sz w:val="15"/>
                <w:szCs w:val="15"/>
                <w:rtl w:val="0"/>
              </w:rPr>
              <w:t xml:space="preserve">B.Tech. Computer Science &amp; Engineering </w:t>
            </w:r>
            <w:r w:rsidDel="00000000" w:rsidR="00000000" w:rsidRPr="00000000">
              <w:rPr>
                <w:rtl w:val="0"/>
              </w:rPr>
            </w:r>
          </w:p>
        </w:tc>
      </w:tr>
    </w:tbl>
    <w:p w:rsidR="00000000" w:rsidDel="00000000" w:rsidP="00000000" w:rsidRDefault="00000000" w:rsidRPr="00000000" w14:paraId="00000008">
      <w:pPr>
        <w:pStyle w:val="Heading1"/>
        <w:keepNext w:val="1"/>
        <w:spacing w:after="120" w:before="280" w:lineRule="auto"/>
        <w:rPr>
          <w:sz w:val="18"/>
          <w:szCs w:val="18"/>
        </w:rPr>
      </w:pPr>
      <w:r w:rsidDel="00000000" w:rsidR="00000000" w:rsidRPr="00000000">
        <w:rPr>
          <w:b w:val="1"/>
          <w:bCs w:val="1"/>
          <w:color w:val="1b365d"/>
          <w:sz w:val="22"/>
          <w:szCs w:val="22"/>
          <w:rtl w:val="0"/>
        </w:rPr>
        <w:t xml:space="preserve">1. Abstract</w:t>
      </w:r>
      <w:r w:rsidDel="00000000" w:rsidR="00000000" w:rsidRPr="00000000">
        <w:rPr>
          <w:rtl w:val="0"/>
        </w:rPr>
      </w:r>
    </w:p>
    <w:p w:rsidR="00000000" w:rsidDel="00000000" w:rsidP="00000000" w:rsidRDefault="00000000" w:rsidRPr="00000000" w14:paraId="00000009">
      <w:pPr>
        <w:spacing w:after="160" w:line="276" w:lineRule="auto"/>
        <w:rPr>
          <w:sz w:val="18"/>
          <w:szCs w:val="18"/>
        </w:rPr>
      </w:pPr>
      <w:r w:rsidDel="00000000" w:rsidR="00000000" w:rsidRPr="00000000">
        <w:rPr>
          <w:sz w:val="18"/>
          <w:szCs w:val="18"/>
          <w:rtl w:val="0"/>
        </w:rPr>
        <w:t xml:space="preserve">Modern automotive systems rely heavily on the AUTOSAR (AUTomotive Open System ARchitecture) standard to specify complex electronic control unit (ECU) software architectures. However, reviewing and verifying multi-hundred-page High-Level Design (HLD) specifications remains a manual, error-prone, and labor-intensive challenge. Furthermore, transmitting proprietary automotive intellectual property to public cloud AI models is strictly prohibited by automotive cybersecurity regulations (ISO/SAE 21434). This project introduces AUTOSAR AI, an on-premises document intelligence platform that automates the ingestion, structural entity extraction, architectural rule validation, and grounded conversational analysis of automotive HLDs. The system combines PyMuPDF for page-preserving extraction, SentenceTransformers (all-MiniLM-L6-v2) and ChromaDB for dense vector retrieval, in-memory BM25 for exact automotive identifier matching, and a local quantized Large Language Model (Ollama llama3.2:3b) for grounded question-answering with verifiable citations. Additionally, an independent Grounding Service decomposes generated responses into verifiable propositions to calculate a quantitative Grounding Score, and security defenses neutralize CSV formula injection attacks. The platform was validated through 28 automated pytest test cases (100% pass rate) and a 35-query benchmark evaluation.</w:t>
      </w:r>
    </w:p>
    <w:p w:rsidR="00000000" w:rsidDel="00000000" w:rsidP="00000000" w:rsidRDefault="00000000" w:rsidRPr="00000000" w14:paraId="0000000A">
      <w:pPr>
        <w:pStyle w:val="Heading1"/>
        <w:keepNext w:val="1"/>
        <w:spacing w:after="120" w:before="280" w:lineRule="auto"/>
        <w:rPr>
          <w:sz w:val="16"/>
          <w:szCs w:val="16"/>
        </w:rPr>
      </w:pPr>
      <w:r w:rsidDel="00000000" w:rsidR="00000000" w:rsidRPr="00000000">
        <w:rPr>
          <w:b w:val="1"/>
          <w:bCs w:val="1"/>
          <w:color w:val="1b365d"/>
          <w:sz w:val="20"/>
          <w:szCs w:val="20"/>
          <w:rtl w:val="0"/>
        </w:rPr>
        <w:t xml:space="preserve">2. Problem Statement</w:t>
      </w:r>
      <w:r w:rsidDel="00000000" w:rsidR="00000000" w:rsidRPr="00000000">
        <w:rPr>
          <w:rtl w:val="0"/>
        </w:rPr>
      </w:r>
    </w:p>
    <w:p w:rsidR="00000000" w:rsidDel="00000000" w:rsidP="00000000" w:rsidRDefault="00000000" w:rsidRPr="00000000" w14:paraId="0000000B">
      <w:pPr>
        <w:rPr>
          <w:sz w:val="18"/>
          <w:szCs w:val="18"/>
        </w:rPr>
      </w:pPr>
      <w:r w:rsidDel="00000000" w:rsidR="00000000" w:rsidRPr="00000000">
        <w:rPr>
          <w:sz w:val="18"/>
          <w:szCs w:val="18"/>
          <w:rtl w:val="0"/>
        </w:rPr>
        <w:t xml:space="preserve">Automotive software engineering teams spend thousands of engineering hours manually cross-referencing architectural specifications across vehicle revision cycles. Generic document QA tools frequently hallucinate technical component names, lack exact page citations, and cannot run in air-gapped, on-premises engineering environments. There is an acute need for a high-assurance, offline document intelligence system that combines grounded retrieval with automated architectural rule checking (e.g., detecting circular dependencies and insecure IPC bindings).</w:t>
      </w:r>
    </w:p>
    <w:p w:rsidR="00000000" w:rsidDel="00000000" w:rsidP="00000000" w:rsidRDefault="00000000" w:rsidRPr="00000000" w14:paraId="0000000C">
      <w:pPr>
        <w:pStyle w:val="Heading1"/>
        <w:keepNext w:val="1"/>
        <w:spacing w:after="120" w:before="280" w:lineRule="auto"/>
        <w:rPr>
          <w:sz w:val="22"/>
          <w:szCs w:val="22"/>
        </w:rPr>
      </w:pPr>
      <w:r w:rsidDel="00000000" w:rsidR="00000000" w:rsidRPr="00000000">
        <w:rPr>
          <w:b w:val="1"/>
          <w:bCs w:val="1"/>
          <w:color w:val="1b365d"/>
          <w:sz w:val="22"/>
          <w:szCs w:val="22"/>
          <w:rtl w:val="0"/>
        </w:rPr>
        <w:t xml:space="preserve">3. Project Objectives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18"/>
          <w:szCs w:val="18"/>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Develop an end-to-end PDF ingestion pipeline that preserves page numbering, headings, and character boundaries.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18"/>
          <w:szCs w:val="18"/>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Implement a hybrid retrieval pipeline combining dense vector embeddings with BM25 sparse keyword matching using Reciprocal Rank Fusion.</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18"/>
          <w:szCs w:val="18"/>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Integrate a fully local Large Language Model (llama3.2:3b via Ollama) enforcing evidence-bounded prompt constraints and abstention.</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18"/>
          <w:szCs w:val="18"/>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Build a claim decomposition and verification service that computes an empirical Grounding Score (0.0 to 1.0).</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18"/>
          <w:szCs w:val="18"/>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Implement heuristic regex extractors to identify Software Components (SWCs), Runnables, Interfaces, Ports, and Signals.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18"/>
          <w:szCs w:val="18"/>
        </w:rPr>
      </w:pPr>
      <w:r w:rsidDel="00000000" w:rsidR="00000000" w:rsidRPr="00000000">
        <w:rPr>
          <w:sz w:val="18"/>
          <w:szCs w:val="18"/>
          <w:rtl w:val="0"/>
        </w:rPr>
        <w:t xml:space="preserve">Detect arc</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hitectural defects, including circular dependencies, insecure IPC communication, and missing port bindings.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sz w:val="18"/>
          <w:szCs w:val="18"/>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Provide an interactive 9-page Streamlit web user interface and 10 REST API endpoints in FastAPI with CSV export security.</w:t>
      </w:r>
    </w:p>
    <w:p w:rsidR="00000000" w:rsidDel="00000000" w:rsidP="00000000" w:rsidRDefault="00000000" w:rsidRPr="00000000" w14:paraId="00000014">
      <w:pPr>
        <w:pStyle w:val="Heading1"/>
        <w:keepNext w:val="1"/>
        <w:spacing w:after="120" w:before="280" w:lineRule="auto"/>
        <w:rPr>
          <w:sz w:val="22"/>
          <w:szCs w:val="22"/>
        </w:rPr>
      </w:pPr>
      <w:r w:rsidDel="00000000" w:rsidR="00000000" w:rsidRPr="00000000">
        <w:rPr>
          <w:b w:val="1"/>
          <w:bCs w:val="1"/>
          <w:color w:val="1b365d"/>
          <w:sz w:val="22"/>
          <w:szCs w:val="22"/>
          <w:rtl w:val="0"/>
        </w:rPr>
        <w:t xml:space="preserve">4. Proposed System Architecture</w:t>
      </w:r>
      <w:r w:rsidDel="00000000" w:rsidR="00000000" w:rsidRPr="00000000">
        <w:rPr>
          <w:rtl w:val="0"/>
        </w:rPr>
      </w:r>
    </w:p>
    <w:p w:rsidR="00000000" w:rsidDel="00000000" w:rsidP="00000000" w:rsidRDefault="00000000" w:rsidRPr="00000000" w14:paraId="00000015">
      <w:pPr>
        <w:rPr>
          <w:sz w:val="18"/>
          <w:szCs w:val="18"/>
        </w:rPr>
      </w:pPr>
      <w:r w:rsidDel="00000000" w:rsidR="00000000" w:rsidRPr="00000000">
        <w:rPr>
          <w:sz w:val="18"/>
          <w:szCs w:val="18"/>
          <w:rtl w:val="0"/>
        </w:rPr>
        <w:t xml:space="preserve">The proposed platform is organized into eight decoupled layers: (1) Presentation Layer (Streamlit on port 8501); (2) API Gateway Layer (FastAPI on port 8000 with 10 routers); (3) Document Ingestion Layer (PyMuPDF); (4) Embedding &amp; Vector Store (SentenceTransformers all-MiniLM-L6-v2 + persistent ChromaDB); (5) Hybrid Retrieval Layer (Dense + BM25 + Reciprocal Rank Fusion); (6) Local Inference Layer (Ollama on port 11434 with llama3.2:3b); (7) Relational Storage Layer (SQLite 3 with 14 SQLAlchemy ORM models); and (8) Reporting &amp; Security Layer (CSV formula injection defense).</w:t>
      </w:r>
    </w:p>
    <w:p w:rsidR="00000000" w:rsidDel="00000000" w:rsidP="00000000" w:rsidRDefault="00000000" w:rsidRPr="00000000" w14:paraId="00000016">
      <w:pPr>
        <w:pStyle w:val="Heading1"/>
        <w:keepNext w:val="1"/>
        <w:spacing w:after="120" w:before="280" w:lineRule="auto"/>
        <w:rPr>
          <w:sz w:val="18"/>
          <w:szCs w:val="18"/>
        </w:rPr>
      </w:pPr>
      <w:r w:rsidDel="00000000" w:rsidR="00000000" w:rsidRPr="00000000">
        <w:rPr>
          <w:b w:val="1"/>
          <w:bCs w:val="1"/>
          <w:color w:val="1b365d"/>
          <w:sz w:val="22"/>
          <w:szCs w:val="22"/>
          <w:rtl w:val="0"/>
        </w:rPr>
        <w:t xml:space="preserve">5. Technology Stack</w:t>
      </w:r>
      <w:r w:rsidDel="00000000" w:rsidR="00000000" w:rsidRPr="00000000">
        <w:rPr>
          <w:rtl w:val="0"/>
        </w:rPr>
      </w:r>
    </w:p>
    <w:tbl>
      <w:tblPr>
        <w:tblStyle w:val="Table2"/>
        <w:tblW w:w="9360.0" w:type="dxa"/>
        <w:jc w:val="center"/>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b365d" w:val="clear"/>
            <w:tcMar>
              <w:top w:w="120.0" w:type="dxa"/>
              <w:left w:w="150.0" w:type="dxa"/>
              <w:bottom w:w="120.0" w:type="dxa"/>
              <w:right w:w="150.0" w:type="dxa"/>
            </w:tcMar>
          </w:tcPr>
          <w:p w:rsidR="00000000" w:rsidDel="00000000" w:rsidP="00000000" w:rsidRDefault="00000000" w:rsidRPr="00000000" w14:paraId="00000017">
            <w:pPr>
              <w:jc w:val="center"/>
              <w:rPr>
                <w:sz w:val="12"/>
                <w:szCs w:val="12"/>
              </w:rPr>
            </w:pPr>
            <w:r w:rsidDel="00000000" w:rsidR="00000000" w:rsidRPr="00000000">
              <w:rPr>
                <w:b w:val="1"/>
                <w:bCs w:val="1"/>
                <w:color w:val="ffffff"/>
                <w:sz w:val="12"/>
                <w:szCs w:val="12"/>
                <w:rtl w:val="0"/>
              </w:rPr>
              <w:t xml:space="preserve">Subsystem</w:t>
            </w:r>
            <w:r w:rsidDel="00000000" w:rsidR="00000000" w:rsidRPr="00000000">
              <w:rPr>
                <w:rtl w:val="0"/>
              </w:rPr>
            </w:r>
          </w:p>
        </w:tc>
        <w:tc>
          <w:tcPr>
            <w:shd w:fill="1b365d" w:val="clear"/>
            <w:tcMar>
              <w:top w:w="120.0" w:type="dxa"/>
              <w:left w:w="150.0" w:type="dxa"/>
              <w:bottom w:w="120.0" w:type="dxa"/>
              <w:right w:w="150.0" w:type="dxa"/>
            </w:tcMar>
          </w:tcPr>
          <w:p w:rsidR="00000000" w:rsidDel="00000000" w:rsidP="00000000" w:rsidRDefault="00000000" w:rsidRPr="00000000" w14:paraId="00000018">
            <w:pPr>
              <w:jc w:val="center"/>
              <w:rPr>
                <w:sz w:val="12"/>
                <w:szCs w:val="12"/>
              </w:rPr>
            </w:pPr>
            <w:r w:rsidDel="00000000" w:rsidR="00000000" w:rsidRPr="00000000">
              <w:rPr>
                <w:b w:val="1"/>
                <w:bCs w:val="1"/>
                <w:color w:val="ffffff"/>
                <w:sz w:val="12"/>
                <w:szCs w:val="12"/>
                <w:rtl w:val="0"/>
              </w:rPr>
              <w:t xml:space="preserve">Technology Selected</w:t>
            </w:r>
            <w:r w:rsidDel="00000000" w:rsidR="00000000" w:rsidRPr="00000000">
              <w:rPr>
                <w:rtl w:val="0"/>
              </w:rPr>
            </w:r>
          </w:p>
        </w:tc>
        <w:tc>
          <w:tcPr>
            <w:shd w:fill="1b365d" w:val="clear"/>
            <w:tcMar>
              <w:top w:w="120.0" w:type="dxa"/>
              <w:left w:w="150.0" w:type="dxa"/>
              <w:bottom w:w="120.0" w:type="dxa"/>
              <w:right w:w="150.0" w:type="dxa"/>
            </w:tcMar>
          </w:tcPr>
          <w:p w:rsidR="00000000" w:rsidDel="00000000" w:rsidP="00000000" w:rsidRDefault="00000000" w:rsidRPr="00000000" w14:paraId="00000019">
            <w:pPr>
              <w:jc w:val="center"/>
              <w:rPr>
                <w:sz w:val="12"/>
                <w:szCs w:val="12"/>
              </w:rPr>
            </w:pPr>
            <w:r w:rsidDel="00000000" w:rsidR="00000000" w:rsidRPr="00000000">
              <w:rPr>
                <w:b w:val="1"/>
                <w:bCs w:val="1"/>
                <w:color w:val="ffffff"/>
                <w:sz w:val="12"/>
                <w:szCs w:val="12"/>
                <w:rtl w:val="0"/>
              </w:rPr>
              <w:t xml:space="preserve">Role &amp; Justification</w:t>
            </w:r>
            <w:r w:rsidDel="00000000" w:rsidR="00000000" w:rsidRPr="00000000">
              <w:rPr>
                <w:rtl w:val="0"/>
              </w:rPr>
            </w:r>
          </w:p>
        </w:tc>
      </w:tr>
      <w:tr>
        <w:trPr>
          <w:cantSplit w:val="0"/>
          <w:tblHeader w:val="0"/>
        </w:trPr>
        <w:tc>
          <w:tcPr>
            <w:shd w:fill="f7fafc" w:val="clear"/>
            <w:tcMar>
              <w:top w:w="120.0" w:type="dxa"/>
              <w:left w:w="150.0" w:type="dxa"/>
              <w:bottom w:w="120.0" w:type="dxa"/>
              <w:right w:w="150.0" w:type="dxa"/>
            </w:tcMar>
          </w:tcPr>
          <w:p w:rsidR="00000000" w:rsidDel="00000000" w:rsidP="00000000" w:rsidRDefault="00000000" w:rsidRPr="00000000" w14:paraId="0000001A">
            <w:pPr>
              <w:rPr>
                <w:sz w:val="14"/>
                <w:szCs w:val="14"/>
              </w:rPr>
            </w:pPr>
            <w:r w:rsidDel="00000000" w:rsidR="00000000" w:rsidRPr="00000000">
              <w:rPr>
                <w:color w:val="2d3748"/>
                <w:sz w:val="14"/>
                <w:szCs w:val="14"/>
                <w:rtl w:val="0"/>
              </w:rPr>
              <w:t xml:space="preserve">Frontend UI</w:t>
            </w:r>
            <w:r w:rsidDel="00000000" w:rsidR="00000000" w:rsidRPr="00000000">
              <w:rPr>
                <w:rtl w:val="0"/>
              </w:rPr>
            </w:r>
          </w:p>
        </w:tc>
        <w:tc>
          <w:tcPr>
            <w:shd w:fill="f7fafc" w:val="clear"/>
            <w:tcMar>
              <w:top w:w="120.0" w:type="dxa"/>
              <w:left w:w="150.0" w:type="dxa"/>
              <w:bottom w:w="120.0" w:type="dxa"/>
              <w:right w:w="150.0" w:type="dxa"/>
            </w:tcMar>
          </w:tcPr>
          <w:p w:rsidR="00000000" w:rsidDel="00000000" w:rsidP="00000000" w:rsidRDefault="00000000" w:rsidRPr="00000000" w14:paraId="0000001B">
            <w:pPr>
              <w:rPr>
                <w:sz w:val="16"/>
                <w:szCs w:val="16"/>
              </w:rPr>
            </w:pPr>
            <w:r w:rsidDel="00000000" w:rsidR="00000000" w:rsidRPr="00000000">
              <w:rPr>
                <w:color w:val="2d3748"/>
                <w:sz w:val="16"/>
                <w:szCs w:val="16"/>
                <w:rtl w:val="0"/>
              </w:rPr>
              <w:t xml:space="preserve">Streamlit 1.32.0</w:t>
            </w:r>
            <w:r w:rsidDel="00000000" w:rsidR="00000000" w:rsidRPr="00000000">
              <w:rPr>
                <w:rtl w:val="0"/>
              </w:rPr>
            </w:r>
          </w:p>
        </w:tc>
        <w:tc>
          <w:tcPr>
            <w:shd w:fill="f7fafc" w:val="clear"/>
            <w:tcMar>
              <w:top w:w="120.0" w:type="dxa"/>
              <w:left w:w="150.0" w:type="dxa"/>
              <w:bottom w:w="120.0" w:type="dxa"/>
              <w:right w:w="150.0" w:type="dxa"/>
            </w:tcMar>
          </w:tcPr>
          <w:p w:rsidR="00000000" w:rsidDel="00000000" w:rsidP="00000000" w:rsidRDefault="00000000" w:rsidRPr="00000000" w14:paraId="0000001C">
            <w:pPr>
              <w:rPr>
                <w:sz w:val="14"/>
                <w:szCs w:val="14"/>
              </w:rPr>
            </w:pPr>
            <w:r w:rsidDel="00000000" w:rsidR="00000000" w:rsidRPr="00000000">
              <w:rPr>
                <w:color w:val="2d3748"/>
                <w:sz w:val="14"/>
                <w:szCs w:val="14"/>
                <w:rtl w:val="0"/>
              </w:rPr>
              <w:t xml:space="preserve">Reactive multi-page web application (9 pages)</w:t>
            </w:r>
            <w:r w:rsidDel="00000000" w:rsidR="00000000" w:rsidRPr="00000000">
              <w:rPr>
                <w:rtl w:val="0"/>
              </w:rPr>
            </w:r>
          </w:p>
        </w:tc>
      </w:tr>
      <w:tr>
        <w:trPr>
          <w:cantSplit w:val="0"/>
          <w:tblHeader w:val="0"/>
        </w:trPr>
        <w:tc>
          <w:tcPr>
            <w:tcMar>
              <w:top w:w="120.0" w:type="dxa"/>
              <w:left w:w="150.0" w:type="dxa"/>
              <w:bottom w:w="120.0" w:type="dxa"/>
              <w:right w:w="150.0" w:type="dxa"/>
            </w:tcMar>
          </w:tcPr>
          <w:p w:rsidR="00000000" w:rsidDel="00000000" w:rsidP="00000000" w:rsidRDefault="00000000" w:rsidRPr="00000000" w14:paraId="0000001D">
            <w:pPr>
              <w:rPr>
                <w:sz w:val="14"/>
                <w:szCs w:val="14"/>
              </w:rPr>
            </w:pPr>
            <w:r w:rsidDel="00000000" w:rsidR="00000000" w:rsidRPr="00000000">
              <w:rPr>
                <w:color w:val="2d3748"/>
                <w:sz w:val="14"/>
                <w:szCs w:val="14"/>
                <w:rtl w:val="0"/>
              </w:rPr>
              <w:t xml:space="preserve">Backend Framework</w:t>
            </w:r>
            <w:r w:rsidDel="00000000" w:rsidR="00000000" w:rsidRPr="00000000">
              <w:rPr>
                <w:rtl w:val="0"/>
              </w:rPr>
            </w:r>
          </w:p>
        </w:tc>
        <w:tc>
          <w:tcPr>
            <w:tcMar>
              <w:top w:w="120.0" w:type="dxa"/>
              <w:left w:w="150.0" w:type="dxa"/>
              <w:bottom w:w="120.0" w:type="dxa"/>
              <w:right w:w="150.0" w:type="dxa"/>
            </w:tcMar>
          </w:tcPr>
          <w:p w:rsidR="00000000" w:rsidDel="00000000" w:rsidP="00000000" w:rsidRDefault="00000000" w:rsidRPr="00000000" w14:paraId="0000001E">
            <w:pPr>
              <w:rPr>
                <w:sz w:val="14"/>
                <w:szCs w:val="14"/>
              </w:rPr>
            </w:pPr>
            <w:r w:rsidDel="00000000" w:rsidR="00000000" w:rsidRPr="00000000">
              <w:rPr>
                <w:color w:val="2d3748"/>
                <w:sz w:val="14"/>
                <w:szCs w:val="14"/>
                <w:rtl w:val="0"/>
              </w:rPr>
              <w:t xml:space="preserve">FastAPI 0.110.0 / Uvicorn</w:t>
            </w:r>
            <w:r w:rsidDel="00000000" w:rsidR="00000000" w:rsidRPr="00000000">
              <w:rPr>
                <w:rtl w:val="0"/>
              </w:rPr>
            </w:r>
          </w:p>
        </w:tc>
        <w:tc>
          <w:tcPr>
            <w:tcMar>
              <w:top w:w="120.0" w:type="dxa"/>
              <w:left w:w="150.0" w:type="dxa"/>
              <w:bottom w:w="120.0" w:type="dxa"/>
              <w:right w:w="150.0" w:type="dxa"/>
            </w:tcMar>
          </w:tcPr>
          <w:p w:rsidR="00000000" w:rsidDel="00000000" w:rsidP="00000000" w:rsidRDefault="00000000" w:rsidRPr="00000000" w14:paraId="0000001F">
            <w:pPr>
              <w:rPr>
                <w:sz w:val="12"/>
                <w:szCs w:val="12"/>
              </w:rPr>
            </w:pPr>
            <w:r w:rsidDel="00000000" w:rsidR="00000000" w:rsidRPr="00000000">
              <w:rPr>
                <w:color w:val="2d3748"/>
                <w:sz w:val="12"/>
                <w:szCs w:val="12"/>
                <w:rtl w:val="0"/>
              </w:rPr>
              <w:t xml:space="preserve">Asynchronous REST API with Pydantic type validation</w:t>
            </w:r>
            <w:r w:rsidDel="00000000" w:rsidR="00000000" w:rsidRPr="00000000">
              <w:rPr>
                <w:rtl w:val="0"/>
              </w:rPr>
            </w:r>
          </w:p>
        </w:tc>
      </w:tr>
      <w:tr>
        <w:trPr>
          <w:cantSplit w:val="0"/>
          <w:tblHeader w:val="0"/>
        </w:trPr>
        <w:tc>
          <w:tcPr>
            <w:shd w:fill="f7fafc" w:val="clear"/>
            <w:tcMar>
              <w:top w:w="120.0" w:type="dxa"/>
              <w:left w:w="150.0" w:type="dxa"/>
              <w:bottom w:w="120.0" w:type="dxa"/>
              <w:right w:w="150.0" w:type="dxa"/>
            </w:tcMar>
          </w:tcPr>
          <w:p w:rsidR="00000000" w:rsidDel="00000000" w:rsidP="00000000" w:rsidRDefault="00000000" w:rsidRPr="00000000" w14:paraId="00000020">
            <w:pPr>
              <w:rPr>
                <w:sz w:val="14"/>
                <w:szCs w:val="14"/>
              </w:rPr>
            </w:pPr>
            <w:r w:rsidDel="00000000" w:rsidR="00000000" w:rsidRPr="00000000">
              <w:rPr>
                <w:color w:val="2d3748"/>
                <w:sz w:val="14"/>
                <w:szCs w:val="14"/>
                <w:rtl w:val="0"/>
              </w:rPr>
              <w:t xml:space="preserve">PDF Ingestion</w:t>
            </w:r>
            <w:r w:rsidDel="00000000" w:rsidR="00000000" w:rsidRPr="00000000">
              <w:rPr>
                <w:rtl w:val="0"/>
              </w:rPr>
            </w:r>
          </w:p>
        </w:tc>
        <w:tc>
          <w:tcPr>
            <w:shd w:fill="f7fafc" w:val="clear"/>
            <w:tcMar>
              <w:top w:w="120.0" w:type="dxa"/>
              <w:left w:w="150.0" w:type="dxa"/>
              <w:bottom w:w="120.0" w:type="dxa"/>
              <w:right w:w="150.0" w:type="dxa"/>
            </w:tcMar>
          </w:tcPr>
          <w:p w:rsidR="00000000" w:rsidDel="00000000" w:rsidP="00000000" w:rsidRDefault="00000000" w:rsidRPr="00000000" w14:paraId="00000021">
            <w:pPr>
              <w:rPr>
                <w:sz w:val="14"/>
                <w:szCs w:val="14"/>
              </w:rPr>
            </w:pPr>
            <w:r w:rsidDel="00000000" w:rsidR="00000000" w:rsidRPr="00000000">
              <w:rPr>
                <w:color w:val="2d3748"/>
                <w:sz w:val="14"/>
                <w:szCs w:val="14"/>
                <w:rtl w:val="0"/>
              </w:rPr>
              <w:t xml:space="preserve">PyMuPDF (fitz) 1.23.26</w:t>
            </w:r>
            <w:r w:rsidDel="00000000" w:rsidR="00000000" w:rsidRPr="00000000">
              <w:rPr>
                <w:rtl w:val="0"/>
              </w:rPr>
            </w:r>
          </w:p>
        </w:tc>
        <w:tc>
          <w:tcPr>
            <w:shd w:fill="f7fafc" w:val="clear"/>
            <w:tcMar>
              <w:top w:w="120.0" w:type="dxa"/>
              <w:left w:w="150.0" w:type="dxa"/>
              <w:bottom w:w="120.0" w:type="dxa"/>
              <w:right w:w="150.0" w:type="dxa"/>
            </w:tcMar>
          </w:tcPr>
          <w:p w:rsidR="00000000" w:rsidDel="00000000" w:rsidP="00000000" w:rsidRDefault="00000000" w:rsidRPr="00000000" w14:paraId="00000022">
            <w:pPr>
              <w:rPr>
                <w:sz w:val="12"/>
                <w:szCs w:val="12"/>
              </w:rPr>
            </w:pPr>
            <w:r w:rsidDel="00000000" w:rsidR="00000000" w:rsidRPr="00000000">
              <w:rPr>
                <w:color w:val="2d3748"/>
                <w:sz w:val="12"/>
                <w:szCs w:val="12"/>
                <w:rtl w:val="0"/>
              </w:rPr>
              <w:t xml:space="preserve">High-speed text extraction with page provenance preservation</w:t>
            </w:r>
            <w:r w:rsidDel="00000000" w:rsidR="00000000" w:rsidRPr="00000000">
              <w:rPr>
                <w:rtl w:val="0"/>
              </w:rPr>
            </w:r>
          </w:p>
        </w:tc>
      </w:tr>
      <w:tr>
        <w:trPr>
          <w:cantSplit w:val="0"/>
          <w:tblHeader w:val="0"/>
        </w:trPr>
        <w:tc>
          <w:tcPr>
            <w:tcMar>
              <w:top w:w="120.0" w:type="dxa"/>
              <w:left w:w="150.0" w:type="dxa"/>
              <w:bottom w:w="120.0" w:type="dxa"/>
              <w:right w:w="150.0" w:type="dxa"/>
            </w:tcMar>
          </w:tcPr>
          <w:p w:rsidR="00000000" w:rsidDel="00000000" w:rsidP="00000000" w:rsidRDefault="00000000" w:rsidRPr="00000000" w14:paraId="00000023">
            <w:pPr>
              <w:rPr>
                <w:sz w:val="14"/>
                <w:szCs w:val="14"/>
              </w:rPr>
            </w:pPr>
            <w:r w:rsidDel="00000000" w:rsidR="00000000" w:rsidRPr="00000000">
              <w:rPr>
                <w:color w:val="2d3748"/>
                <w:sz w:val="14"/>
                <w:szCs w:val="14"/>
                <w:rtl w:val="0"/>
              </w:rPr>
              <w:t xml:space="preserve">Vector Database</w:t>
            </w:r>
            <w:r w:rsidDel="00000000" w:rsidR="00000000" w:rsidRPr="00000000">
              <w:rPr>
                <w:rtl w:val="0"/>
              </w:rPr>
            </w:r>
          </w:p>
        </w:tc>
        <w:tc>
          <w:tcPr>
            <w:tcMar>
              <w:top w:w="120.0" w:type="dxa"/>
              <w:left w:w="150.0" w:type="dxa"/>
              <w:bottom w:w="120.0" w:type="dxa"/>
              <w:right w:w="150.0" w:type="dxa"/>
            </w:tcMar>
          </w:tcPr>
          <w:p w:rsidR="00000000" w:rsidDel="00000000" w:rsidP="00000000" w:rsidRDefault="00000000" w:rsidRPr="00000000" w14:paraId="00000024">
            <w:pPr>
              <w:rPr>
                <w:sz w:val="14"/>
                <w:szCs w:val="14"/>
              </w:rPr>
            </w:pPr>
            <w:r w:rsidDel="00000000" w:rsidR="00000000" w:rsidRPr="00000000">
              <w:rPr>
                <w:color w:val="2d3748"/>
                <w:sz w:val="14"/>
                <w:szCs w:val="14"/>
                <w:rtl w:val="0"/>
              </w:rPr>
              <w:t xml:space="preserve">ChromaDB 0.4.24</w:t>
            </w:r>
            <w:r w:rsidDel="00000000" w:rsidR="00000000" w:rsidRPr="00000000">
              <w:rPr>
                <w:rtl w:val="0"/>
              </w:rPr>
            </w:r>
          </w:p>
        </w:tc>
        <w:tc>
          <w:tcPr>
            <w:tcMar>
              <w:top w:w="120.0" w:type="dxa"/>
              <w:left w:w="150.0" w:type="dxa"/>
              <w:bottom w:w="120.0" w:type="dxa"/>
              <w:right w:w="150.0" w:type="dxa"/>
            </w:tcMar>
          </w:tcPr>
          <w:p w:rsidR="00000000" w:rsidDel="00000000" w:rsidP="00000000" w:rsidRDefault="00000000" w:rsidRPr="00000000" w14:paraId="00000025">
            <w:pPr>
              <w:rPr>
                <w:sz w:val="12"/>
                <w:szCs w:val="12"/>
              </w:rPr>
            </w:pPr>
            <w:r w:rsidDel="00000000" w:rsidR="00000000" w:rsidRPr="00000000">
              <w:rPr>
                <w:color w:val="2d3748"/>
                <w:sz w:val="12"/>
                <w:szCs w:val="12"/>
                <w:rtl w:val="0"/>
              </w:rPr>
              <w:t xml:space="preserve">Local persistent vector storage and cosine similarity search</w:t>
            </w:r>
            <w:r w:rsidDel="00000000" w:rsidR="00000000" w:rsidRPr="00000000">
              <w:rPr>
                <w:rtl w:val="0"/>
              </w:rPr>
            </w:r>
          </w:p>
        </w:tc>
      </w:tr>
      <w:tr>
        <w:trPr>
          <w:cantSplit w:val="0"/>
          <w:tblHeader w:val="0"/>
        </w:trPr>
        <w:tc>
          <w:tcPr>
            <w:shd w:fill="f7fafc" w:val="clear"/>
            <w:tcMar>
              <w:top w:w="120.0" w:type="dxa"/>
              <w:left w:w="150.0" w:type="dxa"/>
              <w:bottom w:w="120.0" w:type="dxa"/>
              <w:right w:w="150.0" w:type="dxa"/>
            </w:tcMar>
          </w:tcPr>
          <w:p w:rsidR="00000000" w:rsidDel="00000000" w:rsidP="00000000" w:rsidRDefault="00000000" w:rsidRPr="00000000" w14:paraId="00000026">
            <w:pPr>
              <w:rPr>
                <w:sz w:val="14"/>
                <w:szCs w:val="14"/>
              </w:rPr>
            </w:pPr>
            <w:r w:rsidDel="00000000" w:rsidR="00000000" w:rsidRPr="00000000">
              <w:rPr>
                <w:color w:val="2d3748"/>
                <w:sz w:val="14"/>
                <w:szCs w:val="14"/>
                <w:rtl w:val="0"/>
              </w:rPr>
              <w:t xml:space="preserve">Embedding Model</w:t>
            </w:r>
            <w:r w:rsidDel="00000000" w:rsidR="00000000" w:rsidRPr="00000000">
              <w:rPr>
                <w:rtl w:val="0"/>
              </w:rPr>
            </w:r>
          </w:p>
        </w:tc>
        <w:tc>
          <w:tcPr>
            <w:shd w:fill="f7fafc" w:val="clear"/>
            <w:tcMar>
              <w:top w:w="120.0" w:type="dxa"/>
              <w:left w:w="150.0" w:type="dxa"/>
              <w:bottom w:w="120.0" w:type="dxa"/>
              <w:right w:w="150.0" w:type="dxa"/>
            </w:tcMar>
          </w:tcPr>
          <w:p w:rsidR="00000000" w:rsidDel="00000000" w:rsidP="00000000" w:rsidRDefault="00000000" w:rsidRPr="00000000" w14:paraId="00000027">
            <w:pPr>
              <w:rPr>
                <w:sz w:val="14"/>
                <w:szCs w:val="14"/>
              </w:rPr>
            </w:pPr>
            <w:r w:rsidDel="00000000" w:rsidR="00000000" w:rsidRPr="00000000">
              <w:rPr>
                <w:color w:val="2d3748"/>
                <w:sz w:val="14"/>
                <w:szCs w:val="14"/>
                <w:rtl w:val="0"/>
              </w:rPr>
              <w:t xml:space="preserve">all-MiniLM-L6-v2 (384-dim)</w:t>
            </w:r>
            <w:r w:rsidDel="00000000" w:rsidR="00000000" w:rsidRPr="00000000">
              <w:rPr>
                <w:rtl w:val="0"/>
              </w:rPr>
            </w:r>
          </w:p>
        </w:tc>
        <w:tc>
          <w:tcPr>
            <w:shd w:fill="f7fafc" w:val="clear"/>
            <w:tcMar>
              <w:top w:w="120.0" w:type="dxa"/>
              <w:left w:w="150.0" w:type="dxa"/>
              <w:bottom w:w="120.0" w:type="dxa"/>
              <w:right w:w="150.0" w:type="dxa"/>
            </w:tcMar>
          </w:tcPr>
          <w:p w:rsidR="00000000" w:rsidDel="00000000" w:rsidP="00000000" w:rsidRDefault="00000000" w:rsidRPr="00000000" w14:paraId="00000028">
            <w:pPr>
              <w:rPr>
                <w:sz w:val="12"/>
                <w:szCs w:val="12"/>
              </w:rPr>
            </w:pPr>
            <w:r w:rsidDel="00000000" w:rsidR="00000000" w:rsidRPr="00000000">
              <w:rPr>
                <w:color w:val="2d3748"/>
                <w:sz w:val="12"/>
                <w:szCs w:val="12"/>
                <w:rtl w:val="0"/>
              </w:rPr>
              <w:t xml:space="preserve">Lightweight, high-accuracy semantic embeddings</w:t>
            </w:r>
            <w:r w:rsidDel="00000000" w:rsidR="00000000" w:rsidRPr="00000000">
              <w:rPr>
                <w:rtl w:val="0"/>
              </w:rPr>
            </w:r>
          </w:p>
        </w:tc>
      </w:tr>
      <w:tr>
        <w:trPr>
          <w:cantSplit w:val="0"/>
          <w:tblHeader w:val="0"/>
        </w:trPr>
        <w:tc>
          <w:tcPr>
            <w:tcMar>
              <w:top w:w="120.0" w:type="dxa"/>
              <w:left w:w="150.0" w:type="dxa"/>
              <w:bottom w:w="120.0" w:type="dxa"/>
              <w:right w:w="150.0" w:type="dxa"/>
            </w:tcMar>
          </w:tcPr>
          <w:p w:rsidR="00000000" w:rsidDel="00000000" w:rsidP="00000000" w:rsidRDefault="00000000" w:rsidRPr="00000000" w14:paraId="00000029">
            <w:pPr>
              <w:rPr>
                <w:sz w:val="14"/>
                <w:szCs w:val="14"/>
              </w:rPr>
            </w:pPr>
            <w:r w:rsidDel="00000000" w:rsidR="00000000" w:rsidRPr="00000000">
              <w:rPr>
                <w:color w:val="2d3748"/>
                <w:sz w:val="14"/>
                <w:szCs w:val="14"/>
                <w:rtl w:val="0"/>
              </w:rPr>
              <w:t xml:space="preserve">Local LLM Runtime</w:t>
            </w:r>
            <w:r w:rsidDel="00000000" w:rsidR="00000000" w:rsidRPr="00000000">
              <w:rPr>
                <w:rtl w:val="0"/>
              </w:rPr>
            </w:r>
          </w:p>
        </w:tc>
        <w:tc>
          <w:tcPr>
            <w:tcMar>
              <w:top w:w="120.0" w:type="dxa"/>
              <w:left w:w="150.0" w:type="dxa"/>
              <w:bottom w:w="120.0" w:type="dxa"/>
              <w:right w:w="150.0" w:type="dxa"/>
            </w:tcMar>
          </w:tcPr>
          <w:p w:rsidR="00000000" w:rsidDel="00000000" w:rsidP="00000000" w:rsidRDefault="00000000" w:rsidRPr="00000000" w14:paraId="0000002A">
            <w:pPr>
              <w:rPr>
                <w:sz w:val="14"/>
                <w:szCs w:val="14"/>
              </w:rPr>
            </w:pPr>
            <w:r w:rsidDel="00000000" w:rsidR="00000000" w:rsidRPr="00000000">
              <w:rPr>
                <w:color w:val="2d3748"/>
                <w:sz w:val="14"/>
                <w:szCs w:val="14"/>
                <w:rtl w:val="0"/>
              </w:rPr>
              <w:t xml:space="preserve">Ollama 0.40.3 (llama3.2:3b)</w:t>
            </w:r>
            <w:r w:rsidDel="00000000" w:rsidR="00000000" w:rsidRPr="00000000">
              <w:rPr>
                <w:rtl w:val="0"/>
              </w:rPr>
            </w:r>
          </w:p>
        </w:tc>
        <w:tc>
          <w:tcPr>
            <w:tcMar>
              <w:top w:w="120.0" w:type="dxa"/>
              <w:left w:w="150.0" w:type="dxa"/>
              <w:bottom w:w="120.0" w:type="dxa"/>
              <w:right w:w="150.0" w:type="dxa"/>
            </w:tcMar>
          </w:tcPr>
          <w:p w:rsidR="00000000" w:rsidDel="00000000" w:rsidP="00000000" w:rsidRDefault="00000000" w:rsidRPr="00000000" w14:paraId="0000002B">
            <w:pPr>
              <w:rPr>
                <w:sz w:val="12"/>
                <w:szCs w:val="12"/>
              </w:rPr>
            </w:pPr>
            <w:r w:rsidDel="00000000" w:rsidR="00000000" w:rsidRPr="00000000">
              <w:rPr>
                <w:color w:val="2d3748"/>
                <w:sz w:val="12"/>
                <w:szCs w:val="12"/>
                <w:rtl w:val="0"/>
              </w:rPr>
              <w:t xml:space="preserve">100% on-premises, privacy-preserving generative inference</w:t>
            </w:r>
            <w:r w:rsidDel="00000000" w:rsidR="00000000" w:rsidRPr="00000000">
              <w:rPr>
                <w:rtl w:val="0"/>
              </w:rPr>
            </w:r>
          </w:p>
        </w:tc>
      </w:tr>
      <w:tr>
        <w:trPr>
          <w:cantSplit w:val="0"/>
          <w:tblHeader w:val="0"/>
        </w:trPr>
        <w:tc>
          <w:tcPr>
            <w:shd w:fill="f7fafc" w:val="clear"/>
            <w:tcMar>
              <w:top w:w="120.0" w:type="dxa"/>
              <w:left w:w="150.0" w:type="dxa"/>
              <w:bottom w:w="120.0" w:type="dxa"/>
              <w:right w:w="150.0" w:type="dxa"/>
            </w:tcMar>
          </w:tcPr>
          <w:p w:rsidR="00000000" w:rsidDel="00000000" w:rsidP="00000000" w:rsidRDefault="00000000" w:rsidRPr="00000000" w14:paraId="0000002C">
            <w:pPr>
              <w:rPr>
                <w:sz w:val="14"/>
                <w:szCs w:val="14"/>
              </w:rPr>
            </w:pPr>
            <w:r w:rsidDel="00000000" w:rsidR="00000000" w:rsidRPr="00000000">
              <w:rPr>
                <w:color w:val="2d3748"/>
                <w:sz w:val="14"/>
                <w:szCs w:val="14"/>
                <w:rtl w:val="0"/>
              </w:rPr>
              <w:t xml:space="preserve">Relational Database</w:t>
            </w:r>
            <w:r w:rsidDel="00000000" w:rsidR="00000000" w:rsidRPr="00000000">
              <w:rPr>
                <w:rtl w:val="0"/>
              </w:rPr>
            </w:r>
          </w:p>
        </w:tc>
        <w:tc>
          <w:tcPr>
            <w:shd w:fill="f7fafc" w:val="clear"/>
            <w:tcMar>
              <w:top w:w="120.0" w:type="dxa"/>
              <w:left w:w="150.0" w:type="dxa"/>
              <w:bottom w:w="120.0" w:type="dxa"/>
              <w:right w:w="150.0" w:type="dxa"/>
            </w:tcMar>
          </w:tcPr>
          <w:p w:rsidR="00000000" w:rsidDel="00000000" w:rsidP="00000000" w:rsidRDefault="00000000" w:rsidRPr="00000000" w14:paraId="0000002D">
            <w:pPr>
              <w:rPr>
                <w:sz w:val="14"/>
                <w:szCs w:val="14"/>
              </w:rPr>
            </w:pPr>
            <w:r w:rsidDel="00000000" w:rsidR="00000000" w:rsidRPr="00000000">
              <w:rPr>
                <w:color w:val="2d3748"/>
                <w:sz w:val="14"/>
                <w:szCs w:val="14"/>
                <w:rtl w:val="0"/>
              </w:rPr>
              <w:t xml:space="preserve">SQLite 3 / SQLAlchemy 2.0</w:t>
            </w:r>
            <w:r w:rsidDel="00000000" w:rsidR="00000000" w:rsidRPr="00000000">
              <w:rPr>
                <w:rtl w:val="0"/>
              </w:rPr>
            </w:r>
          </w:p>
        </w:tc>
        <w:tc>
          <w:tcPr>
            <w:shd w:fill="f7fafc" w:val="clear"/>
            <w:tcMar>
              <w:top w:w="120.0" w:type="dxa"/>
              <w:left w:w="150.0" w:type="dxa"/>
              <w:bottom w:w="120.0" w:type="dxa"/>
              <w:right w:w="150.0" w:type="dxa"/>
            </w:tcMar>
          </w:tcPr>
          <w:p w:rsidR="00000000" w:rsidDel="00000000" w:rsidP="00000000" w:rsidRDefault="00000000" w:rsidRPr="00000000" w14:paraId="0000002E">
            <w:pPr>
              <w:rPr>
                <w:sz w:val="12"/>
                <w:szCs w:val="12"/>
              </w:rPr>
            </w:pPr>
            <w:r w:rsidDel="00000000" w:rsidR="00000000" w:rsidRPr="00000000">
              <w:rPr>
                <w:color w:val="2d3748"/>
                <w:sz w:val="12"/>
                <w:szCs w:val="12"/>
                <w:rtl w:val="0"/>
              </w:rPr>
              <w:t xml:space="preserve">14 relational tables with full foreign-key constraints</w:t>
            </w:r>
            <w:r w:rsidDel="00000000" w:rsidR="00000000" w:rsidRPr="00000000">
              <w:rPr>
                <w:rtl w:val="0"/>
              </w:rPr>
            </w:r>
          </w:p>
        </w:tc>
      </w:tr>
    </w:tbl>
    <w:p w:rsidR="00000000" w:rsidDel="00000000" w:rsidP="00000000" w:rsidRDefault="00000000" w:rsidRPr="00000000" w14:paraId="0000002F">
      <w:pPr>
        <w:pStyle w:val="Heading1"/>
        <w:keepNext w:val="1"/>
        <w:spacing w:after="120" w:before="280" w:lineRule="auto"/>
        <w:rPr>
          <w:sz w:val="22"/>
          <w:szCs w:val="22"/>
        </w:rPr>
      </w:pPr>
      <w:r w:rsidDel="00000000" w:rsidR="00000000" w:rsidRPr="00000000">
        <w:rPr>
          <w:b w:val="1"/>
          <w:bCs w:val="1"/>
          <w:color w:val="1b365d"/>
          <w:sz w:val="22"/>
          <w:szCs w:val="22"/>
          <w:rtl w:val="0"/>
        </w:rPr>
        <w:t xml:space="preserve">6. Implemented Outcomes &amp; Verification</w:t>
      </w:r>
      <w:r w:rsidDel="00000000" w:rsidR="00000000" w:rsidRPr="00000000">
        <w:rPr>
          <w:rtl w:val="0"/>
        </w:rPr>
      </w:r>
    </w:p>
    <w:p w:rsidR="00000000" w:rsidDel="00000000" w:rsidP="00000000" w:rsidRDefault="00000000" w:rsidRPr="00000000" w14:paraId="00000030">
      <w:pPr>
        <w:rPr>
          <w:sz w:val="18"/>
          <w:szCs w:val="18"/>
        </w:rPr>
      </w:pPr>
      <w:r w:rsidDel="00000000" w:rsidR="00000000" w:rsidRPr="00000000">
        <w:rPr>
          <w:sz w:val="18"/>
          <w:szCs w:val="18"/>
          <w:rtl w:val="0"/>
        </w:rPr>
        <w:t xml:space="preserve">All planned core modules have been fully implemented and verified. The platform features an automated test suite of 28 unit and integration tests executing across 12 test modules via Pytest 9.1.1, achieving a 100% pass rate in 27.35 seconds. The system successfully extracts SWCs, Runnables, Ports, and Signals; renders interactive Mermaid component topology graphs; generates grounded natural language answers with exact citations; flags rule violations; and exports sanitized CSV reports.</w:t>
      </w:r>
    </w:p>
    <w:p w:rsidR="00000000" w:rsidDel="00000000" w:rsidP="00000000" w:rsidRDefault="00000000" w:rsidRPr="00000000" w14:paraId="00000031">
      <w:pPr>
        <w:pStyle w:val="Heading1"/>
        <w:keepNext w:val="1"/>
        <w:spacing w:after="120" w:before="280" w:lineRule="auto"/>
        <w:rPr>
          <w:sz w:val="22"/>
          <w:szCs w:val="22"/>
        </w:rPr>
      </w:pPr>
      <w:r w:rsidDel="00000000" w:rsidR="00000000" w:rsidRPr="00000000">
        <w:rPr>
          <w:b w:val="1"/>
          <w:bCs w:val="1"/>
          <w:color w:val="1b365d"/>
          <w:sz w:val="22"/>
          <w:szCs w:val="22"/>
          <w:rtl w:val="0"/>
        </w:rPr>
        <w:t xml:space="preserve">7. Limitations &amp; Future Scope</w:t>
      </w:r>
      <w:r w:rsidDel="00000000" w:rsidR="00000000" w:rsidRPr="00000000">
        <w:rPr>
          <w:rtl w:val="0"/>
        </w:rPr>
      </w:r>
    </w:p>
    <w:p w:rsidR="00000000" w:rsidDel="00000000" w:rsidP="00000000" w:rsidRDefault="00000000" w:rsidRPr="00000000" w14:paraId="00000032">
      <w:pPr>
        <w:rPr>
          <w:sz w:val="18"/>
          <w:szCs w:val="18"/>
        </w:rPr>
      </w:pPr>
      <w:r w:rsidDel="00000000" w:rsidR="00000000" w:rsidRPr="00000000">
        <w:rPr>
          <w:sz w:val="18"/>
          <w:szCs w:val="18"/>
          <w:rtl w:val="0"/>
        </w:rPr>
        <w:t xml:space="preserve">Current limitations include reliance on text-searchable PDFs (raster scanned PDFs produce empty text) and heuristic regex extraction. Future work will incorporate: (1) Bidirectional ARXML AST parsing to generate formal AUTOSAR XML models directly; (2) Tesseract OCR for scanned legacy specifications; and (3) Real-time CAN/Ethernet bus timing simulation integration.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4DmQwREB7+OHIKwOUnaLkfjjAA==">CgMxLjA4AHIhMVJZUW1zTUpvUHFVTmR1RUwxX0xGX016ZzJDYVo3M3FC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