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40"/>
        <w:jc w:val="center"/>
      </w:pPr>
      <w:r>
        <w:rPr>
          <w:rFonts w:ascii="Times New Roman" w:hAnsi="Times New Roman" w:eastAsia="宋体"/>
          <w:b/>
          <w:sz w:val="36"/>
        </w:rPr>
        <w:t>分子克隆与 Western Blot 技术学习报告</w:t>
      </w:r>
    </w:p>
    <w:p>
      <w:pPr>
        <w:spacing w:before="40" w:after="320"/>
        <w:jc w:val="center"/>
      </w:pPr>
      <w:r>
        <w:rPr>
          <w:rFonts w:ascii="Times New Roman" w:hAnsi="Times New Roman" w:eastAsia="宋体"/>
          <w:b w:val="0"/>
          <w:sz w:val="24"/>
        </w:rPr>
        <w:t>2026年7月</w:t>
      </w:r>
    </w:p>
    <w:p>
      <w:pPr>
        <w:spacing w:before="320" w:after="160"/>
      </w:pPr>
      <w:r>
        <w:rPr>
          <w:rFonts w:ascii="Times New Roman" w:hAnsi="Times New Roman" w:eastAsia="宋体"/>
          <w:b/>
          <w:sz w:val="30"/>
        </w:rPr>
        <w:t>摘要</w:t>
      </w:r>
    </w:p>
    <w:p>
      <w:pPr>
        <w:spacing w:before="40" w:after="80"/>
        <w:ind w:firstLine="420"/>
      </w:pPr>
      <w:r>
        <w:rPr>
          <w:rFonts w:ascii="Times New Roman" w:hAnsi="Times New Roman" w:eastAsia="宋体"/>
          <w:b w:val="0"/>
          <w:sz w:val="24"/>
        </w:rPr>
        <w:t>分子克隆与 Western Blot 是现代分子生物学与生物化学领域的两项基础性核心技术。分子克隆实现了外源基因在宿主细胞中的重组表达，是蛋白质功能研究的起点；Western Blot 则提供了从复杂生物样本中特异性检测目标蛋白质的定量与定性分析手段。本报告系统梳理了两项技术的原理体系、操作流程、关键优化策略及联合应用逻辑，旨在构建从基因克隆到蛋白质验证的完整方法论框架。</w:t>
      </w:r>
    </w:p>
    <w:p>
      <w:pPr>
        <w:spacing w:before="320" w:after="160"/>
      </w:pPr>
      <w:r>
        <w:rPr>
          <w:rFonts w:ascii="Times New Roman" w:hAnsi="Times New Roman" w:eastAsia="宋体"/>
          <w:b/>
          <w:sz w:val="30"/>
        </w:rPr>
        <w:t>一、分子克隆技术</w:t>
      </w:r>
    </w:p>
    <w:p>
      <w:pPr>
        <w:spacing w:before="200" w:after="80"/>
      </w:pPr>
      <w:r>
        <w:rPr>
          <w:rFonts w:ascii="Times New Roman" w:hAnsi="Times New Roman" w:eastAsia="宋体"/>
          <w:b/>
          <w:sz w:val="26"/>
        </w:rPr>
        <w:t>1.1 技术原理</w:t>
      </w:r>
    </w:p>
    <w:p>
      <w:pPr>
        <w:spacing w:before="40" w:after="80"/>
        <w:ind w:firstLine="420"/>
      </w:pPr>
      <w:r>
        <w:rPr>
          <w:rFonts w:ascii="Times New Roman" w:hAnsi="Times New Roman" w:eastAsia="宋体"/>
          <w:b w:val="0"/>
          <w:sz w:val="24"/>
        </w:rPr>
        <w:t>分子克隆（Molecular Cloning）是指在体外将目的基因（DNA片段）与载体DNA连接形成重组分子，将其导入宿主细胞中进行复制与表达的技术体系。其核心理论基础包括：限制性内切酶对DNA序列的特异性识别与切割、DNA连接酶催化的磷酸二酯键形成、感受态细胞对外源DNA的摄取机制，以及抗生素筛选标记对重组子的选择性富集。</w:t>
      </w:r>
    </w:p>
    <w:p>
      <w:pPr>
        <w:spacing w:before="40" w:after="80"/>
        <w:ind w:firstLine="420"/>
      </w:pPr>
      <w:r>
        <w:rPr>
          <w:rFonts w:ascii="Times New Roman" w:hAnsi="Times New Roman" w:eastAsia="宋体"/>
          <w:b w:val="0"/>
          <w:sz w:val="24"/>
        </w:rPr>
        <w:t>在操作层面，分子克隆遵循DNA重组→转化→筛选→验证的逻辑主线。限制性内切酶（如EcoRI、BamHI、HindIII等II型限制酶）识别4–8 bp的回文序列并产生粘性末端或平末端切口；T4 DNA连接酶以ATP为辅助因子催化3'-羟基与5'-磷酸基团之间的共价连接，将目的片段与线性化载体重新环化。重组质粒通过热激法或电穿孔法转入大肠杆菌感受态细胞后，利用载体携带的抗生素抗性基因（如氨苄青霉素抗性基因AmpR、卡那霉素抗性基因KanR）在选择性平板上筛选阳性克隆。</w:t>
      </w:r>
    </w:p>
    <w:p>
      <w:pPr>
        <w:spacing w:before="40" w:after="80"/>
        <w:ind w:firstLine="420"/>
      </w:pPr>
      <w:r>
        <w:rPr>
          <w:rFonts w:ascii="Times New Roman" w:hAnsi="Times New Roman" w:eastAsia="宋体"/>
          <w:b w:val="0"/>
          <w:sz w:val="24"/>
        </w:rPr>
        <w:t>根据应用目的，载体可分为克隆载体与表达载体两大类。克隆载体（如pUC18/19、pBluescript）以高拷贝复制、多克隆位点丰富、蓝白斑筛选便利为特征，主要用于DNA片段的保存、扩增与测序。表达载体则在此基础上增加强启动子（原核系统如T7/lac、真核系统如CMV/EF1α）、核糖体结合位点（RBS）或Kozak序列、终止子及融合标签序列（6×His、GST、FLAG、HA、Myc等），用于驱动目的蛋白在宿主细胞中的转录与翻译。原核表达常用pET系列（配套BL21(DE3)宿主与IPTG诱导），真核表达常用pcDNA3.1、pEGFP-N1等载体。</w:t>
      </w:r>
    </w:p>
    <w:p>
      <w:pPr>
        <w:spacing w:before="200" w:after="80"/>
      </w:pPr>
      <w:r>
        <w:rPr>
          <w:rFonts w:ascii="Times New Roman" w:hAnsi="Times New Roman" w:eastAsia="宋体"/>
          <w:b/>
          <w:sz w:val="26"/>
        </w:rPr>
        <w:t>1.2 关键操作步骤</w:t>
      </w:r>
    </w:p>
    <w:p>
      <w:pPr>
        <w:spacing w:before="200" w:after="80"/>
      </w:pPr>
      <w:r>
        <w:rPr>
          <w:rFonts w:ascii="Times New Roman" w:hAnsi="Times New Roman" w:eastAsia="宋体"/>
          <w:b/>
          <w:sz w:val="26"/>
        </w:rPr>
        <w:t>1.2.1 目的片段的 PCR 扩增</w:t>
      </w:r>
    </w:p>
    <w:p>
      <w:pPr>
        <w:spacing w:before="40" w:after="80"/>
        <w:ind w:firstLine="420"/>
      </w:pPr>
      <w:r>
        <w:rPr>
          <w:rFonts w:ascii="Times New Roman" w:hAnsi="Times New Roman" w:eastAsia="宋体"/>
          <w:b w:val="0"/>
          <w:sz w:val="24"/>
        </w:rPr>
        <w:t>PCR（聚合酶链式反应）是获取目的基因最常用的手段。引物设计是决定扩增成功率的关键环节，基本原则包括：引物长度18–25 bp，GC含量40–60%，Tm值55–65℃且上下游Tm差值不超过5℃，避免引物二聚体（特别是3'端连续互补）和发夹结构。对于后续需要克隆入载体的片段，须在引物5'端引入限制酶识别序列（通常额外添加3–6个保护碱基以保证酶切效率），并确保插入后阅读框（ORF）与载体上的启动子、标签序列保持一致。</w:t>
      </w:r>
    </w:p>
    <w:p>
      <w:pPr>
        <w:spacing w:before="40" w:after="80"/>
        <w:ind w:firstLine="420"/>
      </w:pPr>
      <w:r>
        <w:rPr>
          <w:rFonts w:ascii="Times New Roman" w:hAnsi="Times New Roman" w:eastAsia="宋体"/>
          <w:b w:val="0"/>
          <w:sz w:val="24"/>
        </w:rPr>
        <w:t>高保真PCR推荐使用Pfu或Q5等具3'→5'外切校正活性的DNA聚合酶，其错误率比Taq酶低10–100倍（约10⁻⁶/bp/循环）。PCR循环参数通常为：95℃预变性3分钟→（95℃ 30 s、退火温度30 s、72℃ 1 kb/min）25–35个循环→72℃终延伸5–10分钟。退火温度以引物Tm值减3–5℃为起点，必要时通过梯度PCR优化。扩增产物以1%–1.5%琼脂糖凝胶电泳验证大小后进行胶回收纯化。</w:t>
      </w:r>
    </w:p>
    <w:p>
      <w:pPr>
        <w:spacing w:before="200" w:after="80"/>
      </w:pPr>
      <w:r>
        <w:rPr>
          <w:rFonts w:ascii="Times New Roman" w:hAnsi="Times New Roman" w:eastAsia="宋体"/>
          <w:b/>
          <w:sz w:val="26"/>
        </w:rPr>
        <w:t>1.2.2 限制性内切酶酶切</w:t>
      </w:r>
    </w:p>
    <w:p>
      <w:pPr>
        <w:spacing w:before="40" w:after="80"/>
        <w:ind w:firstLine="420"/>
      </w:pPr>
      <w:r>
        <w:rPr>
          <w:rFonts w:ascii="Times New Roman" w:hAnsi="Times New Roman" w:eastAsia="宋体"/>
          <w:b w:val="0"/>
          <w:sz w:val="24"/>
        </w:rPr>
        <w:t>酶切是分子克隆的关键步骤，其准确性直接影响后续连接效率。操作要点包括：根据载体多克隆位点（MCS）选择合适的酶切位点，优先采用双酶切策略产生非对称粘性末端以避免载体自连；反应体系需在推荐缓冲液条件下进行，BSA的添加与否取决于酶的供应商说明；酶切时间通常为37℃孵育1–2小时，过度酶切可能产生星号活性（Star Activity）——即在非识别序列位点发生非特异性切割；酶切产物以琼脂糖凝胶电泳分离验证，以DNA分子量标准（DNA Ladder）为参照确认条带位置与大小。</w:t>
      </w:r>
    </w:p>
    <w:p>
      <w:pPr>
        <w:spacing w:before="40" w:after="80"/>
        <w:ind w:firstLine="420"/>
      </w:pPr>
      <w:r>
        <w:rPr>
          <w:rFonts w:ascii="Times New Roman" w:hAnsi="Times New Roman" w:eastAsia="宋体"/>
          <w:b w:val="0"/>
          <w:sz w:val="24"/>
        </w:rPr>
        <w:t>PCR产物与载体均需进行酶切。载体酶切后为降低自连背景，推荐进行去磷酸化处理：使用小牛肠碱性磷酸酶（CIP）或虾碱性磷酸酶（SAP）切除载体5'端的磷酸基团，使未连入插入片段的载体无法重新环化。SAP因可在65℃加热灭活（CIP需酚氯仿抽提）而更为便捷。</w:t>
      </w:r>
    </w:p>
    <w:p>
      <w:pPr>
        <w:spacing w:before="200" w:after="80"/>
      </w:pPr>
      <w:r>
        <w:rPr>
          <w:rFonts w:ascii="Times New Roman" w:hAnsi="Times New Roman" w:eastAsia="宋体"/>
          <w:b/>
          <w:sz w:val="26"/>
        </w:rPr>
        <w:t>1.2.3 胶回收纯化</w:t>
      </w:r>
    </w:p>
    <w:p>
      <w:pPr>
        <w:spacing w:before="40" w:after="80"/>
        <w:ind w:firstLine="420"/>
      </w:pPr>
      <w:r>
        <w:rPr>
          <w:rFonts w:ascii="Times New Roman" w:hAnsi="Times New Roman" w:eastAsia="宋体"/>
          <w:b w:val="0"/>
          <w:sz w:val="24"/>
        </w:rPr>
        <w:t>酶切后的载体与PCR产物需经琼脂糖凝胶电泳分离后切胶回收，以去除未切的载体、引物二聚体及酶切产生的小片段。操作流程为：电泳→紫外灯下切取目标条带（操作迅速，避免长时间紫外照射造成DNA损伤）→以商品化胶回收试剂盒（基于硅胶膜吸附原理）回收DNA片段。回收效率通常为50%–80%，片段越大回收效率越低。回收产物以Nanodrop测定浓度后即可用于连接反应。</w:t>
      </w:r>
    </w:p>
    <w:p>
      <w:pPr>
        <w:spacing w:before="200" w:after="80"/>
      </w:pPr>
      <w:r>
        <w:rPr>
          <w:rFonts w:ascii="Times New Roman" w:hAnsi="Times New Roman" w:eastAsia="宋体"/>
          <w:b/>
          <w:sz w:val="26"/>
        </w:rPr>
        <w:t>1.2.4 目的片段与载体的连接</w:t>
      </w:r>
    </w:p>
    <w:p>
      <w:pPr>
        <w:spacing w:before="40" w:after="80"/>
        <w:ind w:firstLine="420"/>
      </w:pPr>
      <w:r>
        <w:rPr>
          <w:rFonts w:ascii="Times New Roman" w:hAnsi="Times New Roman" w:eastAsia="宋体"/>
          <w:b w:val="0"/>
          <w:sz w:val="24"/>
        </w:rPr>
        <w:t>连接反应是决定克隆效率的关键瓶颈步骤。插入片段与载体的摩尔比推荐为3:1至10:1，可通过以下公式估算：</w:t>
      </w:r>
    </w:p>
    <w:p>
      <w:pPr>
        <w:spacing w:before="40" w:after="80"/>
        <w:ind w:firstLine="420"/>
      </w:pPr>
      <w:r>
        <w:rPr>
          <w:rFonts w:ascii="Times New Roman" w:hAnsi="Times New Roman" w:eastAsia="宋体"/>
          <w:b w:val="0"/>
          <w:sz w:val="24"/>
        </w:rPr>
        <w:t>所需插入片段量 (ng) = (载体量 (ng) × 插入片段长度 (kb) ÷ 载体长度 (kb)) × 摩尔比</w:t>
      </w:r>
    </w:p>
    <w:p>
      <w:pPr>
        <w:spacing w:before="40" w:after="80"/>
        <w:ind w:firstLine="420"/>
      </w:pPr>
      <w:r>
        <w:rPr>
          <w:rFonts w:ascii="Times New Roman" w:hAnsi="Times New Roman" w:eastAsia="宋体"/>
          <w:b w:val="0"/>
          <w:sz w:val="24"/>
        </w:rPr>
        <w:t>T4 DNA连接酶的催化条件为16℃孵育过夜（12–16小时）或室温（22–25℃）孵育1–2小时。平末端连接的效率显著低于粘性末端（约低10–100倍），可通过增加连接酶用量（至1–2 Weiss单位/μL）或添加PEG 4000（终浓度5%–15%）作为分子拥挤剂加以补偿。连接对照（仅载体、无插入片段的连接反应）是评估载体自连背景的必要设置——若对照平板菌落数与实验组相当，说明载体去磷酸化不充分或酶切不完全，需重新制备线性化载体。</w:t>
      </w:r>
    </w:p>
    <w:p>
      <w:pPr>
        <w:spacing w:before="200" w:after="80"/>
      </w:pPr>
      <w:r>
        <w:rPr>
          <w:rFonts w:ascii="Times New Roman" w:hAnsi="Times New Roman" w:eastAsia="宋体"/>
          <w:b/>
          <w:sz w:val="26"/>
        </w:rPr>
        <w:t>1.2.5 感受态细胞制备与转化</w:t>
      </w:r>
    </w:p>
    <w:p>
      <w:pPr>
        <w:spacing w:before="40" w:after="80"/>
        <w:ind w:firstLine="420"/>
      </w:pPr>
      <w:r>
        <w:rPr>
          <w:rFonts w:ascii="Times New Roman" w:hAnsi="Times New Roman" w:eastAsia="宋体"/>
          <w:b w:val="0"/>
          <w:sz w:val="24"/>
        </w:rPr>
        <w:t>感受态细胞是指经特殊处理具备摄取外源DNA能力的细菌细胞。实验室常用的CaCl₂法感受态制备流程为：将过夜培养的菌液1:100稀释至LB培养基→37℃培养至OD₆₀₀达0.35–0.50（对数生长中期）→冰浴10分钟→4℃ 4,000 g离心10分钟收集菌体→以预冷的0.1 M CaCl₂重悬→冰浴30分钟→再次离心后以含15%甘油的0.1 M CaCl₂重悬→分装并液氮速冻后-80℃保存。CaCl₂使细胞膜通透性增加的机制与钙离子中和膜表面负电荷、改变膜脂流动性有关。</w:t>
      </w:r>
    </w:p>
    <w:p>
      <w:pPr>
        <w:spacing w:before="40" w:after="80"/>
        <w:ind w:firstLine="420"/>
      </w:pPr>
      <w:r>
        <w:rPr>
          <w:rFonts w:ascii="Times New Roman" w:hAnsi="Times New Roman" w:eastAsia="宋体"/>
          <w:b w:val="0"/>
          <w:sz w:val="24"/>
        </w:rPr>
        <w:t>热激转化法的标准流程为：将连接产物（或质粒DNA）与冰上融化的感受态细胞轻柔混匀→冰浴30分钟→42℃热激45–90秒（精确控制时间与温度）→冰浴2分钟→加入无抗生素的LB或SOC培养基→37℃、200–250 rpm振荡复苏45–60分钟→涂布于含抗生素的选择性平板上，37℃倒置培养12–16小时。复苏阶段是表达抗生素抗性基因的关键时期，不可省略。</w:t>
      </w:r>
    </w:p>
    <w:p>
      <w:pPr>
        <w:spacing w:before="40" w:after="80"/>
        <w:ind w:firstLine="420"/>
      </w:pPr>
      <w:r>
        <w:rPr>
          <w:rFonts w:ascii="Times New Roman" w:hAnsi="Times New Roman" w:eastAsia="宋体"/>
          <w:b w:val="0"/>
          <w:sz w:val="24"/>
        </w:rPr>
        <w:t>电穿孔法的转化效率可达10⁹–10¹⁰ CFU/μg DNA，显著高于化学法（10⁶–10⁸ CFU/μg），适用于文库构建等对转化效率要求较高的场景。但电穿孔对盐浓度极为敏感（&gt;10 mM盐将导致电弧放电击穿细胞），连接产物须事先通过柱纯化或乙醇沉淀脱盐。电穿孔参数通常为1.8–2.5 kV、200 Ω、25 μF。</w:t>
      </w:r>
    </w:p>
    <w:p>
      <w:pPr>
        <w:spacing w:before="200" w:after="80"/>
      </w:pPr>
      <w:r>
        <w:rPr>
          <w:rFonts w:ascii="Times New Roman" w:hAnsi="Times New Roman" w:eastAsia="宋体"/>
          <w:b/>
          <w:sz w:val="26"/>
        </w:rPr>
        <w:t>1.2.6 阳性克隆筛选与验证</w:t>
      </w:r>
    </w:p>
    <w:p>
      <w:pPr>
        <w:spacing w:before="40" w:after="80"/>
        <w:ind w:firstLine="420"/>
      </w:pPr>
      <w:r>
        <w:rPr>
          <w:rFonts w:ascii="Times New Roman" w:hAnsi="Times New Roman" w:eastAsia="宋体"/>
          <w:b w:val="0"/>
          <w:sz w:val="24"/>
        </w:rPr>
        <w:t>筛选策略分为表型筛选与分子验证两个层次。表型筛选依赖于抗生素筛选与蓝白斑筛选（α-互补原理）：载体上的LacZα肽基因在插入失活后，阳性克隆在含X-gal/IPTG的平板上呈现白色菌落、阴性（空载体）呈蓝色。分子验证层次包括：菌落PCR（以单菌落为模板初步鉴别插入片段的有无及大小）、质粒酶切鉴定（小量提取质粒后以同样限制酶消化验证插入片段大小）、以及最终的Sanger测序确认——测序是验证阅读框正确性、排除PCR引入突变的金标准，不可省略。</w:t>
      </w:r>
    </w:p>
    <w:p>
      <w:pPr>
        <w:spacing w:before="200" w:after="80"/>
      </w:pPr>
      <w:r>
        <w:rPr>
          <w:rFonts w:ascii="Times New Roman" w:hAnsi="Times New Roman" w:eastAsia="宋体"/>
          <w:b/>
          <w:sz w:val="26"/>
        </w:rPr>
        <w:t>1.3 常见注意事项</w:t>
      </w:r>
    </w:p>
    <w:p>
      <w:pPr>
        <w:spacing w:before="40" w:after="80"/>
        <w:ind w:firstLine="420"/>
      </w:pPr>
      <w:r>
        <w:rPr>
          <w:rFonts w:ascii="Times New Roman" w:hAnsi="Times New Roman" w:eastAsia="宋体"/>
          <w:b w:val="0"/>
          <w:sz w:val="24"/>
        </w:rPr>
        <w:t>（1）限制酶操作须全程冰上，取用后立即放回-20℃以防失活；不同酶的最适缓冲液可能存在差异，双酶切时若缓冲液不兼容需采用分步酶切策略（先低盐酶切→灭活→换buffer后高盐酶切）。</w:t>
      </w:r>
    </w:p>
    <w:p>
      <w:pPr>
        <w:spacing w:before="40" w:after="80"/>
        <w:ind w:firstLine="420"/>
      </w:pPr>
      <w:r>
        <w:rPr>
          <w:rFonts w:ascii="Times New Roman" w:hAnsi="Times New Roman" w:eastAsia="宋体"/>
          <w:b w:val="0"/>
          <w:sz w:val="24"/>
        </w:rPr>
        <w:t>（2）连接反应的温度选择涉及两个竞争性过程：低温有利于粘性末端的碱基配对退火但降低连接酶活性，16℃过夜是实践中的折衷方案。</w:t>
      </w:r>
    </w:p>
    <w:p>
      <w:pPr>
        <w:spacing w:before="40" w:after="80"/>
        <w:ind w:firstLine="420"/>
      </w:pPr>
      <w:r>
        <w:rPr>
          <w:rFonts w:ascii="Times New Roman" w:hAnsi="Times New Roman" w:eastAsia="宋体"/>
          <w:b w:val="0"/>
          <w:sz w:val="24"/>
        </w:rPr>
        <w:t>（3）感受态细胞的转化效率随冻融次数急剧下降，应分装保存并避免反复冻融；热激时间随所用EP管壁厚不同需作微调。</w:t>
      </w:r>
    </w:p>
    <w:p>
      <w:pPr>
        <w:spacing w:before="40" w:after="80"/>
        <w:ind w:firstLine="420"/>
      </w:pPr>
      <w:r>
        <w:rPr>
          <w:rFonts w:ascii="Times New Roman" w:hAnsi="Times New Roman" w:eastAsia="宋体"/>
          <w:b w:val="0"/>
          <w:sz w:val="24"/>
        </w:rPr>
        <w:t>（4）平板筛选后应挑取多个单克隆（通常≥3个）并行鉴定，排除因突变或缺失导致的假阳性。</w:t>
      </w:r>
    </w:p>
    <w:p>
      <w:pPr>
        <w:spacing w:before="40" w:after="80"/>
        <w:ind w:firstLine="420"/>
      </w:pPr>
      <w:r>
        <w:rPr>
          <w:rFonts w:ascii="Times New Roman" w:hAnsi="Times New Roman" w:eastAsia="宋体"/>
          <w:b w:val="0"/>
          <w:sz w:val="24"/>
        </w:rPr>
        <w:t>（5）PCR扩增产物若用于后续克隆，必须使用高保真酶并控制循环数≤30，以降低突变概率；产物需经测序验证后方可使用。</w:t>
      </w:r>
    </w:p>
    <w:p>
      <w:pPr>
        <w:spacing w:before="320" w:after="160"/>
      </w:pPr>
      <w:r>
        <w:rPr>
          <w:rFonts w:ascii="Times New Roman" w:hAnsi="Times New Roman" w:eastAsia="宋体"/>
          <w:b/>
          <w:sz w:val="30"/>
        </w:rPr>
        <w:t>二、Western Blot 技术</w:t>
      </w:r>
    </w:p>
    <w:p>
      <w:pPr>
        <w:spacing w:before="200" w:after="80"/>
      </w:pPr>
      <w:r>
        <w:rPr>
          <w:rFonts w:ascii="Times New Roman" w:hAnsi="Times New Roman" w:eastAsia="宋体"/>
          <w:b/>
          <w:sz w:val="26"/>
        </w:rPr>
        <w:t>2.1 技术原理</w:t>
      </w:r>
    </w:p>
    <w:p>
      <w:pPr>
        <w:spacing w:before="40" w:after="80"/>
        <w:ind w:firstLine="420"/>
      </w:pPr>
      <w:r>
        <w:rPr>
          <w:rFonts w:ascii="Times New Roman" w:hAnsi="Times New Roman" w:eastAsia="宋体"/>
          <w:b w:val="0"/>
          <w:sz w:val="24"/>
        </w:rPr>
        <w:t>Western Blot（免疫印迹）是建立在SDS-PAGE蛋白质电泳分离与抗原-抗体特异性结合双重原理之上的蛋白质检测技术。其技术逻辑链为：蛋白质样品经SDS-PAGE按分子量大小进行电泳分离→通过电场驱动将凝胶中的蛋白质转移到固相膜（NC膜或PVDF膜）上→以封闭剂阻断膜上非特异性蛋白结合位点→依次与特异性一抗和酶标二抗孵育→底物显色或化学发光检测，最终获得特异性目标蛋白的分子量与相对丰度信息。</w:t>
      </w:r>
    </w:p>
    <w:p>
      <w:pPr>
        <w:spacing w:before="40" w:after="80"/>
        <w:ind w:firstLine="420"/>
      </w:pPr>
      <w:r>
        <w:rPr>
          <w:rFonts w:ascii="Times New Roman" w:hAnsi="Times New Roman" w:eastAsia="宋体"/>
          <w:b w:val="0"/>
          <w:sz w:val="24"/>
        </w:rPr>
        <w:t>SDS（十二烷基硫酸钠）作为阴离子去垢剂，以约1.4:1（质量比）的比例与蛋白质结合，赋予所有蛋白质均一的负电荷密度，消除其原有电荷差异对迁移率的影响。同时SDS与还原剂（β-巯基乙醇或DTT）协同破坏蛋白质的二硫键及二级、三级、四级结构，使其充分变性为线性分子。在此条件下，蛋白质在聚丙烯酰胺凝胶中的迁移率仅取决于分子量大小（与分子量的对数呈线性关系）。</w:t>
      </w:r>
    </w:p>
    <w:p>
      <w:pPr>
        <w:spacing w:before="200" w:after="80"/>
      </w:pPr>
      <w:r>
        <w:rPr>
          <w:rFonts w:ascii="Times New Roman" w:hAnsi="Times New Roman" w:eastAsia="宋体"/>
          <w:b/>
          <w:sz w:val="26"/>
        </w:rPr>
        <w:t>2.2 实验流程</w:t>
      </w:r>
    </w:p>
    <w:p>
      <w:pPr>
        <w:spacing w:before="200" w:after="80"/>
      </w:pPr>
      <w:r>
        <w:rPr>
          <w:rFonts w:ascii="Times New Roman" w:hAnsi="Times New Roman" w:eastAsia="宋体"/>
          <w:b/>
          <w:sz w:val="26"/>
        </w:rPr>
        <w:t>2.2.1 样品制备与蛋白定量</w:t>
      </w:r>
    </w:p>
    <w:p>
      <w:pPr>
        <w:spacing w:before="40" w:after="80"/>
        <w:ind w:firstLine="420"/>
      </w:pPr>
      <w:r>
        <w:rPr>
          <w:rFonts w:ascii="Times New Roman" w:hAnsi="Times New Roman" w:eastAsia="宋体"/>
          <w:b w:val="0"/>
          <w:sz w:val="24"/>
        </w:rPr>
        <w:t>细胞或组织样品以含蛋白酶抑制剂（PMSF、Aprotinin、Leupeptin等）和磷酸酶抑制剂（NaF、Na₃VO₄等）的RIPA裂解液在4℃条件下裂解30分钟，12,000–14,000 g离心15–20分钟取上清。裂解液中SDS、脱氧胆酸钠等去垢剂的作用是溶解膜蛋白与细胞骨架蛋白。</w:t>
      </w:r>
    </w:p>
    <w:p>
      <w:pPr>
        <w:spacing w:before="40" w:after="80"/>
        <w:ind w:firstLine="420"/>
      </w:pPr>
      <w:r>
        <w:rPr>
          <w:rFonts w:ascii="Times New Roman" w:hAnsi="Times New Roman" w:eastAsia="宋体"/>
          <w:b w:val="0"/>
          <w:sz w:val="24"/>
        </w:rPr>
        <w:t>蛋白定量推荐BCA法（灵敏度20–2,000 μg/mL，受去垢剂干扰小）或Bradford法（灵敏度25–1,000 μg/mL，但受SDS等去垢剂干扰较大）。定量后以5×SDS-PAGE Loading Buffer（含SDS、β-巯基乙醇、甘油、溴酚蓝）稀释样品至统一浓度（通常1–4 μg/μL），95–100℃煮沸5–10分钟使蛋白充分变性，冷却后上样或分装保存于-20℃。</w:t>
      </w:r>
    </w:p>
    <w:p>
      <w:pPr>
        <w:spacing w:before="200" w:after="80"/>
      </w:pPr>
      <w:r>
        <w:rPr>
          <w:rFonts w:ascii="Times New Roman" w:hAnsi="Times New Roman" w:eastAsia="宋体"/>
          <w:b/>
          <w:sz w:val="26"/>
        </w:rPr>
        <w:t>2.2.2 SDS-PAGE 电泳</w:t>
      </w:r>
    </w:p>
    <w:p>
      <w:pPr>
        <w:spacing w:before="40" w:after="80"/>
        <w:ind w:firstLine="420"/>
      </w:pPr>
      <w:r>
        <w:rPr>
          <w:rFonts w:ascii="Times New Roman" w:hAnsi="Times New Roman" w:eastAsia="宋体"/>
          <w:b w:val="0"/>
          <w:sz w:val="24"/>
        </w:rPr>
        <w:t>聚丙烯酰胺凝胶由浓缩胶（Stacking Gel，通常5%丙烯酰胺、pH 6.8）和分离胶（Resolving Gel，浓度依据目标蛋白分子量选择）组成。浓缩胶的大孔径与低pH环境使蛋白质在电场中快速迁移并压缩成窄带（等速电泳效应）；分离胶的高pH（8.8）与较小孔径使蛋白质按分子量大小进行筛分分离。分离胶浓度的选择原则如下：</w:t>
      </w:r>
    </w:p>
    <w:tbl>
      <w:tblPr>
        <w:tblStyle w:val="TableGrid"/>
        <w:tblW w:type="auto" w:w="0"/>
        <w:jc w:val="center"/>
        <w:tblLook w:firstColumn="1" w:firstRow="1" w:lastColumn="0" w:lastRow="0" w:noHBand="0" w:noVBand="1" w:val="04A0"/>
      </w:tblPr>
      <w:tblGrid>
        <w:gridCol w:w="4323"/>
        <w:gridCol w:w="4323"/>
      </w:tblGrid>
      <w:tr>
        <w:tc>
          <w:tcPr>
            <w:tcW w:type="dxa" w:w="4323"/>
          </w:tcPr>
          <w:p>
            <w:pPr>
              <w:jc w:val="center"/>
            </w:pPr>
            <w:r/>
            <w:r>
              <w:rPr>
                <w:rFonts w:ascii="Times New Roman" w:hAnsi="Times New Roman" w:eastAsia="宋体"/>
                <w:b/>
                <w:sz w:val="21"/>
              </w:rPr>
              <w:t>目标蛋白质分子量 (kDa)</w:t>
            </w:r>
          </w:p>
        </w:tc>
        <w:tc>
          <w:tcPr>
            <w:tcW w:type="dxa" w:w="4323"/>
          </w:tcPr>
          <w:p>
            <w:pPr>
              <w:jc w:val="center"/>
            </w:pPr>
            <w:r/>
            <w:r>
              <w:rPr>
                <w:rFonts w:ascii="Times New Roman" w:hAnsi="Times New Roman" w:eastAsia="宋体"/>
                <w:b/>
                <w:sz w:val="21"/>
              </w:rPr>
              <w:t>推荐分离胶浓度</w:t>
            </w:r>
          </w:p>
        </w:tc>
      </w:tr>
      <w:tr>
        <w:tc>
          <w:tcPr>
            <w:tcW w:type="dxa" w:w="4323"/>
          </w:tcPr>
          <w:p>
            <w:pPr>
              <w:jc w:val="center"/>
            </w:pPr>
            <w:r/>
            <w:r>
              <w:rPr>
                <w:rFonts w:ascii="Times New Roman" w:hAnsi="Times New Roman" w:eastAsia="宋体"/>
                <w:b w:val="0"/>
                <w:sz w:val="21"/>
              </w:rPr>
              <w:t>&gt;100</w:t>
            </w:r>
          </w:p>
        </w:tc>
        <w:tc>
          <w:tcPr>
            <w:tcW w:type="dxa" w:w="4323"/>
          </w:tcPr>
          <w:p>
            <w:pPr>
              <w:jc w:val="center"/>
            </w:pPr>
            <w:r/>
            <w:r>
              <w:rPr>
                <w:rFonts w:ascii="Times New Roman" w:hAnsi="Times New Roman" w:eastAsia="宋体"/>
                <w:b w:val="0"/>
                <w:sz w:val="21"/>
              </w:rPr>
              <w:t>6–8%</w:t>
            </w:r>
          </w:p>
        </w:tc>
      </w:tr>
      <w:tr>
        <w:tc>
          <w:tcPr>
            <w:tcW w:type="dxa" w:w="4323"/>
          </w:tcPr>
          <w:p>
            <w:pPr>
              <w:jc w:val="center"/>
            </w:pPr>
            <w:r/>
            <w:r>
              <w:rPr>
                <w:rFonts w:ascii="Times New Roman" w:hAnsi="Times New Roman" w:eastAsia="宋体"/>
                <w:b w:val="0"/>
                <w:sz w:val="21"/>
              </w:rPr>
              <w:t>30–100</w:t>
            </w:r>
          </w:p>
        </w:tc>
        <w:tc>
          <w:tcPr>
            <w:tcW w:type="dxa" w:w="4323"/>
          </w:tcPr>
          <w:p>
            <w:pPr>
              <w:jc w:val="center"/>
            </w:pPr>
            <w:r/>
            <w:r>
              <w:rPr>
                <w:rFonts w:ascii="Times New Roman" w:hAnsi="Times New Roman" w:eastAsia="宋体"/>
                <w:b w:val="0"/>
                <w:sz w:val="21"/>
              </w:rPr>
              <w:t>8–10%</w:t>
            </w:r>
          </w:p>
        </w:tc>
      </w:tr>
      <w:tr>
        <w:tc>
          <w:tcPr>
            <w:tcW w:type="dxa" w:w="4323"/>
          </w:tcPr>
          <w:p>
            <w:pPr>
              <w:jc w:val="center"/>
            </w:pPr>
            <w:r/>
            <w:r>
              <w:rPr>
                <w:rFonts w:ascii="Times New Roman" w:hAnsi="Times New Roman" w:eastAsia="宋体"/>
                <w:b w:val="0"/>
                <w:sz w:val="21"/>
              </w:rPr>
              <w:t>10–30</w:t>
            </w:r>
          </w:p>
        </w:tc>
        <w:tc>
          <w:tcPr>
            <w:tcW w:type="dxa" w:w="4323"/>
          </w:tcPr>
          <w:p>
            <w:pPr>
              <w:jc w:val="center"/>
            </w:pPr>
            <w:r/>
            <w:r>
              <w:rPr>
                <w:rFonts w:ascii="Times New Roman" w:hAnsi="Times New Roman" w:eastAsia="宋体"/>
                <w:b w:val="0"/>
                <w:sz w:val="21"/>
              </w:rPr>
              <w:t>12–15%</w:t>
            </w:r>
          </w:p>
        </w:tc>
      </w:tr>
      <w:tr>
        <w:tc>
          <w:tcPr>
            <w:tcW w:type="dxa" w:w="4323"/>
          </w:tcPr>
          <w:p>
            <w:pPr>
              <w:jc w:val="center"/>
            </w:pPr>
            <w:r/>
            <w:r>
              <w:rPr>
                <w:rFonts w:ascii="Times New Roman" w:hAnsi="Times New Roman" w:eastAsia="宋体"/>
                <w:b w:val="0"/>
                <w:sz w:val="21"/>
              </w:rPr>
              <w:t>&lt;10</w:t>
            </w:r>
          </w:p>
        </w:tc>
        <w:tc>
          <w:tcPr>
            <w:tcW w:type="dxa" w:w="4323"/>
          </w:tcPr>
          <w:p>
            <w:pPr>
              <w:jc w:val="center"/>
            </w:pPr>
            <w:r/>
            <w:r>
              <w:rPr>
                <w:rFonts w:ascii="Times New Roman" w:hAnsi="Times New Roman" w:eastAsia="宋体"/>
                <w:b w:val="0"/>
                <w:sz w:val="21"/>
              </w:rPr>
              <w:t>15–20%（或Tricine-SDS-PAGE）</w:t>
            </w:r>
          </w:p>
        </w:tc>
      </w:tr>
    </w:tbl>
    <w:p/>
    <w:p>
      <w:pPr>
        <w:spacing w:before="40" w:after="80"/>
        <w:ind w:firstLine="420"/>
      </w:pPr>
      <w:r>
        <w:rPr>
          <w:rFonts w:ascii="Times New Roman" w:hAnsi="Times New Roman" w:eastAsia="宋体"/>
          <w:b w:val="0"/>
          <w:sz w:val="24"/>
        </w:rPr>
        <w:t>电泳条件：浓缩胶80–100 V恒压（约30分钟至溴酚蓝进入分离胶），分离胶120–150 V恒压至溴酚蓝迁移至凝胶底部。电泳缓冲液为Tris-Glycine-SDS体系（pH 8.3）。预染蛋白分子量标准（Prestained Protein Ladder）是监测电泳进程和转膜效率的重要参照。上样量一般为20–50 μg总蛋白/泳道，低丰度蛋白可增加至80–100 μg。</w:t>
      </w:r>
    </w:p>
    <w:p>
      <w:pPr>
        <w:spacing w:before="200" w:after="80"/>
      </w:pPr>
      <w:r>
        <w:rPr>
          <w:rFonts w:ascii="Times New Roman" w:hAnsi="Times New Roman" w:eastAsia="宋体"/>
          <w:b/>
          <w:sz w:val="26"/>
        </w:rPr>
        <w:t>2.2.3 转膜</w:t>
      </w:r>
    </w:p>
    <w:p>
      <w:pPr>
        <w:spacing w:before="40" w:after="80"/>
        <w:ind w:firstLine="420"/>
      </w:pPr>
      <w:r>
        <w:rPr>
          <w:rFonts w:ascii="Times New Roman" w:hAnsi="Times New Roman" w:eastAsia="宋体"/>
          <w:b w:val="0"/>
          <w:sz w:val="24"/>
        </w:rPr>
        <w:t>转膜方式分为湿转与半干转两种。湿转法以夹心结构（海绵-滤纸-凝胶-膜-滤纸-海绵）在转移缓冲液（Tris-Glycine-20%甲醇体系，pH 8.3）中进行，恒流200–350 mA、冰浴条件转膜60–120分钟。20%甲醇的作用是剥离SDS与蛋白质的结合并使蛋白质与膜之间的疏水相互作用增强，有利于蛋白质在膜上的吸附固定。半干转法以恒压（15–25 V）进行，转膜时间30–60分钟，适用于分子量&lt;100 kDa的蛋白质。对于大分子量蛋白（&gt;150 kDa），湿转法更为可靠，可适当延长转膜时间至2–3小时或降低甲醇浓度至10%。</w:t>
      </w:r>
    </w:p>
    <w:p>
      <w:pPr>
        <w:spacing w:before="40" w:after="80"/>
        <w:ind w:firstLine="420"/>
      </w:pPr>
      <w:r>
        <w:rPr>
          <w:rFonts w:ascii="Times New Roman" w:hAnsi="Times New Roman" w:eastAsia="宋体"/>
          <w:b w:val="0"/>
          <w:sz w:val="24"/>
        </w:rPr>
        <w:t>膜的选择方面，硝酸纤维素膜（NC膜，孔径0.45 μm或0.22 μm）与蛋白质以疏水作用和静电作用结合，无需甲醇活化；PVDF膜结合容量更高（NC约80–100 μg/cm²，PVDF约100–200 μg/cm²）、机械强度更好，但需以纯甲醇预先湿润活化（15秒）以打开膜的疏水孔道。分子量&lt;20 kDa的蛋白质推荐使用0.22 μm小孔径膜以防止穿透（Blow-through）。转膜后以丽春红S（Ponceau S）染色确认转膜效率及蛋白条带完整性，染色后以TBST漂洗脱色即可进行后续步骤。</w:t>
      </w:r>
    </w:p>
    <w:p>
      <w:pPr>
        <w:spacing w:before="200" w:after="80"/>
      </w:pPr>
      <w:r>
        <w:rPr>
          <w:rFonts w:ascii="Times New Roman" w:hAnsi="Times New Roman" w:eastAsia="宋体"/>
          <w:b/>
          <w:sz w:val="26"/>
        </w:rPr>
        <w:t>2.2.4 封闭</w:t>
      </w:r>
    </w:p>
    <w:p>
      <w:pPr>
        <w:spacing w:before="40" w:after="80"/>
        <w:ind w:firstLine="420"/>
      </w:pPr>
      <w:r>
        <w:rPr>
          <w:rFonts w:ascii="Times New Roman" w:hAnsi="Times New Roman" w:eastAsia="宋体"/>
          <w:b w:val="0"/>
          <w:sz w:val="24"/>
        </w:rPr>
        <w:t>封闭的目的是饱和膜上剩余的蛋白结合位点，降低抗体非特异性吸附导致的背景噪音。常用封闭剂包括：5%（w/v）脱脂奶粉（溶于TBST）——适用于大多数非磷酸化蛋白检测，但奶粉中含有的酪蛋白与磷酸化蛋白抗原表位存在交叉反应风险；3%–5%（w/v）BSA——适用于磷酸化蛋白检测及生物素-亲和素系统；以及商品化无蛋白封闭液（如Odyssey Blocking Buffer，同时兼容化学发光与荧光检测）。封闭条件为室温孵育1小时或4℃过夜（后者背景更低）。过度封闭可能遮蔽抗原表位，降低检测信号的灵敏度。</w:t>
      </w:r>
    </w:p>
    <w:p>
      <w:pPr>
        <w:spacing w:before="200" w:after="80"/>
      </w:pPr>
      <w:r>
        <w:rPr>
          <w:rFonts w:ascii="Times New Roman" w:hAnsi="Times New Roman" w:eastAsia="宋体"/>
          <w:b/>
          <w:sz w:val="26"/>
        </w:rPr>
        <w:t>2.2.5 抗体孵育</w:t>
      </w:r>
    </w:p>
    <w:p>
      <w:pPr>
        <w:spacing w:before="40" w:after="80"/>
        <w:ind w:firstLine="420"/>
      </w:pPr>
      <w:r>
        <w:rPr>
          <w:rFonts w:ascii="Times New Roman" w:hAnsi="Times New Roman" w:eastAsia="宋体"/>
          <w:b w:val="0"/>
          <w:sz w:val="24"/>
        </w:rPr>
        <w:t>一抗孵育是决定Western Blot特异性与灵敏度的核心步骤。一抗的稀释比例依据抗体滴度与目标蛋白丰度确定（通常1:500至1:10,000），以5% BSA/TBST或5%脱脂奶粉/TBST为稀释液。推荐4℃孵育过夜（&gt;16小时），低温环境下抗原-抗体解离速率低，可提供更佳的信号与背景比值（S/N）。一抗孵育后以TBST洗膜3次×5–10分钟，洗涤不充分是背景升高的最常见原因。</w:t>
      </w:r>
    </w:p>
    <w:p>
      <w:pPr>
        <w:spacing w:before="40" w:after="80"/>
        <w:ind w:firstLine="420"/>
      </w:pPr>
      <w:r>
        <w:rPr>
          <w:rFonts w:ascii="Times New Roman" w:hAnsi="Times New Roman" w:eastAsia="宋体"/>
          <w:b w:val="0"/>
          <w:sz w:val="24"/>
        </w:rPr>
        <w:t>二抗选择需与一抗的种属来源（Host Species）及亚型（Isotype）严格匹配。HRP标记的二抗使用最为广泛；碱性磷酸酶（AP）标记灵敏度更高但线性范围较窄，适用于低丰度蛋白。二抗稀释比例一般为1:5,000至1:20,000，室温孵育1小时，随后以TBST洗膜3次×5–10分钟。</w:t>
      </w:r>
    </w:p>
    <w:p>
      <w:pPr>
        <w:spacing w:before="200" w:after="80"/>
      </w:pPr>
      <w:r>
        <w:rPr>
          <w:rFonts w:ascii="Times New Roman" w:hAnsi="Times New Roman" w:eastAsia="宋体"/>
          <w:b/>
          <w:sz w:val="26"/>
        </w:rPr>
        <w:t>2.2.6 显影与数据分析</w:t>
      </w:r>
    </w:p>
    <w:p>
      <w:pPr>
        <w:spacing w:before="40" w:after="80"/>
        <w:ind w:firstLine="420"/>
      </w:pPr>
      <w:r>
        <w:rPr>
          <w:rFonts w:ascii="Times New Roman" w:hAnsi="Times New Roman" w:eastAsia="宋体"/>
          <w:b w:val="0"/>
          <w:sz w:val="24"/>
        </w:rPr>
        <w:t>化学发光法（ECL）为Western Blot最常用的检测手段。其原理为HRP催化Luminol氧化产生激发态中间体，在返回基态时发射428 nm光子，通过X光胶片或CCD成像系统采集。增强型ECL（ECL Plus）通过引入增强剂（如酚类化合物）可将灵敏度提升至皮克级。信号采集时需设置梯度曝光时间（如5 s、30 s、1 min、5 min）以捕获最佳动态范围的非饱和信号。</w:t>
      </w:r>
    </w:p>
    <w:p>
      <w:pPr>
        <w:spacing w:before="40" w:after="80"/>
        <w:ind w:firstLine="420"/>
      </w:pPr>
      <w:r>
        <w:rPr>
          <w:rFonts w:ascii="Times New Roman" w:hAnsi="Times New Roman" w:eastAsia="宋体"/>
          <w:b w:val="0"/>
          <w:sz w:val="24"/>
        </w:rPr>
        <w:t>除化学发光外，荧光Western Blot（如LI-COR Odyssey系统）采用近红外荧光染料（IRDye 680RD、IRDye 800CW）标记二抗，以双通道荧光扫描成像。其优势在于：线性动态范围宽（约4–5个数量级，远超ECL的1–2个数量级）、可在同一泳道同时检测两种不同分子量的蛋白（如目的蛋白与内参）、无需底物反应步骤、信号稳定性好（膜可保存数周后复扫）。荧光法尤其适合定量Western Blot及多重蛋白检测。</w:t>
      </w:r>
    </w:p>
    <w:p>
      <w:pPr>
        <w:spacing w:before="40" w:after="80"/>
        <w:ind w:firstLine="420"/>
      </w:pPr>
      <w:r>
        <w:rPr>
          <w:rFonts w:ascii="Times New Roman" w:hAnsi="Times New Roman" w:eastAsia="宋体"/>
          <w:b w:val="0"/>
          <w:sz w:val="24"/>
        </w:rPr>
        <w:t>定量分析时，目标蛋白信号强度需以内参蛋白归一化处理，以校正各泳道上样量的差异。内参蛋白的选择应遵循以下原则：内参应为管家基因编码的组成型表达蛋白，在各组织与细胞类型中表达量相对稳定，且分子量应与目标蛋白有显著差异（至少相差10 kDa以上）以避免条带重叠。常用内参包括GAPDH（37 kDa）、β-Actin（42 kDa）、β-Tubulin（55 kDa）。需要注意的是，GAPDH与β-Actin在某些条件下（如细胞分化、缺氧、药物处理）表达量可能波动，此时应考虑更换内参或采用总蛋白染色（Total Protein Staining，如Stain-Free凝胶技术）归一化。图像分析软件（如ImageJ/Fiji）需对原始16 bit TIFF格式图像进行灰度分析，严格避免信号饱和区域的定量。</w:t>
      </w:r>
    </w:p>
    <w:p>
      <w:pPr>
        <w:spacing w:before="200" w:after="80"/>
      </w:pPr>
      <w:r>
        <w:rPr>
          <w:rFonts w:ascii="Times New Roman" w:hAnsi="Times New Roman" w:eastAsia="宋体"/>
          <w:b/>
          <w:sz w:val="26"/>
        </w:rPr>
        <w:t>2.3 关键优化策略</w:t>
      </w:r>
    </w:p>
    <w:p>
      <w:pPr>
        <w:spacing w:before="40" w:after="80"/>
        <w:ind w:firstLine="420"/>
      </w:pPr>
      <w:r>
        <w:rPr>
          <w:rFonts w:ascii="Times New Roman" w:hAnsi="Times New Roman" w:eastAsia="宋体"/>
          <w:b w:val="0"/>
          <w:sz w:val="24"/>
        </w:rPr>
        <w:t>（1）蛋白降解防控：裂解液须临用前加入新鲜配制的蛋白酶抑制剂（PMSF在水溶液中的半衰期仅约35分钟），全程在冰上或4℃条件下操作。</w:t>
      </w:r>
    </w:p>
    <w:p>
      <w:pPr>
        <w:spacing w:before="40" w:after="80"/>
        <w:ind w:firstLine="420"/>
      </w:pPr>
      <w:r>
        <w:rPr>
          <w:rFonts w:ascii="Times New Roman" w:hAnsi="Times New Roman" w:eastAsia="宋体"/>
          <w:b w:val="0"/>
          <w:sz w:val="24"/>
        </w:rPr>
        <w:t>（2）非特异性条带消除：适当提高封闭液浓度或延长封闭时间；降低一抗浓度或优化一抗孵育温度；在二抗孵育液中添加0.05% Tween-20以增加洗涤强度。</w:t>
      </w:r>
    </w:p>
    <w:p>
      <w:pPr>
        <w:spacing w:before="40" w:after="80"/>
        <w:ind w:firstLine="420"/>
      </w:pPr>
      <w:r>
        <w:rPr>
          <w:rFonts w:ascii="Times New Roman" w:hAnsi="Times New Roman" w:eastAsia="宋体"/>
          <w:b w:val="0"/>
          <w:sz w:val="24"/>
        </w:rPr>
        <w:t>（3）高背景解决方案：增加TBST洗涤次数与时间（如3次×15分钟）；在TBST中添加0.5 M NaCl（高盐洗涤，降低离子型非特异吸附）；封闭液中添加0.1% Tween-20。</w:t>
      </w:r>
    </w:p>
    <w:p>
      <w:pPr>
        <w:spacing w:before="40" w:after="80"/>
        <w:ind w:firstLine="420"/>
      </w:pPr>
      <w:r>
        <w:rPr>
          <w:rFonts w:ascii="Times New Roman" w:hAnsi="Times New Roman" w:eastAsia="宋体"/>
          <w:b w:val="0"/>
          <w:sz w:val="24"/>
        </w:rPr>
        <w:t>（4）无信号或弱信号应对：确认一抗效价（Dot Blot验证）；延长一抗孵育时间至4℃过夜（&gt;16小时）；换用PVDF膜替代NC膜（更高的蛋白结合容量）；上样量不足时适当增加至50–100 μg总蛋白/泳道。</w:t>
      </w:r>
    </w:p>
    <w:p>
      <w:pPr>
        <w:spacing w:before="40" w:after="80"/>
        <w:ind w:firstLine="420"/>
      </w:pPr>
      <w:r>
        <w:rPr>
          <w:rFonts w:ascii="Times New Roman" w:hAnsi="Times New Roman" w:eastAsia="宋体"/>
          <w:b w:val="0"/>
          <w:sz w:val="24"/>
        </w:rPr>
        <w:t>（5）分子量偏移诊断：若条带分子量高于理论值，需考虑翻译后修饰（糖基化可使分子量增加2–20 kDa、磷酸化增加约0.4 kDa/位点、泛素化增加约8.5 kDa/分子）或蛋白多聚体未充分解聚（增加还原剂用量、延长煮沸时间）。分子量低于理论值则可能提示蛋白降解或翻译提前终止。</w:t>
      </w:r>
    </w:p>
    <w:p>
      <w:pPr>
        <w:spacing w:before="40" w:after="80"/>
        <w:ind w:firstLine="420"/>
      </w:pPr>
      <w:r>
        <w:rPr>
          <w:rFonts w:ascii="Times New Roman" w:hAnsi="Times New Roman" w:eastAsia="宋体"/>
          <w:b w:val="0"/>
          <w:sz w:val="24"/>
        </w:rPr>
        <w:t>（6）膜的重印迹（Stripping）：当需在同一张膜上检测多个不同蛋白时，可采用抗体洗脱液（如含β-巯基乙醇和SDS的Stripping Buffer，50℃孵育30分钟）去除已结合的一抗与二抗，经重新封闭后再次孵育新抗体。Stripping可能导致部分抗原丢失，应优先检测低丰度蛋白，最后检测高丰度蛋白（如内参）。每张膜的Stripping次数不宜超过3次。</w:t>
      </w:r>
    </w:p>
    <w:p>
      <w:pPr>
        <w:spacing w:before="320" w:after="160"/>
      </w:pPr>
      <w:r>
        <w:rPr>
          <w:rFonts w:ascii="Times New Roman" w:hAnsi="Times New Roman" w:eastAsia="宋体"/>
          <w:b/>
          <w:sz w:val="30"/>
        </w:rPr>
        <w:t>三、分子克隆与 Western Blot 的联合应用</w:t>
      </w:r>
    </w:p>
    <w:p>
      <w:pPr>
        <w:spacing w:before="200" w:after="80"/>
      </w:pPr>
      <w:r>
        <w:rPr>
          <w:rFonts w:ascii="Times New Roman" w:hAnsi="Times New Roman" w:eastAsia="宋体"/>
          <w:b/>
          <w:sz w:val="26"/>
        </w:rPr>
        <w:t>3.1 实验逻辑衔接</w:t>
      </w:r>
    </w:p>
    <w:p>
      <w:pPr>
        <w:spacing w:before="40" w:after="80"/>
        <w:ind w:firstLine="420"/>
      </w:pPr>
      <w:r>
        <w:rPr>
          <w:rFonts w:ascii="Times New Roman" w:hAnsi="Times New Roman" w:eastAsia="宋体"/>
          <w:b w:val="0"/>
          <w:sz w:val="24"/>
        </w:rPr>
        <w:t>在蛋白质表达与功能验证的实验范式中，分子克隆与 Western Blot 构成上下游紧密衔接的技术链条。分子克隆负责构建含有目的基因的表达载体（通常携带融合标签如6×His、FLAG、HA、GST或GFP），转化至合适的表达宿主（大肠杆菌BL21(DE3)、酵母、昆虫细胞或哺乳动物细胞），经IPTG或其它诱导剂诱导表达。Western Blot则在这一流程中承担两项核心职能：其一，以标签特异性抗体（如Anti-His、Anti-FLAG）验证重组蛋白是否成功表达及其在细胞中的亚定位；其二，通过目的蛋白特异性抗体确认表达产物的分子量与预期一致，排除截短表达或融合蛋白降解。</w:t>
      </w:r>
    </w:p>
    <w:p>
      <w:pPr>
        <w:spacing w:before="200" w:after="80"/>
      </w:pPr>
      <w:r>
        <w:rPr>
          <w:rFonts w:ascii="Times New Roman" w:hAnsi="Times New Roman" w:eastAsia="宋体"/>
          <w:b/>
          <w:sz w:val="26"/>
        </w:rPr>
        <w:t>3.2 典型应用场景</w:t>
      </w:r>
    </w:p>
    <w:p>
      <w:pPr>
        <w:spacing w:before="40" w:after="80"/>
        <w:ind w:firstLine="420"/>
      </w:pPr>
      <w:r>
        <w:rPr>
          <w:rFonts w:ascii="Times New Roman" w:hAnsi="Times New Roman" w:eastAsia="宋体"/>
          <w:b w:val="0"/>
          <w:sz w:val="24"/>
        </w:rPr>
        <w:t>场景一：过表达验证。将目的基因克隆至真核表达载体（如pcDNA3.1），转染HEK293T或HeLa细胞48小时后，以Western Blot检测目的蛋白表达量相对于空载体对照的升高倍数，同时以RT-qPCR从mRNA水平交叉验证。</w:t>
      </w:r>
    </w:p>
    <w:p>
      <w:pPr>
        <w:spacing w:before="40" w:after="80"/>
        <w:ind w:firstLine="420"/>
      </w:pPr>
      <w:r>
        <w:rPr>
          <w:rFonts w:ascii="Times New Roman" w:hAnsi="Times New Roman" w:eastAsia="宋体"/>
          <w:b w:val="0"/>
          <w:sz w:val="24"/>
        </w:rPr>
        <w:t>场景二：定点突变功能分析。通过分子克隆（重叠延伸PCR或定点突变试剂盒）构建目的蛋白的关键功能位点突变体（如磷酸化位点S→A模拟去磷酸化、S→D/E模拟组成型磷酸化；激酶活性位点K→M/R使酶失活），以Western Blot比较野生型与突变体的表达水平及下游信号通路变化。</w:t>
      </w:r>
    </w:p>
    <w:p>
      <w:pPr>
        <w:spacing w:before="40" w:after="80"/>
        <w:ind w:firstLine="420"/>
      </w:pPr>
      <w:r>
        <w:rPr>
          <w:rFonts w:ascii="Times New Roman" w:hAnsi="Times New Roman" w:eastAsia="宋体"/>
          <w:b w:val="0"/>
          <w:sz w:val="24"/>
        </w:rPr>
        <w:t>场景三：相互作用验证（Co-IP/Western Blot联用）。分子克隆构建带有不同标签的两种候选相互作用蛋白（如FLAG-X与HA-Y），共表达后以Anti-FLAG磁珠进行免疫共沉淀，再以Anti-HA标签抗体进行Western Blot验证两者间的物理相互作用。反向Co-IP（以Anti-HA沉淀，Anti-FLAG检测）可增强结论可靠性。</w:t>
      </w:r>
    </w:p>
    <w:p>
      <w:pPr>
        <w:spacing w:before="40" w:after="80"/>
        <w:ind w:firstLine="420"/>
      </w:pPr>
      <w:r>
        <w:rPr>
          <w:rFonts w:ascii="Times New Roman" w:hAnsi="Times New Roman" w:eastAsia="宋体"/>
          <w:b w:val="0"/>
          <w:sz w:val="24"/>
        </w:rPr>
        <w:t>场景四：蛋白质降解动力学。在分子克隆构建的表达系统中加入蛋白合成抑制剂CHX（放线菌酮，100 μg/mL），在不同时间点（0、2、4、8、12 h）收集细胞裂解液，通过Western Blot定量分析目标蛋白随时间的衰减曲线，进而计算其半衰期（t₁/₂）。若同时使用蛋白酶体抑制剂MG132或自噬抑制剂Bafilomycin A1，可区分蛋白降解途径。</w:t>
      </w:r>
    </w:p>
    <w:p>
      <w:pPr>
        <w:spacing w:before="40" w:after="80"/>
        <w:ind w:firstLine="420"/>
      </w:pPr>
      <w:r>
        <w:rPr>
          <w:rFonts w:ascii="Times New Roman" w:hAnsi="Times New Roman" w:eastAsia="宋体"/>
          <w:b w:val="0"/>
          <w:sz w:val="24"/>
        </w:rPr>
        <w:t>场景五：基因敲低/敲除验证。利用shRNA/siRNA敲低或CRISPR-Cas9敲除目的基因后，以Western Blot在蛋白质层面确认敲低/敲除效率——此为分子生物学操作在蛋白水平的必要验证环节，mRNA水平的RT-qPCR验证不能替代蛋白质水平的确认。回补实验（Rescue，即将shRNA抵抗型表达载体重新导入敲低细胞）则进一步通过Western Blot确认表型恢复与目的基因的因果关系。</w:t>
      </w:r>
    </w:p>
    <w:p>
      <w:pPr>
        <w:spacing w:before="200" w:after="80"/>
      </w:pPr>
      <w:r>
        <w:rPr>
          <w:rFonts w:ascii="Times New Roman" w:hAnsi="Times New Roman" w:eastAsia="宋体"/>
          <w:b/>
          <w:sz w:val="26"/>
        </w:rPr>
        <w:t>3.3 质量控制的互补性</w:t>
      </w:r>
    </w:p>
    <w:p>
      <w:pPr>
        <w:spacing w:before="40" w:after="80"/>
        <w:ind w:firstLine="420"/>
      </w:pPr>
      <w:r>
        <w:rPr>
          <w:rFonts w:ascii="Times New Roman" w:hAnsi="Times New Roman" w:eastAsia="宋体"/>
          <w:b w:val="0"/>
          <w:sz w:val="24"/>
        </w:rPr>
        <w:t>分子克隆通过Sanger测序与酶切图谱提供构建正确性的证据；Western Blot进一步在蛋白质翻译层面验证构建产物的真实表达状态——重组质粒序列正确的标签融合蛋白在表达过程中仍可能出现包涵体形成、截短表达或宿主蛋白酶降解。两者构成基因型→表型的双层验证体系：测序与酶切解决的是DNA序列层面的准确性，Western Blot解决的是蛋白质层面的成功表达与完整性。这种多层次的验证策略是实验结果可重复性的重要保障。</w:t>
      </w:r>
    </w:p>
    <w:p>
      <w:pPr>
        <w:spacing w:before="320" w:after="160"/>
      </w:pPr>
      <w:r>
        <w:rPr>
          <w:rFonts w:ascii="Times New Roman" w:hAnsi="Times New Roman" w:eastAsia="宋体"/>
          <w:b/>
          <w:sz w:val="30"/>
        </w:rPr>
        <w:t>参考文献</w:t>
      </w:r>
    </w:p>
    <w:p>
      <w:pPr>
        <w:spacing w:before="20" w:after="60"/>
        <w:ind w:left="420" w:hanging="420"/>
      </w:pPr>
      <w:r>
        <w:rPr>
          <w:rFonts w:ascii="Times New Roman" w:hAnsi="Times New Roman" w:eastAsia="宋体"/>
          <w:b w:val="0"/>
          <w:sz w:val="21"/>
        </w:rPr>
        <w:t>[1] Sambrook J, Russell D W. Molecular Cloning: A Laboratory Manual[M]. 3rd ed. New York: Cold Spring Harbor Laboratory Press, 2001.</w:t>
      </w:r>
    </w:p>
    <w:p>
      <w:pPr>
        <w:spacing w:before="20" w:after="60"/>
        <w:ind w:left="420" w:hanging="420"/>
      </w:pPr>
      <w:r>
        <w:rPr>
          <w:rFonts w:ascii="Times New Roman" w:hAnsi="Times New Roman" w:eastAsia="宋体"/>
          <w:b w:val="0"/>
          <w:sz w:val="21"/>
        </w:rPr>
        <w:t>[2] Green M R, Sambrook J. Molecular Cloning: A Laboratory Manual[M]. 4th ed. New York: Cold Spring Harbor Laboratory Press, 2012.</w:t>
      </w:r>
    </w:p>
    <w:p>
      <w:pPr>
        <w:spacing w:before="20" w:after="60"/>
        <w:ind w:left="420" w:hanging="420"/>
      </w:pPr>
      <w:r>
        <w:rPr>
          <w:rFonts w:ascii="Times New Roman" w:hAnsi="Times New Roman" w:eastAsia="宋体"/>
          <w:b w:val="0"/>
          <w:sz w:val="21"/>
        </w:rPr>
        <w:t>[3] Cohen S N, Chang A C Y, Boyer H W, et al. Construction of biologically functional bacterial plasmids in vitro[J]. Proceedings of the National Academy of Sciences, 1973, 70(11): 3240-3244.</w:t>
      </w:r>
    </w:p>
    <w:p>
      <w:pPr>
        <w:spacing w:before="20" w:after="60"/>
        <w:ind w:left="420" w:hanging="420"/>
      </w:pPr>
      <w:r>
        <w:rPr>
          <w:rFonts w:ascii="Times New Roman" w:hAnsi="Times New Roman" w:eastAsia="宋体"/>
          <w:b w:val="0"/>
          <w:sz w:val="21"/>
        </w:rPr>
        <w:t>[4] Hanahan D. Studies on transformation of Escherichia coli with plasmids[J]. Journal of Molecular Biology, 1983, 166(4): 557-580.</w:t>
      </w:r>
    </w:p>
    <w:p>
      <w:pPr>
        <w:spacing w:before="20" w:after="60"/>
        <w:ind w:left="420" w:hanging="420"/>
      </w:pPr>
      <w:r>
        <w:rPr>
          <w:rFonts w:ascii="Times New Roman" w:hAnsi="Times New Roman" w:eastAsia="宋体"/>
          <w:b w:val="0"/>
          <w:sz w:val="21"/>
        </w:rPr>
        <w:t>[5] Saiki R K, Gelfand D H, Stoffel S, et al. Primer-directed enzymatic amplification of DNA with a thermostable DNA polymerase[J]. Science, 1988, 239(4839): 487-491.</w:t>
      </w:r>
    </w:p>
    <w:p>
      <w:pPr>
        <w:spacing w:before="20" w:after="60"/>
        <w:ind w:left="420" w:hanging="420"/>
      </w:pPr>
      <w:r>
        <w:rPr>
          <w:rFonts w:ascii="Times New Roman" w:hAnsi="Times New Roman" w:eastAsia="宋体"/>
          <w:b w:val="0"/>
          <w:sz w:val="21"/>
        </w:rPr>
        <w:t>[6] Lundberg K S, Shoemaker D D, Adams M W W, et al. High-fidelity amplification using a thermostable DNA polymerase isolated from Pyrococcus furiosus[J]. Gene, 1991, 108(1): 1-6.</w:t>
      </w:r>
    </w:p>
    <w:p>
      <w:pPr>
        <w:spacing w:before="20" w:after="60"/>
        <w:ind w:left="420" w:hanging="420"/>
      </w:pPr>
      <w:r>
        <w:rPr>
          <w:rFonts w:ascii="Times New Roman" w:hAnsi="Times New Roman" w:eastAsia="宋体"/>
          <w:b w:val="0"/>
          <w:sz w:val="21"/>
        </w:rPr>
        <w:t>[7] Towbin H, Staehelin T, Gordon J. Electrophoretic transfer of proteins from polyacrylamide gels to nitrocellulose sheets: procedure and some applications[J]. Proceedings of the National Academy of Sciences, 1979, 76(9): 4350-4354.</w:t>
      </w:r>
    </w:p>
    <w:p>
      <w:pPr>
        <w:spacing w:before="20" w:after="60"/>
        <w:ind w:left="420" w:hanging="420"/>
      </w:pPr>
      <w:r>
        <w:rPr>
          <w:rFonts w:ascii="Times New Roman" w:hAnsi="Times New Roman" w:eastAsia="宋体"/>
          <w:b w:val="0"/>
          <w:sz w:val="21"/>
        </w:rPr>
        <w:t>[8] Burnette W N. Western blotting: electrophoretic transfer of proteins from sodium dodecyl sulfate-polyacrylamide gels to unmodified nitrocellulose and radiographic detection with antibody and radioiodinated protein A[J]. Analytical Biochemistry, 1981, 112(2): 195-203.</w:t>
      </w:r>
    </w:p>
    <w:p>
      <w:pPr>
        <w:spacing w:before="20" w:after="60"/>
        <w:ind w:left="420" w:hanging="420"/>
      </w:pPr>
      <w:r>
        <w:rPr>
          <w:rFonts w:ascii="Times New Roman" w:hAnsi="Times New Roman" w:eastAsia="宋体"/>
          <w:b w:val="0"/>
          <w:sz w:val="21"/>
        </w:rPr>
        <w:t>[9] Laemmli U K. Cleavage of structural proteins during the assembly of the head of bacteriophage T4[J]. Nature, 1970, 227(5259): 680-685.</w:t>
      </w:r>
    </w:p>
    <w:p>
      <w:pPr>
        <w:spacing w:before="20" w:after="60"/>
        <w:ind w:left="420" w:hanging="420"/>
      </w:pPr>
      <w:r>
        <w:rPr>
          <w:rFonts w:ascii="Times New Roman" w:hAnsi="Times New Roman" w:eastAsia="宋体"/>
          <w:b w:val="0"/>
          <w:sz w:val="21"/>
        </w:rPr>
        <w:t>[10] Schägger H. Tricine-SDS-PAGE[J]. Nature Protocols, 2006, 1(1): 16-22.</w:t>
      </w:r>
    </w:p>
    <w:p>
      <w:pPr>
        <w:spacing w:before="20" w:after="60"/>
        <w:ind w:left="420" w:hanging="420"/>
      </w:pPr>
      <w:r>
        <w:rPr>
          <w:rFonts w:ascii="Times New Roman" w:hAnsi="Times New Roman" w:eastAsia="宋体"/>
          <w:b w:val="0"/>
          <w:sz w:val="21"/>
        </w:rPr>
        <w:t>[11] Bradford M M. A rapid and sensitive method for the quantitation of microgram quantities of protein utilizing the principle of protein-dye binding[J]. Analytical Biochemistry, 1976, 72(1-2): 248-254.</w:t>
      </w:r>
    </w:p>
    <w:p>
      <w:pPr>
        <w:spacing w:before="20" w:after="60"/>
        <w:ind w:left="420" w:hanging="420"/>
      </w:pPr>
      <w:r>
        <w:rPr>
          <w:rFonts w:ascii="Times New Roman" w:hAnsi="Times New Roman" w:eastAsia="宋体"/>
          <w:b w:val="0"/>
          <w:sz w:val="21"/>
        </w:rPr>
        <w:t>[12] Smith P K, Krohn R I, Hermanson G T, et al. Measurement of protein using bicinchoninic acid[J]. Analytical Biochemistry, 1985, 150(1): 76-85.</w:t>
      </w:r>
    </w:p>
    <w:p>
      <w:pPr>
        <w:spacing w:before="20" w:after="60"/>
        <w:ind w:left="420" w:hanging="420"/>
      </w:pPr>
      <w:r>
        <w:rPr>
          <w:rFonts w:ascii="Times New Roman" w:hAnsi="Times New Roman" w:eastAsia="宋体"/>
          <w:b w:val="0"/>
          <w:sz w:val="21"/>
        </w:rPr>
        <w:t>[13] Harlow E, Lane D. Using Antibodies: A Laboratory Manual[M]. New York: Cold Spring Harbor Laboratory Press, 1999.</w:t>
      </w:r>
    </w:p>
    <w:p>
      <w:pPr>
        <w:spacing w:before="20" w:after="60"/>
        <w:ind w:left="420" w:hanging="420"/>
      </w:pPr>
      <w:r>
        <w:rPr>
          <w:rFonts w:ascii="Times New Roman" w:hAnsi="Times New Roman" w:eastAsia="宋体"/>
          <w:b w:val="0"/>
          <w:sz w:val="21"/>
        </w:rPr>
        <w:t>[14] Kurien B T, Scofield R H. Western blotting[J]. Methods, 2006, 38(4): 283-293.</w:t>
      </w:r>
    </w:p>
    <w:p>
      <w:pPr>
        <w:spacing w:before="20" w:after="60"/>
        <w:ind w:left="420" w:hanging="420"/>
      </w:pPr>
      <w:r>
        <w:rPr>
          <w:rFonts w:ascii="Times New Roman" w:hAnsi="Times New Roman" w:eastAsia="宋体"/>
          <w:b w:val="0"/>
          <w:sz w:val="21"/>
        </w:rPr>
        <w:t>[15] Mahmood T, Yang P C. Western blot: technique, theory, and trouble shooting[J]. North American Journal of Medical Sciences, 2012, 4(9): 429-434.</w:t>
      </w:r>
    </w:p>
    <w:p>
      <w:pPr>
        <w:spacing w:before="20" w:after="60"/>
        <w:ind w:left="420" w:hanging="420"/>
      </w:pPr>
      <w:r>
        <w:rPr>
          <w:rFonts w:ascii="Times New Roman" w:hAnsi="Times New Roman" w:eastAsia="宋体"/>
          <w:b w:val="0"/>
          <w:sz w:val="21"/>
        </w:rPr>
        <w:t>[16] Taylor S C, Posch A. The design of a quantitative Western blot experiment[J]. BioMed Research International, 2014, 2014: 361590.</w:t>
      </w:r>
    </w:p>
    <w:p>
      <w:pPr>
        <w:spacing w:before="20" w:after="60"/>
        <w:ind w:left="420" w:hanging="420"/>
      </w:pPr>
      <w:r>
        <w:rPr>
          <w:rFonts w:ascii="Times New Roman" w:hAnsi="Times New Roman" w:eastAsia="宋体"/>
          <w:b w:val="0"/>
          <w:sz w:val="21"/>
        </w:rPr>
        <w:t>[17] Gassmann M, Grenacher B, Rohde B, et al. Quantifying Western blots: pitfalls of densitometry[J]. Electrophoresis, 2009, 30(11): 1845-1855.</w:t>
      </w:r>
    </w:p>
    <w:p>
      <w:pPr>
        <w:spacing w:before="20" w:after="60"/>
        <w:ind w:left="420" w:hanging="420"/>
      </w:pPr>
      <w:r>
        <w:rPr>
          <w:rFonts w:ascii="Times New Roman" w:hAnsi="Times New Roman" w:eastAsia="宋体"/>
          <w:b w:val="0"/>
          <w:sz w:val="21"/>
        </w:rPr>
        <w:t>[18] Pillai-Kastoori L, Schutz-Geschwender A R, Harford J A. A systematic approach to quantitative Western blot analysis[J]. Analytical Biochemistry, 2020, 593: 113608.</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