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sz w:val="44"/>
        </w:rPr>
        <w:t>云南昆供电力投资集团有限公司</w:t>
        <w:br/>
        <w:t>近三年授信审查参考报告</w:t>
        <w:br/>
        <w:t>（含尽责审查意见）</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b/>
                <w:sz w:val="18"/>
              </w:rPr>
              <w:t>公司全称</w:t>
            </w:r>
          </w:p>
        </w:tc>
        <w:tc>
          <w:tcPr>
            <w:tcW w:type="dxa" w:w="2160"/>
          </w:tcPr>
          <w:p>
            <w:r>
              <w:rPr>
                <w:sz w:val="18"/>
              </w:rPr>
              <w:t>云南昆供电力投资集团有限公司</w:t>
            </w:r>
          </w:p>
        </w:tc>
        <w:tc>
          <w:tcPr>
            <w:tcW w:type="dxa" w:w="2160"/>
            <w:shd w:fill="D9E2F3" w:val="clear"/>
          </w:tcPr>
          <w:p>
            <w:r>
              <w:rPr>
                <w:b/>
                <w:sz w:val="18"/>
              </w:rPr>
              <w:t>曾用名</w:t>
            </w:r>
          </w:p>
        </w:tc>
        <w:tc>
          <w:tcPr>
            <w:tcW w:type="dxa" w:w="2160"/>
          </w:tcPr>
          <w:p>
            <w:r>
              <w:rPr>
                <w:sz w:val="18"/>
              </w:rPr>
              <w:t>佛山投资集团</w:t>
            </w:r>
          </w:p>
        </w:tc>
      </w:tr>
      <w:tr>
        <w:tc>
          <w:tcPr>
            <w:tcW w:type="dxa" w:w="2160"/>
            <w:shd w:fill="D9E2F3" w:val="clear"/>
          </w:tcPr>
          <w:p>
            <w:r>
              <w:rPr>
                <w:b/>
                <w:sz w:val="18"/>
              </w:rPr>
              <w:t>法定代表人</w:t>
            </w:r>
          </w:p>
        </w:tc>
        <w:tc>
          <w:tcPr>
            <w:tcW w:type="dxa" w:w="2160"/>
          </w:tcPr>
          <w:p>
            <w:r>
              <w:rPr>
                <w:sz w:val="18"/>
              </w:rPr>
              <w:t>（待核实，公开渠道未披露完整信息）</w:t>
            </w:r>
          </w:p>
        </w:tc>
        <w:tc>
          <w:tcPr>
            <w:tcW w:type="dxa" w:w="2160"/>
            <w:shd w:fill="D9E2F3" w:val="clear"/>
          </w:tcPr>
          <w:p>
            <w:r>
              <w:rPr>
                <w:b/>
                <w:sz w:val="18"/>
              </w:rPr>
              <w:t>企业状态</w:t>
            </w:r>
          </w:p>
        </w:tc>
        <w:tc>
          <w:tcPr>
            <w:tcW w:type="dxa" w:w="2160"/>
          </w:tcPr>
          <w:p>
            <w:r>
              <w:rPr>
                <w:sz w:val="18"/>
              </w:rPr>
              <w:t>存续（在营）</w:t>
            </w:r>
          </w:p>
        </w:tc>
      </w:tr>
      <w:tr>
        <w:tc>
          <w:tcPr>
            <w:tcW w:type="dxa" w:w="2160"/>
            <w:shd w:fill="D9E2F3" w:val="clear"/>
          </w:tcPr>
          <w:p>
            <w:r>
              <w:rPr>
                <w:b/>
                <w:sz w:val="18"/>
              </w:rPr>
              <w:t>工商注册日期</w:t>
            </w:r>
          </w:p>
        </w:tc>
        <w:tc>
          <w:tcPr>
            <w:tcW w:type="dxa" w:w="2160"/>
          </w:tcPr>
          <w:p>
            <w:r>
              <w:rPr>
                <w:sz w:val="18"/>
              </w:rPr>
              <w:t>2016年12月22日</w:t>
            </w:r>
          </w:p>
        </w:tc>
        <w:tc>
          <w:tcPr>
            <w:tcW w:type="dxa" w:w="2160"/>
            <w:shd w:fill="D9E2F3" w:val="clear"/>
          </w:tcPr>
          <w:p>
            <w:r>
              <w:rPr>
                <w:b/>
                <w:sz w:val="18"/>
              </w:rPr>
              <w:t>正式挂牌运营</w:t>
            </w:r>
          </w:p>
        </w:tc>
        <w:tc>
          <w:tcPr>
            <w:tcW w:type="dxa" w:w="2160"/>
          </w:tcPr>
          <w:p>
            <w:r>
              <w:rPr>
                <w:sz w:val="18"/>
              </w:rPr>
              <w:t>2017年3月17日</w:t>
            </w:r>
          </w:p>
        </w:tc>
      </w:tr>
      <w:tr>
        <w:tc>
          <w:tcPr>
            <w:tcW w:type="dxa" w:w="2160"/>
            <w:shd w:fill="D9E2F3" w:val="clear"/>
          </w:tcPr>
          <w:p>
            <w:r>
              <w:rPr>
                <w:b/>
                <w:sz w:val="18"/>
              </w:rPr>
              <w:t>注册地址</w:t>
            </w:r>
          </w:p>
        </w:tc>
        <w:tc>
          <w:tcPr>
            <w:tcW w:type="dxa" w:w="2160"/>
          </w:tcPr>
          <w:p>
            <w:r>
              <w:rPr>
                <w:sz w:val="18"/>
              </w:rPr>
              <w:t>云南省昆明市（具体地址待核实）</w:t>
            </w:r>
          </w:p>
        </w:tc>
        <w:tc>
          <w:tcPr>
            <w:tcW w:type="dxa" w:w="2160"/>
            <w:shd w:fill="D9E2F3" w:val="clear"/>
          </w:tcPr>
          <w:p>
            <w:r>
              <w:rPr>
                <w:b/>
                <w:sz w:val="18"/>
              </w:rPr>
              <w:t>运营区域</w:t>
            </w:r>
          </w:p>
        </w:tc>
        <w:tc>
          <w:tcPr>
            <w:tcW w:type="dxa" w:w="2160"/>
          </w:tcPr>
          <w:p>
            <w:r>
              <w:rPr>
                <w:sz w:val="18"/>
              </w:rPr>
              <w:t>昆明市及周边区域</w:t>
            </w:r>
          </w:p>
        </w:tc>
      </w:tr>
      <w:tr>
        <w:tc>
          <w:tcPr>
            <w:tcW w:type="dxa" w:w="2160"/>
            <w:shd w:fill="D9E2F3" w:val="clear"/>
          </w:tcPr>
          <w:p>
            <w:r>
              <w:rPr>
                <w:b/>
                <w:sz w:val="18"/>
              </w:rPr>
              <w:t>企业性质</w:t>
            </w:r>
          </w:p>
        </w:tc>
        <w:tc>
          <w:tcPr>
            <w:tcW w:type="dxa" w:w="2160"/>
          </w:tcPr>
          <w:p>
            <w:r>
              <w:rPr>
                <w:sz w:val="18"/>
              </w:rPr>
              <w:t>市属国有企业</w:t>
            </w:r>
          </w:p>
        </w:tc>
        <w:tc>
          <w:tcPr>
            <w:tcW w:type="dxa" w:w="2160"/>
            <w:shd w:fill="D9E2F3" w:val="clear"/>
          </w:tcPr>
          <w:p>
            <w:r>
              <w:rPr>
                <w:b/>
                <w:sz w:val="18"/>
              </w:rPr>
              <w:t>企业规模分类</w:t>
            </w:r>
          </w:p>
        </w:tc>
        <w:tc>
          <w:tcPr>
            <w:tcW w:type="dxa" w:w="2160"/>
          </w:tcPr>
          <w:p>
            <w:r>
              <w:rPr>
                <w:sz w:val="18"/>
              </w:rPr>
              <w:t>小微企业（工商分类）</w:t>
            </w:r>
          </w:p>
        </w:tc>
      </w:tr>
      <w:tr>
        <w:tc>
          <w:tcPr>
            <w:tcW w:type="dxa" w:w="2160"/>
            <w:shd w:fill="D9E2F3" w:val="clear"/>
          </w:tcPr>
          <w:p>
            <w:r>
              <w:rPr>
                <w:b/>
                <w:sz w:val="18"/>
              </w:rPr>
              <w:t>税务信用</w:t>
            </w:r>
          </w:p>
        </w:tc>
        <w:tc>
          <w:tcPr>
            <w:tcW w:type="dxa" w:w="2160"/>
          </w:tcPr>
          <w:p>
            <w:r>
              <w:rPr>
                <w:sz w:val="18"/>
              </w:rPr>
              <w:t>2024年度A级纳税人</w:t>
            </w:r>
          </w:p>
        </w:tc>
        <w:tc>
          <w:tcPr>
            <w:tcW w:type="dxa" w:w="2160"/>
            <w:shd w:fill="D9E2F3" w:val="clear"/>
          </w:tcPr>
          <w:p>
            <w:r>
              <w:rPr>
                <w:b/>
                <w:sz w:val="18"/>
              </w:rPr>
              <w:t>启信分</w:t>
            </w:r>
          </w:p>
        </w:tc>
        <w:tc>
          <w:tcPr>
            <w:tcW w:type="dxa" w:w="2160"/>
          </w:tcPr>
          <w:p>
            <w:r>
              <w:rPr>
                <w:sz w:val="18"/>
              </w:rPr>
              <w:t>768分</w:t>
            </w:r>
          </w:p>
        </w:tc>
      </w:tr>
      <w:tr>
        <w:tc>
          <w:tcPr>
            <w:tcW w:type="dxa" w:w="2160"/>
            <w:shd w:fill="D9E2F3" w:val="clear"/>
          </w:tcPr>
          <w:p>
            <w:r>
              <w:rPr>
                <w:b/>
                <w:sz w:val="18"/>
              </w:rPr>
              <w:t>主营业务</w:t>
            </w:r>
          </w:p>
        </w:tc>
        <w:tc>
          <w:tcPr>
            <w:tcW w:type="dxa" w:w="2160"/>
          </w:tcPr>
          <w:p>
            <w:r>
              <w:rPr>
                <w:sz w:val="18"/>
              </w:rPr>
              <w:t>电力工程设计、施工、安装、运维；电力设备销售；配电及售电业务；新能源投资等</w:t>
            </w:r>
          </w:p>
        </w:tc>
        <w:tc>
          <w:tcPr>
            <w:tcW w:type="dxa" w:w="2160"/>
            <w:shd w:fill="D9E2F3" w:val="clear"/>
          </w:tcPr>
          <w:p>
            <w:r>
              <w:rPr>
                <w:b/>
                <w:sz w:val="18"/>
              </w:rPr>
              <w:t>行业归属</w:t>
            </w:r>
          </w:p>
        </w:tc>
        <w:tc>
          <w:tcPr>
            <w:tcW w:type="dxa" w:w="2160"/>
          </w:tcPr>
          <w:p>
            <w:r>
              <w:rPr>
                <w:sz w:val="18"/>
              </w:rPr>
              <w:t>电力工程与投资行业</w:t>
            </w:r>
          </w:p>
        </w:tc>
      </w:tr>
      <w:tr>
        <w:tc>
          <w:tcPr>
            <w:tcW w:type="dxa" w:w="2160"/>
            <w:shd w:fill="D9E2F3" w:val="clear"/>
          </w:tcPr>
          <w:p>
            <w:r>
              <w:rPr>
                <w:b/>
                <w:sz w:val="18"/>
              </w:rPr>
              <w:t>报告期间</w:t>
            </w:r>
          </w:p>
        </w:tc>
        <w:tc>
          <w:tcPr>
            <w:tcW w:type="dxa" w:w="2160"/>
          </w:tcPr>
          <w:p>
            <w:r>
              <w:rPr>
                <w:sz w:val="18"/>
              </w:rPr>
              <w:t>2023年度—2025年度</w:t>
            </w:r>
          </w:p>
        </w:tc>
        <w:tc>
          <w:tcPr>
            <w:tcW w:type="dxa" w:w="2160"/>
            <w:shd w:fill="D9E2F3" w:val="clear"/>
          </w:tcPr>
          <w:p>
            <w:r>
              <w:rPr>
                <w:b/>
                <w:sz w:val="18"/>
              </w:rPr>
              <w:t>编制日期</w:t>
            </w:r>
          </w:p>
        </w:tc>
        <w:tc>
          <w:tcPr>
            <w:tcW w:type="dxa" w:w="2160"/>
          </w:tcPr>
          <w:p>
            <w:r>
              <w:rPr>
                <w:sz w:val="18"/>
              </w:rPr>
              <w:t>2026年06月11日</w:t>
            </w:r>
          </w:p>
        </w:tc>
      </w:tr>
    </w:tbl>
    <w:p/>
    <w:p>
      <w:r>
        <w:rPr>
          <w:b/>
          <w:color w:val="C00000"/>
        </w:rPr>
        <w:t>● 重要提示：信息透明度说明</w:t>
      </w:r>
    </w:p>
    <w:p>
      <w:r>
        <w:rPr>
          <w:b/>
        </w:rPr>
        <w:t>云南昆供电力投资集团有限公司为非上市有限责任公司，</w:t>
      </w:r>
      <w:r>
        <w:t>不向社会公众公开披露财务报表及经营数据。本报告编制过程中已通过多渠道（启信宝、天眼查、国家企业信用信息公示系统、公开新闻报道、搜索引擎等）进行广泛信息搜集与交叉验证。鉴于非上市公司的信息可得性限制，报告中标注"（待核实）"或"（推测）"的内容系基于行业规律、同类型企业特征及有限公开信息的合理推断，建议在授信审批前向企业索取经审计的财务报表及最新股权结构证明进行验证。</w:t>
      </w:r>
    </w:p>
    <w:p/>
    <w:p>
      <w:pPr>
        <w:pStyle w:val="Heading1"/>
      </w:pPr>
      <w:r>
        <w:t>一、股权变动情况（2023—2025年度）</w:t>
      </w:r>
    </w:p>
    <w:p>
      <w:pPr>
        <w:pStyle w:val="Heading2"/>
      </w:pPr>
      <w:r>
        <w:t>1.1 公司成立背景与股东沿革</w:t>
      </w:r>
    </w:p>
    <w:p>
      <w:r>
        <w:rPr>
          <w:b/>
        </w:rPr>
        <w:t>公司于2016年12月22日完成工商注册，2017年3月17日正式挂牌运营。</w:t>
      </w:r>
      <w:r>
        <w:t>根据公开信息，公司曾用名"佛山投资集团"，后更名为现名，该更名与业务定位调整密切相关。公司成立正值中国电力体制改革深化阶段，根据国务院国资委及国家能源局关于电网企业"主辅分离、主多分离"的改革要求，各地供电局下属的集体企业（多经企业）逐步整合为产权明晰、独立运营的平台型公司。</w:t>
      </w:r>
    </w:p>
    <w:p>
      <w:r>
        <w:rPr>
          <w:b/>
        </w:rPr>
        <w:t>从公司名称"昆供电力投资集团"推断，</w:t>
      </w:r>
      <w:r>
        <w:t>其与昆明供电局（中国南方电网有限责任公司下属）存在历史渊源。在电力集体企业改革框架下，昆明供电局体系的多种经营企业（如电力设计院、电力工程公司、物资公司等）通过股权重组纳入该集团统一管理平台。公司作为"市属国企"的性质表明，其股权可能由昆明市国资委或其委托机构直接或间接持有，而非南方电网直接控股。</w:t>
      </w:r>
    </w:p>
    <w:p>
      <w:pPr>
        <w:pStyle w:val="Heading2"/>
      </w:pPr>
      <w:r>
        <w:t>1.2 近三年股权变动核查</w:t>
      </w:r>
    </w:p>
    <w:p>
      <w:r>
        <w:rPr>
          <w:b/>
        </w:rPr>
        <w:t>截至查询日（2026年6月），通过公开渠道未搜索到云南昆供电力投资集团有限公司在2023—2025年期间发生注册资本变更、股东变更或股权比例调整的公开记录。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股权维度</w:t>
            </w:r>
          </w:p>
        </w:tc>
        <w:tc>
          <w:tcPr>
            <w:tcW w:type="dxa" w:w="2880"/>
            <w:shd w:fill="1F4E79" w:val="clear"/>
          </w:tcPr>
          <w:p>
            <w:pPr>
              <w:jc w:val="center"/>
            </w:pPr>
            <w:r>
              <w:rPr>
                <w:b/>
                <w:color w:val="FFFFFF"/>
                <w:sz w:val="18"/>
              </w:rPr>
              <w:t>变动情况（2023-2025）</w:t>
            </w:r>
          </w:p>
        </w:tc>
        <w:tc>
          <w:tcPr>
            <w:tcW w:type="dxa" w:w="2880"/>
            <w:shd w:fill="1F4E79" w:val="clear"/>
          </w:tcPr>
          <w:p>
            <w:pPr>
              <w:jc w:val="center"/>
            </w:pPr>
            <w:r>
              <w:rPr>
                <w:b/>
                <w:color w:val="FFFFFF"/>
                <w:sz w:val="18"/>
              </w:rPr>
              <w:t>核查来源</w:t>
            </w:r>
          </w:p>
        </w:tc>
      </w:tr>
      <w:tr>
        <w:tc>
          <w:tcPr>
            <w:tcW w:type="dxa" w:w="2880"/>
          </w:tcPr>
          <w:p>
            <w:pPr>
              <w:jc w:val="center"/>
            </w:pPr>
            <w:r>
              <w:rPr>
                <w:sz w:val="18"/>
              </w:rPr>
              <w:t>注册资本变更</w:t>
            </w:r>
          </w:p>
        </w:tc>
        <w:tc>
          <w:tcPr>
            <w:tcW w:type="dxa" w:w="2880"/>
          </w:tcPr>
          <w:p>
            <w:pPr>
              <w:jc w:val="center"/>
            </w:pPr>
            <w:r>
              <w:rPr>
                <w:sz w:val="18"/>
              </w:rPr>
              <w:t>近三年未发现增减资公告</w:t>
            </w:r>
          </w:p>
        </w:tc>
        <w:tc>
          <w:tcPr>
            <w:tcW w:type="dxa" w:w="2880"/>
          </w:tcPr>
          <w:p>
            <w:pPr>
              <w:jc w:val="center"/>
            </w:pPr>
            <w:r>
              <w:rPr>
                <w:sz w:val="18"/>
              </w:rPr>
              <w:t>国家企业信用信息公示系统/启信宝</w:t>
            </w:r>
          </w:p>
        </w:tc>
      </w:tr>
      <w:tr>
        <w:tc>
          <w:tcPr>
            <w:tcW w:type="dxa" w:w="2880"/>
            <w:shd w:fill="D6E4F0" w:val="clear"/>
          </w:tcPr>
          <w:p>
            <w:pPr>
              <w:jc w:val="center"/>
            </w:pPr>
            <w:r>
              <w:rPr>
                <w:sz w:val="18"/>
              </w:rPr>
              <w:t>股东变更</w:t>
            </w:r>
          </w:p>
        </w:tc>
        <w:tc>
          <w:tcPr>
            <w:tcW w:type="dxa" w:w="2880"/>
            <w:shd w:fill="D6E4F0" w:val="clear"/>
          </w:tcPr>
          <w:p>
            <w:pPr>
              <w:jc w:val="center"/>
            </w:pPr>
            <w:r>
              <w:rPr>
                <w:sz w:val="18"/>
              </w:rPr>
              <w:t>近三年未发现股东进出或股权转让公告</w:t>
            </w:r>
          </w:p>
        </w:tc>
        <w:tc>
          <w:tcPr>
            <w:tcW w:type="dxa" w:w="2880"/>
            <w:shd w:fill="D6E4F0" w:val="clear"/>
          </w:tcPr>
          <w:p>
            <w:pPr>
              <w:jc w:val="center"/>
            </w:pPr>
            <w:r>
              <w:rPr>
                <w:sz w:val="18"/>
              </w:rPr>
              <w:t>启信宝/天眼查</w:t>
            </w:r>
          </w:p>
        </w:tc>
      </w:tr>
      <w:tr>
        <w:tc>
          <w:tcPr>
            <w:tcW w:type="dxa" w:w="2880"/>
          </w:tcPr>
          <w:p>
            <w:pPr>
              <w:jc w:val="center"/>
            </w:pPr>
            <w:r>
              <w:rPr>
                <w:sz w:val="18"/>
              </w:rPr>
              <w:t>实际控制人变化</w:t>
            </w:r>
          </w:p>
        </w:tc>
        <w:tc>
          <w:tcPr>
            <w:tcW w:type="dxa" w:w="2880"/>
          </w:tcPr>
          <w:p>
            <w:pPr>
              <w:jc w:val="center"/>
            </w:pPr>
            <w:r>
              <w:rPr>
                <w:sz w:val="18"/>
              </w:rPr>
              <w:t>推测为昆明市国资委（市属国企），近三年未发生变更</w:t>
            </w:r>
          </w:p>
        </w:tc>
        <w:tc>
          <w:tcPr>
            <w:tcW w:type="dxa" w:w="2880"/>
          </w:tcPr>
          <w:p>
            <w:pPr>
              <w:jc w:val="center"/>
            </w:pPr>
            <w:r>
              <w:rPr>
                <w:sz w:val="18"/>
              </w:rPr>
              <w:t>企业性质标签"市属国企"</w:t>
            </w:r>
          </w:p>
        </w:tc>
      </w:tr>
      <w:tr>
        <w:tc>
          <w:tcPr>
            <w:tcW w:type="dxa" w:w="2880"/>
            <w:shd w:fill="D6E4F0" w:val="clear"/>
          </w:tcPr>
          <w:p>
            <w:pPr>
              <w:jc w:val="center"/>
            </w:pPr>
            <w:r>
              <w:rPr>
                <w:sz w:val="18"/>
              </w:rPr>
              <w:t>股权出质</w:t>
            </w:r>
          </w:p>
        </w:tc>
        <w:tc>
          <w:tcPr>
            <w:tcW w:type="dxa" w:w="2880"/>
            <w:shd w:fill="D6E4F0" w:val="clear"/>
          </w:tcPr>
          <w:p>
            <w:pPr>
              <w:jc w:val="center"/>
            </w:pPr>
            <w:r>
              <w:rPr>
                <w:sz w:val="18"/>
              </w:rPr>
              <w:t>近三年未搜索到股权出质登记信息</w:t>
            </w:r>
          </w:p>
        </w:tc>
        <w:tc>
          <w:tcPr>
            <w:tcW w:type="dxa" w:w="2880"/>
            <w:shd w:fill="D6E4F0" w:val="clear"/>
          </w:tcPr>
          <w:p>
            <w:pPr>
              <w:jc w:val="center"/>
            </w:pPr>
            <w:r>
              <w:rPr>
                <w:sz w:val="18"/>
              </w:rPr>
              <w:t>启信宝/天眼查</w:t>
            </w:r>
          </w:p>
        </w:tc>
      </w:tr>
      <w:tr>
        <w:tc>
          <w:tcPr>
            <w:tcW w:type="dxa" w:w="2880"/>
          </w:tcPr>
          <w:p>
            <w:pPr>
              <w:jc w:val="center"/>
            </w:pPr>
            <w:r>
              <w:rPr>
                <w:sz w:val="18"/>
              </w:rPr>
              <w:t>兼并重组</w:t>
            </w:r>
          </w:p>
        </w:tc>
        <w:tc>
          <w:tcPr>
            <w:tcW w:type="dxa" w:w="2880"/>
          </w:tcPr>
          <w:p>
            <w:pPr>
              <w:jc w:val="center"/>
            </w:pPr>
            <w:r>
              <w:rPr>
                <w:sz w:val="18"/>
              </w:rPr>
              <w:t>未发现重大资产重组或兼并公告</w:t>
            </w:r>
          </w:p>
        </w:tc>
        <w:tc>
          <w:tcPr>
            <w:tcW w:type="dxa" w:w="2880"/>
          </w:tcPr>
          <w:p>
            <w:pPr>
              <w:jc w:val="center"/>
            </w:pPr>
            <w:r>
              <w:rPr>
                <w:sz w:val="18"/>
              </w:rPr>
              <w:t>公开新闻报道搜索</w:t>
            </w:r>
          </w:p>
        </w:tc>
      </w:tr>
    </w:tbl>
    <w:p/>
    <w:p>
      <w:pPr>
        <w:pStyle w:val="Heading2"/>
      </w:pPr>
      <w:r>
        <w:t>1.3 股权结构推测与行业分析</w:t>
      </w:r>
    </w:p>
    <w:p>
      <w:r>
        <w:rPr>
          <w:b/>
        </w:rPr>
        <w:t>基于同类型企业（各地供电局集体企业改革平台）的一般特征，推测昆供电力投资集团的股权结构为：</w:t>
      </w:r>
      <w:r>
        <w:t>昆明市国资委或其授权的国有资本投资运营平台持股（控股或全资），下属子公司涵盖电力工程设计院、电力工程公司、电力设备制造销售公司、新能源公司、物业服务公司等。集团对下属子公司的持股比例通常为100%或51%以上，形成控股型集团架构。这种结构有利于统一管理、资金归集和信用整合。</w:t>
      </w:r>
    </w:p>
    <w:p/>
    <w:p>
      <w:pPr>
        <w:pStyle w:val="Heading1"/>
      </w:pPr>
      <w:r>
        <w:t>二、经营情况分析</w:t>
      </w:r>
    </w:p>
    <w:p>
      <w:pPr>
        <w:pStyle w:val="Heading2"/>
      </w:pPr>
      <w:r>
        <w:t>2.1 主营业务与行业定位</w:t>
      </w:r>
    </w:p>
    <w:p>
      <w:r>
        <w:rPr>
          <w:b/>
        </w:rPr>
        <w:t>昆供电力投资集团是昆明区域电力服务领域的重要平台型企业</w:t>
      </w:r>
      <w:r>
        <w:t>，主营业务涵盖以下板块：</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业务板块</w:t>
            </w:r>
          </w:p>
        </w:tc>
        <w:tc>
          <w:tcPr>
            <w:tcW w:type="dxa" w:w="2160"/>
            <w:shd w:fill="1F4E79" w:val="clear"/>
          </w:tcPr>
          <w:p>
            <w:pPr>
              <w:jc w:val="center"/>
            </w:pPr>
            <w:r>
              <w:rPr>
                <w:b/>
                <w:color w:val="FFFFFF"/>
                <w:sz w:val="18"/>
              </w:rPr>
              <w:t>具体内容</w:t>
            </w:r>
          </w:p>
        </w:tc>
        <w:tc>
          <w:tcPr>
            <w:tcW w:type="dxa" w:w="2160"/>
            <w:shd w:fill="1F4E79" w:val="clear"/>
          </w:tcPr>
          <w:p>
            <w:pPr>
              <w:jc w:val="center"/>
            </w:pPr>
            <w:r>
              <w:rPr>
                <w:b/>
                <w:color w:val="FFFFFF"/>
                <w:sz w:val="18"/>
              </w:rPr>
              <w:t>客户群体</w:t>
            </w:r>
          </w:p>
        </w:tc>
        <w:tc>
          <w:tcPr>
            <w:tcW w:type="dxa" w:w="2160"/>
            <w:shd w:fill="1F4E79" w:val="clear"/>
          </w:tcPr>
          <w:p>
            <w:pPr>
              <w:jc w:val="center"/>
            </w:pPr>
            <w:r>
              <w:rPr>
                <w:b/>
                <w:color w:val="FFFFFF"/>
                <w:sz w:val="18"/>
              </w:rPr>
              <w:t>收入特征</w:t>
            </w:r>
          </w:p>
        </w:tc>
      </w:tr>
      <w:tr>
        <w:tc>
          <w:tcPr>
            <w:tcW w:type="dxa" w:w="2160"/>
          </w:tcPr>
          <w:p>
            <w:pPr>
              <w:jc w:val="center"/>
            </w:pPr>
            <w:r>
              <w:rPr>
                <w:sz w:val="18"/>
              </w:rPr>
              <w:t>电力工程设计</w:t>
            </w:r>
          </w:p>
        </w:tc>
        <w:tc>
          <w:tcPr>
            <w:tcW w:type="dxa" w:w="2160"/>
          </w:tcPr>
          <w:p>
            <w:pPr>
              <w:jc w:val="center"/>
            </w:pPr>
            <w:r>
              <w:rPr>
                <w:sz w:val="18"/>
              </w:rPr>
              <w:t>220kV及以下输变电工程、配电网工程设计</w:t>
            </w:r>
          </w:p>
        </w:tc>
        <w:tc>
          <w:tcPr>
            <w:tcW w:type="dxa" w:w="2160"/>
          </w:tcPr>
          <w:p>
            <w:pPr>
              <w:jc w:val="center"/>
            </w:pPr>
            <w:r>
              <w:rPr>
                <w:sz w:val="18"/>
              </w:rPr>
              <w:t>昆明供电局、地方政府、工商业用户</w:t>
            </w:r>
          </w:p>
        </w:tc>
        <w:tc>
          <w:tcPr>
            <w:tcW w:type="dxa" w:w="2160"/>
          </w:tcPr>
          <w:p>
            <w:pPr>
              <w:jc w:val="center"/>
            </w:pPr>
            <w:r>
              <w:rPr>
                <w:sz w:val="18"/>
              </w:rPr>
              <w:t>技术服务费，毛利率较高</w:t>
            </w:r>
          </w:p>
        </w:tc>
      </w:tr>
      <w:tr>
        <w:tc>
          <w:tcPr>
            <w:tcW w:type="dxa" w:w="2160"/>
            <w:shd w:fill="D6E4F0" w:val="clear"/>
          </w:tcPr>
          <w:p>
            <w:pPr>
              <w:jc w:val="center"/>
            </w:pPr>
            <w:r>
              <w:rPr>
                <w:sz w:val="18"/>
              </w:rPr>
              <w:t>电力工程施工与安装</w:t>
            </w:r>
          </w:p>
        </w:tc>
        <w:tc>
          <w:tcPr>
            <w:tcW w:type="dxa" w:w="2160"/>
            <w:shd w:fill="D6E4F0" w:val="clear"/>
          </w:tcPr>
          <w:p>
            <w:pPr>
              <w:jc w:val="center"/>
            </w:pPr>
            <w:r>
              <w:rPr>
                <w:sz w:val="18"/>
              </w:rPr>
              <w:t>输电线路、变电站、配电工程的施工安装及调试</w:t>
            </w:r>
          </w:p>
        </w:tc>
        <w:tc>
          <w:tcPr>
            <w:tcW w:type="dxa" w:w="2160"/>
            <w:shd w:fill="D6E4F0" w:val="clear"/>
          </w:tcPr>
          <w:p>
            <w:pPr>
              <w:jc w:val="center"/>
            </w:pPr>
            <w:r>
              <w:rPr>
                <w:sz w:val="18"/>
              </w:rPr>
              <w:t>昆明供电局体系（主业关联）、房地产开发商</w:t>
            </w:r>
          </w:p>
        </w:tc>
        <w:tc>
          <w:tcPr>
            <w:tcW w:type="dxa" w:w="2160"/>
            <w:shd w:fill="D6E4F0" w:val="clear"/>
          </w:tcPr>
          <w:p>
            <w:pPr>
              <w:jc w:val="center"/>
            </w:pPr>
            <w:r>
              <w:rPr>
                <w:sz w:val="18"/>
              </w:rPr>
              <w:t>工程承包合同收入，资金周转较慢</w:t>
            </w:r>
          </w:p>
        </w:tc>
      </w:tr>
      <w:tr>
        <w:tc>
          <w:tcPr>
            <w:tcW w:type="dxa" w:w="2160"/>
          </w:tcPr>
          <w:p>
            <w:pPr>
              <w:jc w:val="center"/>
            </w:pPr>
            <w:r>
              <w:rPr>
                <w:sz w:val="18"/>
              </w:rPr>
              <w:t>电力设备销售</w:t>
            </w:r>
          </w:p>
        </w:tc>
        <w:tc>
          <w:tcPr>
            <w:tcW w:type="dxa" w:w="2160"/>
          </w:tcPr>
          <w:p>
            <w:pPr>
              <w:jc w:val="center"/>
            </w:pPr>
            <w:r>
              <w:rPr>
                <w:sz w:val="18"/>
              </w:rPr>
              <w:t>变压器、开关柜、电缆等电力设备销售代理及制造</w:t>
            </w:r>
          </w:p>
        </w:tc>
        <w:tc>
          <w:tcPr>
            <w:tcW w:type="dxa" w:w="2160"/>
          </w:tcPr>
          <w:p>
            <w:pPr>
              <w:jc w:val="center"/>
            </w:pPr>
            <w:r>
              <w:rPr>
                <w:sz w:val="18"/>
              </w:rPr>
              <w:t>电网公司、工矿企业</w:t>
            </w:r>
          </w:p>
        </w:tc>
        <w:tc>
          <w:tcPr>
            <w:tcW w:type="dxa" w:w="2160"/>
          </w:tcPr>
          <w:p>
            <w:pPr>
              <w:jc w:val="center"/>
            </w:pPr>
            <w:r>
              <w:rPr>
                <w:sz w:val="18"/>
              </w:rPr>
              <w:t>贸易差价，毛利率较低</w:t>
            </w:r>
          </w:p>
        </w:tc>
      </w:tr>
      <w:tr>
        <w:tc>
          <w:tcPr>
            <w:tcW w:type="dxa" w:w="2160"/>
            <w:shd w:fill="D6E4F0" w:val="clear"/>
          </w:tcPr>
          <w:p>
            <w:pPr>
              <w:jc w:val="center"/>
            </w:pPr>
            <w:r>
              <w:rPr>
                <w:sz w:val="18"/>
              </w:rPr>
              <w:t>配电与售电</w:t>
            </w:r>
          </w:p>
        </w:tc>
        <w:tc>
          <w:tcPr>
            <w:tcW w:type="dxa" w:w="2160"/>
            <w:shd w:fill="D6E4F0" w:val="clear"/>
          </w:tcPr>
          <w:p>
            <w:pPr>
              <w:jc w:val="center"/>
            </w:pPr>
            <w:r>
              <w:rPr>
                <w:sz w:val="18"/>
              </w:rPr>
              <w:t>增量配电网投资运营、售电业务</w:t>
            </w:r>
          </w:p>
        </w:tc>
        <w:tc>
          <w:tcPr>
            <w:tcW w:type="dxa" w:w="2160"/>
            <w:shd w:fill="D6E4F0" w:val="clear"/>
          </w:tcPr>
          <w:p>
            <w:pPr>
              <w:jc w:val="center"/>
            </w:pPr>
            <w:r>
              <w:rPr>
                <w:sz w:val="18"/>
              </w:rPr>
              <w:t>工业园区、大工业用户</w:t>
            </w:r>
          </w:p>
        </w:tc>
        <w:tc>
          <w:tcPr>
            <w:tcW w:type="dxa" w:w="2160"/>
            <w:shd w:fill="D6E4F0" w:val="clear"/>
          </w:tcPr>
          <w:p>
            <w:pPr>
              <w:jc w:val="center"/>
            </w:pPr>
            <w:r>
              <w:rPr>
                <w:sz w:val="18"/>
              </w:rPr>
              <w:t>持续性电费收入，现金流稳定</w:t>
            </w:r>
          </w:p>
        </w:tc>
      </w:tr>
      <w:tr>
        <w:tc>
          <w:tcPr>
            <w:tcW w:type="dxa" w:w="2160"/>
          </w:tcPr>
          <w:p>
            <w:pPr>
              <w:jc w:val="center"/>
            </w:pPr>
            <w:r>
              <w:rPr>
                <w:sz w:val="18"/>
              </w:rPr>
              <w:t>电力运维服务</w:t>
            </w:r>
          </w:p>
        </w:tc>
        <w:tc>
          <w:tcPr>
            <w:tcW w:type="dxa" w:w="2160"/>
          </w:tcPr>
          <w:p>
            <w:pPr>
              <w:jc w:val="center"/>
            </w:pPr>
            <w:r>
              <w:rPr>
                <w:sz w:val="18"/>
              </w:rPr>
              <w:t>电力设施代维、抢修、试验检测</w:t>
            </w:r>
          </w:p>
        </w:tc>
        <w:tc>
          <w:tcPr>
            <w:tcW w:type="dxa" w:w="2160"/>
          </w:tcPr>
          <w:p>
            <w:pPr>
              <w:jc w:val="center"/>
            </w:pPr>
            <w:r>
              <w:rPr>
                <w:sz w:val="18"/>
              </w:rPr>
              <w:t>企事业单位、商业综合体</w:t>
            </w:r>
          </w:p>
        </w:tc>
        <w:tc>
          <w:tcPr>
            <w:tcW w:type="dxa" w:w="2160"/>
          </w:tcPr>
          <w:p>
            <w:pPr>
              <w:jc w:val="center"/>
            </w:pPr>
            <w:r>
              <w:rPr>
                <w:sz w:val="18"/>
              </w:rPr>
              <w:t>服务合同收入，客户粘性高</w:t>
            </w:r>
          </w:p>
        </w:tc>
      </w:tr>
      <w:tr>
        <w:tc>
          <w:tcPr>
            <w:tcW w:type="dxa" w:w="2160"/>
            <w:shd w:fill="D6E4F0" w:val="clear"/>
          </w:tcPr>
          <w:p>
            <w:pPr>
              <w:jc w:val="center"/>
            </w:pPr>
            <w:r>
              <w:rPr>
                <w:sz w:val="18"/>
              </w:rPr>
              <w:t>新能源投资</w:t>
            </w:r>
          </w:p>
        </w:tc>
        <w:tc>
          <w:tcPr>
            <w:tcW w:type="dxa" w:w="2160"/>
            <w:shd w:fill="D6E4F0" w:val="clear"/>
          </w:tcPr>
          <w:p>
            <w:pPr>
              <w:jc w:val="center"/>
            </w:pPr>
            <w:r>
              <w:rPr>
                <w:sz w:val="18"/>
              </w:rPr>
              <w:t>分布式光伏、充电桩等新能源项目投资运营</w:t>
            </w:r>
          </w:p>
        </w:tc>
        <w:tc>
          <w:tcPr>
            <w:tcW w:type="dxa" w:w="2160"/>
            <w:shd w:fill="D6E4F0" w:val="clear"/>
          </w:tcPr>
          <w:p>
            <w:pPr>
              <w:jc w:val="center"/>
            </w:pPr>
            <w:r>
              <w:rPr>
                <w:sz w:val="18"/>
              </w:rPr>
              <w:t>工商业屋顶业主、新能源汽车用户</w:t>
            </w:r>
          </w:p>
        </w:tc>
        <w:tc>
          <w:tcPr>
            <w:tcW w:type="dxa" w:w="2160"/>
            <w:shd w:fill="D6E4F0" w:val="clear"/>
          </w:tcPr>
          <w:p>
            <w:pPr>
              <w:jc w:val="center"/>
            </w:pPr>
            <w:r>
              <w:rPr>
                <w:sz w:val="18"/>
              </w:rPr>
              <w:t>投资回报周期长，政策依赖度高</w:t>
            </w:r>
          </w:p>
        </w:tc>
      </w:tr>
    </w:tbl>
    <w:p/>
    <w:p>
      <w:pPr>
        <w:pStyle w:val="Heading2"/>
      </w:pPr>
      <w:r>
        <w:t>2.2 行业地位与竞争分析</w:t>
      </w:r>
    </w:p>
    <w:p>
      <w:r>
        <w:rPr>
          <w:b/>
        </w:rPr>
        <w:t>竞争优势：</w:t>
      </w:r>
    </w:p>
    <w:p>
      <w:r>
        <w:t>1. 属地化垄断优势：公司根植于昆明供电局体系，在昆明区域的配电工程、用户工程市场中享有较高的市场份额和客户信任度。在220kV及以下电压等级的电力工程领域，具有显著的属地品牌效应。</w:t>
      </w:r>
    </w:p>
    <w:p>
      <w:r>
        <w:t>2. 资质壁垒：作为供电体系孵化的平台企业，集团及下属子公司通常持有电力工程施工总承包、承装（修、试）电力设施许可证等核心资质，这些资质的获取需要较长的时间和业绩积累，构成行业进入壁垒。</w:t>
      </w:r>
    </w:p>
    <w:p>
      <w:r>
        <w:t>3. 技术人才优势：公司核心团队多来自原电力系统，具有丰富的电网运行和工程管理经验，在技术方案能力、安全规范执行等方面优于一般民营电力工程企业。</w:t>
      </w:r>
    </w:p>
    <w:p>
      <w:r>
        <w:t>4. 客户关系稳定：与昆明供电局及其关联单位的长期业务合作关系，为公司提供了较为稳定的基础业务来源。</w:t>
      </w:r>
    </w:p>
    <w:p>
      <w:r>
        <w:rPr>
          <w:b/>
        </w:rPr>
        <w:t>竞争劣势与挑战：</w:t>
      </w:r>
    </w:p>
    <w:p>
      <w:r>
        <w:t>1. 市场区域集中：业务高度集中于昆明区域，省外拓展能力和意愿有限，增长天花板明显。</w:t>
      </w:r>
    </w:p>
    <w:p>
      <w:r>
        <w:t>2. 市场化竞争加剧：随着电力工程市场向民营和社会资本开放，特锐德、正泰等民营电力设备及工程企业的渗透，对传统供电体系平台企业形成竞争压力。</w:t>
      </w:r>
    </w:p>
    <w:p>
      <w:r>
        <w:t>3. 与主业关联的政策风险：在国家持续推动电网"主辅分离"的政策背景下，公司与昆明供电局的关联业务关系面临进一步规范和可能的剥离风险。</w:t>
      </w:r>
    </w:p>
    <w:p>
      <w:r>
        <w:t>4. 创新能力不足：传统电力工程企业在新兴领域（如综合能源服务、数字化运维等）的技术储备和商业模式创新能力相对薄弱。</w:t>
      </w:r>
    </w:p>
    <w:p/>
    <w:p>
      <w:pPr>
        <w:pStyle w:val="Heading2"/>
      </w:pPr>
      <w:r>
        <w:t>2.3 财务状况推测与分析</w:t>
      </w:r>
    </w:p>
    <w:p>
      <w:r>
        <w:rPr>
          <w:b/>
        </w:rPr>
        <w:t>重要说明：</w:t>
      </w:r>
      <w:r>
        <w:t>公司为非上市企业，未公开披露财务报表。以下财务状况基于税务信用A级、启信分768分、行业同类型企业特征及合理推测编制，不作为精确财务数据使用。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财务维度</w:t>
            </w:r>
          </w:p>
        </w:tc>
        <w:tc>
          <w:tcPr>
            <w:tcW w:type="dxa" w:w="2880"/>
            <w:shd w:fill="1F4E79" w:val="clear"/>
          </w:tcPr>
          <w:p>
            <w:pPr>
              <w:jc w:val="center"/>
            </w:pPr>
            <w:r>
              <w:rPr>
                <w:b/>
                <w:color w:val="FFFFFF"/>
                <w:sz w:val="18"/>
              </w:rPr>
              <w:t>行业同类型企业参考值</w:t>
            </w:r>
          </w:p>
        </w:tc>
        <w:tc>
          <w:tcPr>
            <w:tcW w:type="dxa" w:w="2880"/>
            <w:shd w:fill="1F4E79" w:val="clear"/>
          </w:tcPr>
          <w:p>
            <w:pPr>
              <w:jc w:val="center"/>
            </w:pPr>
            <w:r>
              <w:rPr>
                <w:b/>
                <w:color w:val="FFFFFF"/>
                <w:sz w:val="18"/>
              </w:rPr>
              <w:t>对昆供电力投资集团的推测</w:t>
            </w:r>
          </w:p>
        </w:tc>
      </w:tr>
      <w:tr>
        <w:tc>
          <w:tcPr>
            <w:tcW w:type="dxa" w:w="2880"/>
          </w:tcPr>
          <w:p>
            <w:pPr>
              <w:jc w:val="center"/>
            </w:pPr>
            <w:r>
              <w:rPr>
                <w:sz w:val="18"/>
              </w:rPr>
              <w:t>营业收入规模</w:t>
            </w:r>
          </w:p>
        </w:tc>
        <w:tc>
          <w:tcPr>
            <w:tcW w:type="dxa" w:w="2880"/>
          </w:tcPr>
          <w:p>
            <w:pPr>
              <w:jc w:val="center"/>
            </w:pPr>
            <w:r>
              <w:rPr>
                <w:sz w:val="18"/>
              </w:rPr>
              <w:t>年营收5亿-20亿元（市级电力平台）</w:t>
            </w:r>
          </w:p>
        </w:tc>
        <w:tc>
          <w:tcPr>
            <w:tcW w:type="dxa" w:w="2880"/>
          </w:tcPr>
          <w:p>
            <w:pPr>
              <w:jc w:val="center"/>
            </w:pPr>
            <w:r>
              <w:rPr>
                <w:sz w:val="18"/>
              </w:rPr>
              <w:t>推测年营收在8亿-15亿元区间</w:t>
            </w:r>
          </w:p>
        </w:tc>
      </w:tr>
      <w:tr>
        <w:tc>
          <w:tcPr>
            <w:tcW w:type="dxa" w:w="2880"/>
            <w:shd w:fill="D6E4F0" w:val="clear"/>
          </w:tcPr>
          <w:p>
            <w:pPr>
              <w:jc w:val="center"/>
            </w:pPr>
            <w:r>
              <w:rPr>
                <w:sz w:val="18"/>
              </w:rPr>
              <w:t>毛利率</w:t>
            </w:r>
          </w:p>
        </w:tc>
        <w:tc>
          <w:tcPr>
            <w:tcW w:type="dxa" w:w="2880"/>
            <w:shd w:fill="D6E4F0" w:val="clear"/>
          </w:tcPr>
          <w:p>
            <w:pPr>
              <w:jc w:val="center"/>
            </w:pPr>
            <w:r>
              <w:rPr>
                <w:sz w:val="18"/>
              </w:rPr>
              <w:t>电力工程类8%-15%，设计类30%-40%</w:t>
            </w:r>
          </w:p>
        </w:tc>
        <w:tc>
          <w:tcPr>
            <w:tcW w:type="dxa" w:w="2880"/>
            <w:shd w:fill="D6E4F0" w:val="clear"/>
          </w:tcPr>
          <w:p>
            <w:pPr>
              <w:jc w:val="center"/>
            </w:pPr>
            <w:r>
              <w:rPr>
                <w:sz w:val="18"/>
              </w:rPr>
              <w:t>综合毛利率推测10%-18%</w:t>
            </w:r>
          </w:p>
        </w:tc>
      </w:tr>
      <w:tr>
        <w:tc>
          <w:tcPr>
            <w:tcW w:type="dxa" w:w="2880"/>
          </w:tcPr>
          <w:p>
            <w:pPr>
              <w:jc w:val="center"/>
            </w:pPr>
            <w:r>
              <w:rPr>
                <w:sz w:val="18"/>
              </w:rPr>
              <w:t>净利率</w:t>
            </w:r>
          </w:p>
        </w:tc>
        <w:tc>
          <w:tcPr>
            <w:tcW w:type="dxa" w:w="2880"/>
          </w:tcPr>
          <w:p>
            <w:pPr>
              <w:jc w:val="center"/>
            </w:pPr>
            <w:r>
              <w:rPr>
                <w:sz w:val="18"/>
              </w:rPr>
              <w:t>行业平均3%-8%</w:t>
            </w:r>
          </w:p>
        </w:tc>
        <w:tc>
          <w:tcPr>
            <w:tcW w:type="dxa" w:w="2880"/>
          </w:tcPr>
          <w:p>
            <w:pPr>
              <w:jc w:val="center"/>
            </w:pPr>
            <w:r>
              <w:rPr>
                <w:sz w:val="18"/>
              </w:rPr>
              <w:t>推测净利率3%-6%</w:t>
            </w:r>
          </w:p>
        </w:tc>
      </w:tr>
      <w:tr>
        <w:tc>
          <w:tcPr>
            <w:tcW w:type="dxa" w:w="2880"/>
            <w:shd w:fill="D6E4F0" w:val="clear"/>
          </w:tcPr>
          <w:p>
            <w:pPr>
              <w:jc w:val="center"/>
            </w:pPr>
            <w:r>
              <w:rPr>
                <w:sz w:val="18"/>
              </w:rPr>
              <w:t>资产负债率</w:t>
            </w:r>
          </w:p>
        </w:tc>
        <w:tc>
          <w:tcPr>
            <w:tcW w:type="dxa" w:w="2880"/>
            <w:shd w:fill="D6E4F0" w:val="clear"/>
          </w:tcPr>
          <w:p>
            <w:pPr>
              <w:jc w:val="center"/>
            </w:pPr>
            <w:r>
              <w:rPr>
                <w:sz w:val="18"/>
              </w:rPr>
              <w:t>市级电力平台一般40%-65%</w:t>
            </w:r>
          </w:p>
        </w:tc>
        <w:tc>
          <w:tcPr>
            <w:tcW w:type="dxa" w:w="2880"/>
            <w:shd w:fill="D6E4F0" w:val="clear"/>
          </w:tcPr>
          <w:p>
            <w:pPr>
              <w:jc w:val="center"/>
            </w:pPr>
            <w:r>
              <w:rPr>
                <w:sz w:val="18"/>
              </w:rPr>
              <w:t>推测资产负债率50%-60%</w:t>
            </w:r>
          </w:p>
        </w:tc>
      </w:tr>
      <w:tr>
        <w:tc>
          <w:tcPr>
            <w:tcW w:type="dxa" w:w="2880"/>
          </w:tcPr>
          <w:p>
            <w:pPr>
              <w:jc w:val="center"/>
            </w:pPr>
            <w:r>
              <w:rPr>
                <w:sz w:val="18"/>
              </w:rPr>
              <w:t>应收账款规模</w:t>
            </w:r>
          </w:p>
        </w:tc>
        <w:tc>
          <w:tcPr>
            <w:tcW w:type="dxa" w:w="2880"/>
          </w:tcPr>
          <w:p>
            <w:pPr>
              <w:jc w:val="center"/>
            </w:pPr>
            <w:r>
              <w:rPr>
                <w:sz w:val="18"/>
              </w:rPr>
              <w:t>占营收比例40%-60%</w:t>
            </w:r>
          </w:p>
        </w:tc>
        <w:tc>
          <w:tcPr>
            <w:tcW w:type="dxa" w:w="2880"/>
          </w:tcPr>
          <w:p>
            <w:pPr>
              <w:jc w:val="center"/>
            </w:pPr>
            <w:r>
              <w:rPr>
                <w:sz w:val="18"/>
              </w:rPr>
              <w:t>应收账款可能较大，需关注回款周期</w:t>
            </w:r>
          </w:p>
        </w:tc>
      </w:tr>
      <w:tr>
        <w:tc>
          <w:tcPr>
            <w:tcW w:type="dxa" w:w="2880"/>
            <w:shd w:fill="D6E4F0" w:val="clear"/>
          </w:tcPr>
          <w:p>
            <w:pPr>
              <w:jc w:val="center"/>
            </w:pPr>
            <w:r>
              <w:rPr>
                <w:sz w:val="18"/>
              </w:rPr>
              <w:t>经营现金流</w:t>
            </w:r>
          </w:p>
        </w:tc>
        <w:tc>
          <w:tcPr>
            <w:tcW w:type="dxa" w:w="2880"/>
            <w:shd w:fill="D6E4F0" w:val="clear"/>
          </w:tcPr>
          <w:p>
            <w:pPr>
              <w:jc w:val="center"/>
            </w:pPr>
            <w:r>
              <w:rPr>
                <w:sz w:val="18"/>
              </w:rPr>
              <w:t>受工程结算节奏影响波动较大</w:t>
            </w:r>
          </w:p>
        </w:tc>
        <w:tc>
          <w:tcPr>
            <w:tcW w:type="dxa" w:w="2880"/>
            <w:shd w:fill="D6E4F0" w:val="clear"/>
          </w:tcPr>
          <w:p>
            <w:pPr>
              <w:jc w:val="center"/>
            </w:pPr>
            <w:r>
              <w:rPr>
                <w:sz w:val="18"/>
              </w:rPr>
              <w:t>年末工程款集中回收，现金流季节性明显</w:t>
            </w:r>
          </w:p>
        </w:tc>
      </w:tr>
      <w:tr>
        <w:tc>
          <w:tcPr>
            <w:tcW w:type="dxa" w:w="2880"/>
          </w:tcPr>
          <w:p>
            <w:pPr>
              <w:jc w:val="center"/>
            </w:pPr>
            <w:r>
              <w:rPr>
                <w:sz w:val="18"/>
              </w:rPr>
              <w:t>资产规模</w:t>
            </w:r>
          </w:p>
        </w:tc>
        <w:tc>
          <w:tcPr>
            <w:tcW w:type="dxa" w:w="2880"/>
          </w:tcPr>
          <w:p>
            <w:pPr>
              <w:jc w:val="center"/>
            </w:pPr>
            <w:r>
              <w:rPr>
                <w:sz w:val="18"/>
              </w:rPr>
              <w:t>推测总资产10亿-30亿元</w:t>
            </w:r>
          </w:p>
        </w:tc>
        <w:tc>
          <w:tcPr>
            <w:tcW w:type="dxa" w:w="2880"/>
          </w:tcPr>
          <w:p>
            <w:pPr>
              <w:jc w:val="center"/>
            </w:pPr>
            <w:r>
              <w:rPr>
                <w:sz w:val="18"/>
              </w:rPr>
              <w:t>含大量在建工程和固定资产（电力设备等）</w:t>
            </w:r>
          </w:p>
        </w:tc>
      </w:tr>
      <w:tr>
        <w:tc>
          <w:tcPr>
            <w:tcW w:type="dxa" w:w="2880"/>
            <w:shd w:fill="D6E4F0" w:val="clear"/>
          </w:tcPr>
          <w:p>
            <w:pPr>
              <w:jc w:val="center"/>
            </w:pPr>
            <w:r>
              <w:rPr>
                <w:sz w:val="18"/>
              </w:rPr>
              <w:t>盈利能力评级</w:t>
            </w:r>
          </w:p>
        </w:tc>
        <w:tc>
          <w:tcPr>
            <w:tcW w:type="dxa" w:w="2880"/>
            <w:shd w:fill="D6E4F0" w:val="clear"/>
          </w:tcPr>
          <w:p>
            <w:pPr>
              <w:jc w:val="center"/>
            </w:pPr>
            <w:r>
              <w:rPr>
                <w:sz w:val="18"/>
              </w:rPr>
              <w:t>BBB+（推测）</w:t>
            </w:r>
          </w:p>
        </w:tc>
        <w:tc>
          <w:tcPr>
            <w:tcW w:type="dxa" w:w="2880"/>
            <w:shd w:fill="D6E4F0" w:val="clear"/>
          </w:tcPr>
          <w:p>
            <w:pPr>
              <w:jc w:val="center"/>
            </w:pPr>
            <w:r>
              <w:rPr>
                <w:sz w:val="18"/>
              </w:rPr>
              <w:t>基于税务A级和768分推测，盈利稳定</w:t>
            </w:r>
          </w:p>
        </w:tc>
      </w:tr>
    </w:tbl>
    <w:p/>
    <w:p>
      <w:pPr>
        <w:pStyle w:val="Heading2"/>
      </w:pPr>
      <w:r>
        <w:t>2.4 2023-2025年经营趋势研判</w:t>
      </w:r>
    </w:p>
    <w:p>
      <w:r>
        <w:rPr>
          <w:b/>
        </w:rPr>
        <w:t>● 2023年：</w:t>
      </w:r>
      <w:r>
        <w:t>疫情防控转段后，电网投资保持增长（全国电网工程投资同比增长约5%），云南省及昆明市配电网建设、老旧小区电力改造、新能源并网等需求为电力工程企业带来增量市场。公司在施工安装、设计服务等传统业务领域预计保持平稳。但需注意，部分工程款回收可能受房地产下行影响。</w:t>
      </w:r>
    </w:p>
    <w:p>
      <w:r>
        <w:rPr>
          <w:b/>
        </w:rPr>
        <w:t>● 2024年：</w:t>
      </w:r>
      <w:r>
        <w:t>全国电网投资增速进一步加快（国网+南网合计投资超6,500亿元，同比+10%以上）。昆明市城市更新、产业园区建设等拉动电力配套需求。公司新能源业务（分布式光伏、充电桩）可能成为新的收入增长点。但电力工程市场竞争加剧，毛利率或有所承压。</w:t>
      </w:r>
    </w:p>
    <w:p>
      <w:r>
        <w:rPr>
          <w:b/>
        </w:rPr>
        <w:t>● 2025年：</w:t>
      </w:r>
      <w:r>
        <w:t>电网投资持续高位运行，2025年全国电网投资目标7,000亿元以上。公司作为昆明市属电力平台，在配电网智能化改造、增量配电网运营等方面有望获得更多政策支持。但受经济增速放缓和地方财政压力影响，工程款支付周期可能延长。新能源业务占比提升将改善收入结构，但初期投资对资金面构成一定压力。</w:t>
      </w:r>
    </w:p>
    <w:p/>
    <w:p>
      <w:pPr>
        <w:pStyle w:val="Heading1"/>
      </w:pPr>
      <w:r>
        <w:t>三、负面信息与风险排查</w:t>
      </w:r>
    </w:p>
    <w:p>
      <w:pPr>
        <w:pStyle w:val="Heading2"/>
      </w:pPr>
      <w:r>
        <w:t>3.1 自身风险汇总</w:t>
      </w:r>
    </w:p>
    <w:p>
      <w:r>
        <w:rPr>
          <w:b/>
        </w:rPr>
        <w:t>根据启信宝等企业信用信息查询平台数据，截至查询日，云南昆供电力投资集团有限公司涉及：</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风险类别</w:t>
            </w:r>
          </w:p>
        </w:tc>
        <w:tc>
          <w:tcPr>
            <w:tcW w:type="dxa" w:w="2880"/>
            <w:shd w:fill="1F4E79" w:val="clear"/>
          </w:tcPr>
          <w:p>
            <w:pPr>
              <w:jc w:val="center"/>
            </w:pPr>
            <w:r>
              <w:rPr>
                <w:b/>
                <w:color w:val="FFFFFF"/>
                <w:sz w:val="18"/>
              </w:rPr>
              <w:t>数量</w:t>
            </w:r>
          </w:p>
        </w:tc>
        <w:tc>
          <w:tcPr>
            <w:tcW w:type="dxa" w:w="2880"/>
            <w:shd w:fill="1F4E79" w:val="clear"/>
          </w:tcPr>
          <w:p>
            <w:pPr>
              <w:jc w:val="center"/>
            </w:pPr>
            <w:r>
              <w:rPr>
                <w:b/>
                <w:color w:val="FFFFFF"/>
                <w:sz w:val="18"/>
              </w:rPr>
              <w:t>说明</w:t>
            </w:r>
          </w:p>
        </w:tc>
      </w:tr>
      <w:tr>
        <w:tc>
          <w:tcPr>
            <w:tcW w:type="dxa" w:w="2880"/>
          </w:tcPr>
          <w:p>
            <w:pPr>
              <w:jc w:val="center"/>
            </w:pPr>
            <w:r>
              <w:rPr>
                <w:sz w:val="18"/>
              </w:rPr>
              <w:t>自身风险（司法案件）</w:t>
            </w:r>
          </w:p>
        </w:tc>
        <w:tc>
          <w:tcPr>
            <w:tcW w:type="dxa" w:w="2880"/>
          </w:tcPr>
          <w:p>
            <w:pPr>
              <w:jc w:val="center"/>
            </w:pPr>
            <w:r>
              <w:rPr>
                <w:sz w:val="18"/>
              </w:rPr>
              <w:t>7条</w:t>
            </w:r>
          </w:p>
        </w:tc>
        <w:tc>
          <w:tcPr>
            <w:tcW w:type="dxa" w:w="2880"/>
          </w:tcPr>
          <w:p>
            <w:pPr>
              <w:jc w:val="center"/>
            </w:pPr>
            <w:r>
              <w:rPr>
                <w:sz w:val="18"/>
              </w:rPr>
              <w:t>以合同纠纷、工程款纠纷为主，系电力工程行业正常经营中产生的争议</w:t>
            </w:r>
          </w:p>
        </w:tc>
      </w:tr>
      <w:tr>
        <w:tc>
          <w:tcPr>
            <w:tcW w:type="dxa" w:w="2880"/>
            <w:shd w:fill="D6E4F0" w:val="clear"/>
          </w:tcPr>
          <w:p>
            <w:pPr>
              <w:jc w:val="center"/>
            </w:pPr>
            <w:r>
              <w:rPr>
                <w:sz w:val="18"/>
              </w:rPr>
              <w:t>行政处罚</w:t>
            </w:r>
          </w:p>
        </w:tc>
        <w:tc>
          <w:tcPr>
            <w:tcW w:type="dxa" w:w="2880"/>
            <w:shd w:fill="D6E4F0" w:val="clear"/>
          </w:tcPr>
          <w:p>
            <w:pPr>
              <w:jc w:val="center"/>
            </w:pPr>
            <w:r>
              <w:rPr>
                <w:sz w:val="18"/>
              </w:rPr>
              <w:t>未搜索到公开记录</w:t>
            </w:r>
          </w:p>
        </w:tc>
        <w:tc>
          <w:tcPr>
            <w:tcW w:type="dxa" w:w="2880"/>
            <w:shd w:fill="D6E4F0" w:val="clear"/>
          </w:tcPr>
          <w:p>
            <w:pPr>
              <w:jc w:val="center"/>
            </w:pPr>
            <w:r>
              <w:rPr>
                <w:sz w:val="18"/>
              </w:rPr>
              <w:t>近三年未发现重大行政处罚或监管处罚记录</w:t>
            </w:r>
          </w:p>
        </w:tc>
      </w:tr>
      <w:tr>
        <w:tc>
          <w:tcPr>
            <w:tcW w:type="dxa" w:w="2880"/>
          </w:tcPr>
          <w:p>
            <w:pPr>
              <w:jc w:val="center"/>
            </w:pPr>
            <w:r>
              <w:rPr>
                <w:sz w:val="18"/>
              </w:rPr>
              <w:t>失信被执行</w:t>
            </w:r>
          </w:p>
        </w:tc>
        <w:tc>
          <w:tcPr>
            <w:tcW w:type="dxa" w:w="2880"/>
          </w:tcPr>
          <w:p>
            <w:pPr>
              <w:jc w:val="center"/>
            </w:pPr>
            <w:r>
              <w:rPr>
                <w:sz w:val="18"/>
              </w:rPr>
              <w:t>未搜索到公开记录</w:t>
            </w:r>
          </w:p>
        </w:tc>
        <w:tc>
          <w:tcPr>
            <w:tcW w:type="dxa" w:w="2880"/>
          </w:tcPr>
          <w:p>
            <w:pPr>
              <w:jc w:val="center"/>
            </w:pPr>
            <w:r>
              <w:rPr>
                <w:sz w:val="18"/>
              </w:rPr>
              <w:t>未被列入失信被执行人名单</w:t>
            </w:r>
          </w:p>
        </w:tc>
      </w:tr>
      <w:tr>
        <w:tc>
          <w:tcPr>
            <w:tcW w:type="dxa" w:w="2880"/>
            <w:shd w:fill="D6E4F0" w:val="clear"/>
          </w:tcPr>
          <w:p>
            <w:pPr>
              <w:jc w:val="center"/>
            </w:pPr>
            <w:r>
              <w:rPr>
                <w:sz w:val="18"/>
              </w:rPr>
              <w:t>税务信用</w:t>
            </w:r>
          </w:p>
        </w:tc>
        <w:tc>
          <w:tcPr>
            <w:tcW w:type="dxa" w:w="2880"/>
            <w:shd w:fill="D6E4F0" w:val="clear"/>
          </w:tcPr>
          <w:p>
            <w:pPr>
              <w:jc w:val="center"/>
            </w:pPr>
            <w:r>
              <w:rPr>
                <w:sz w:val="18"/>
              </w:rPr>
              <w:t>A级（2024年度）</w:t>
            </w:r>
          </w:p>
        </w:tc>
        <w:tc>
          <w:tcPr>
            <w:tcW w:type="dxa" w:w="2880"/>
            <w:shd w:fill="D6E4F0" w:val="clear"/>
          </w:tcPr>
          <w:p>
            <w:pPr>
              <w:jc w:val="center"/>
            </w:pPr>
            <w:r>
              <w:rPr>
                <w:sz w:val="18"/>
              </w:rPr>
              <w:t>税务机关最高评级，反映纳税信用优良</w:t>
            </w:r>
          </w:p>
        </w:tc>
      </w:tr>
      <w:tr>
        <w:tc>
          <w:tcPr>
            <w:tcW w:type="dxa" w:w="2880"/>
          </w:tcPr>
          <w:p>
            <w:pPr>
              <w:jc w:val="center"/>
            </w:pPr>
            <w:r>
              <w:rPr>
                <w:sz w:val="18"/>
              </w:rPr>
              <w:t>启信分</w:t>
            </w:r>
          </w:p>
        </w:tc>
        <w:tc>
          <w:tcPr>
            <w:tcW w:type="dxa" w:w="2880"/>
          </w:tcPr>
          <w:p>
            <w:pPr>
              <w:jc w:val="center"/>
            </w:pPr>
            <w:r>
              <w:rPr>
                <w:sz w:val="18"/>
              </w:rPr>
              <w:t>768分</w:t>
            </w:r>
          </w:p>
        </w:tc>
        <w:tc>
          <w:tcPr>
            <w:tcW w:type="dxa" w:w="2880"/>
          </w:tcPr>
          <w:p>
            <w:pPr>
              <w:jc w:val="center"/>
            </w:pPr>
            <w:r>
              <w:rPr>
                <w:sz w:val="18"/>
              </w:rPr>
              <w:t>在同类型企业中属于中等偏上水平（满分约1000分）</w:t>
            </w:r>
          </w:p>
        </w:tc>
      </w:tr>
    </w:tbl>
    <w:p/>
    <w:p>
      <w:pPr>
        <w:pStyle w:val="Heading2"/>
      </w:pPr>
      <w:r>
        <w:t>3.2 风险事件分析</w:t>
      </w:r>
    </w:p>
    <w:p>
      <w:r>
        <w:rPr>
          <w:b/>
        </w:rPr>
        <w:t>（1）司法案件（7条自身风险）</w:t>
      </w:r>
      <w:r>
        <w:br/>
        <w:t>公司的7条自身风险以司法案件为主。电力工程行业常见涉诉类型包括：①工程款追索纠纷——作为施工方追索发包方的工程款；②分包合同纠纷——与下游分包商之间的款项争议；③劳动争议——与员工的劳动合同纠纷。鉴于公司税务信用A级且未被列为失信被执行人，推测案件标的金额较小且多数已妥善处理，未对公司正常经营构成重大影响。</w:t>
      </w:r>
    </w:p>
    <w:p>
      <w:r>
        <w:rPr>
          <w:b/>
        </w:rPr>
        <w:t>（2）安全与环保风险</w:t>
      </w:r>
      <w:r>
        <w:br/>
        <w:t>电力工程施工涉及高压带电作业、高空作业、深基坑作业等高风险环节，安全生产是企业经营的"生命线"。公开渠道未搜索到公司近三年发生重大安全事故或被应急管理部门行政处罚的记录，但该风险持续存在，需在尽职调查中重点确认公司的安全生产资质（安全生产许可证）和近三年安全生产记录。</w:t>
      </w:r>
    </w:p>
    <w:p>
      <w:r>
        <w:rPr>
          <w:b/>
        </w:rPr>
        <w:t>（3）关联交易与合规风险</w:t>
      </w:r>
      <w:r>
        <w:br/>
        <w:t>公司作为与昆明供电局体系存在历史渊源的平台企业，关联交易占比可能较高。在近年国家持续推动电网企业"主辅分离"的政策趋势下，需关注：①与昆明供电局关联业务的合规性；②工程承揽方式（公开招标、邀请招标、直接委托）的合规占比；③是否存在反垄断或公平竞争审查风险。</w:t>
      </w:r>
    </w:p>
    <w:p>
      <w:r>
        <w:rPr>
          <w:b/>
        </w:rPr>
        <w:t>（4）应收账款回收风险</w:t>
      </w:r>
      <w:r>
        <w:br/>
        <w:t>电力工程行业普遍存在工程款回收周期长的特点。受地方政府财政压力上升、房地产行业下行等宏观因素影响，部分工程业主方的付款能力可能下降。公司应收账款周转天数如持续拉长，将增加经营现金流压力和坏账计提风险。</w:t>
      </w:r>
    </w:p>
    <w:p/>
    <w:p>
      <w:pPr>
        <w:pStyle w:val="Heading2"/>
      </w:pPr>
      <w:r>
        <w:t>3.3 负面信息综合评价</w:t>
      </w:r>
    </w:p>
    <w:p>
      <w:r>
        <w:rPr>
          <w:b/>
        </w:rPr>
        <w:t>综合评价：</w:t>
      </w:r>
      <w:r>
        <w:t>公司的负面信息总体较少且风险可控。7条司法案件属于行业常见纠纷，未搜索到重大行政处罚或失信记录。2024年税务信用A级表明纳税合规性良好。启信分768分在同类型企业中处于中上水平。主要的潜在风险不在于既有负面信息，而在于①行业固有的应收账款回收压力；②"主辅分离"政策持续推进对公司业务模式的长期影响；③安全生产风险。建议在尽职调查中重点审查近三年的裁判文书细节、应收账款的账龄结构及坏账计提情况。</w:t>
      </w:r>
    </w:p>
    <w:p/>
    <w:p>
      <w:pPr>
        <w:pStyle w:val="Heading1"/>
      </w:pPr>
      <w:r>
        <w:t>四、融资情况分析</w:t>
      </w:r>
    </w:p>
    <w:p>
      <w:pPr>
        <w:pStyle w:val="Heading2"/>
      </w:pPr>
      <w:r>
        <w:t>4.1 股权融资</w:t>
      </w:r>
    </w:p>
    <w:p>
      <w:r>
        <w:rPr>
          <w:b/>
        </w:rPr>
        <w:t>近三年（2023-2025年），公司在公开渠道未显示进行过增资扩股、引入战略投资者或IPO等股权融资活动。</w:t>
      </w:r>
      <w:r>
        <w:t>注册资本保持稳定，股权结构以国有独资或国有控股为主。作为市属国企，若存在资金需求，传统路径为通过昆明市国资委或股东单位以增资方式补充资本金，但近三年未检索到相关公告。</w:t>
      </w:r>
    </w:p>
    <w:p/>
    <w:p>
      <w:pPr>
        <w:pStyle w:val="Heading2"/>
      </w:pPr>
      <w:r>
        <w:t>4.2 银行借款与授信</w:t>
      </w:r>
    </w:p>
    <w:p>
      <w:r>
        <w:rPr>
          <w:b/>
        </w:rPr>
        <w:t>公司单体银行授信及借款信息因非上市公司未详细公开披露。</w:t>
      </w:r>
      <w:r>
        <w:t>基于行业同类型企业推测：</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融资维度</w:t>
            </w:r>
          </w:p>
        </w:tc>
        <w:tc>
          <w:tcPr>
            <w:tcW w:type="dxa" w:w="2880"/>
            <w:shd w:fill="1F4E79" w:val="clear"/>
          </w:tcPr>
          <w:p>
            <w:pPr>
              <w:jc w:val="center"/>
            </w:pPr>
            <w:r>
              <w:rPr>
                <w:b/>
                <w:color w:val="FFFFFF"/>
                <w:sz w:val="18"/>
              </w:rPr>
              <w:t>推测情况</w:t>
            </w:r>
          </w:p>
        </w:tc>
        <w:tc>
          <w:tcPr>
            <w:tcW w:type="dxa" w:w="2880"/>
            <w:shd w:fill="1F4E79" w:val="clear"/>
          </w:tcPr>
          <w:p>
            <w:pPr>
              <w:jc w:val="center"/>
            </w:pPr>
            <w:r>
              <w:rPr>
                <w:b/>
                <w:color w:val="FFFFFF"/>
                <w:sz w:val="18"/>
              </w:rPr>
              <w:t>分析依据</w:t>
            </w:r>
          </w:p>
        </w:tc>
      </w:tr>
      <w:tr>
        <w:tc>
          <w:tcPr>
            <w:tcW w:type="dxa" w:w="2880"/>
          </w:tcPr>
          <w:p>
            <w:pPr>
              <w:jc w:val="center"/>
            </w:pPr>
            <w:r>
              <w:rPr>
                <w:sz w:val="18"/>
              </w:rPr>
              <w:t>主要贷款类型</w:t>
            </w:r>
          </w:p>
        </w:tc>
        <w:tc>
          <w:tcPr>
            <w:tcW w:type="dxa" w:w="2880"/>
          </w:tcPr>
          <w:p>
            <w:pPr>
              <w:jc w:val="center"/>
            </w:pPr>
            <w:r>
              <w:rPr>
                <w:sz w:val="18"/>
              </w:rPr>
              <w:t>流动资金贷款为主（工程垫资需求），辅以中长期固定资产贷款</w:t>
            </w:r>
          </w:p>
        </w:tc>
        <w:tc>
          <w:tcPr>
            <w:tcW w:type="dxa" w:w="2880"/>
          </w:tcPr>
          <w:p>
            <w:pPr>
              <w:jc w:val="center"/>
            </w:pPr>
            <w:r>
              <w:rPr>
                <w:sz w:val="18"/>
              </w:rPr>
              <w:t>电力工程行业资金密集型特征</w:t>
            </w:r>
          </w:p>
        </w:tc>
      </w:tr>
      <w:tr>
        <w:tc>
          <w:tcPr>
            <w:tcW w:type="dxa" w:w="2880"/>
            <w:shd w:fill="D6E4F0" w:val="clear"/>
          </w:tcPr>
          <w:p>
            <w:pPr>
              <w:jc w:val="center"/>
            </w:pPr>
            <w:r>
              <w:rPr>
                <w:sz w:val="18"/>
              </w:rPr>
              <w:t>合作银行</w:t>
            </w:r>
          </w:p>
        </w:tc>
        <w:tc>
          <w:tcPr>
            <w:tcW w:type="dxa" w:w="2880"/>
            <w:shd w:fill="D6E4F0" w:val="clear"/>
          </w:tcPr>
          <w:p>
            <w:pPr>
              <w:jc w:val="center"/>
            </w:pPr>
            <w:r>
              <w:rPr>
                <w:sz w:val="18"/>
              </w:rPr>
              <w:t>推测以国有大行（工、农、中、建）及地方城商行（富滇银行等）为主</w:t>
            </w:r>
          </w:p>
        </w:tc>
        <w:tc>
          <w:tcPr>
            <w:tcW w:type="dxa" w:w="2880"/>
            <w:shd w:fill="D6E4F0" w:val="clear"/>
          </w:tcPr>
          <w:p>
            <w:pPr>
              <w:jc w:val="center"/>
            </w:pPr>
            <w:r>
              <w:rPr>
                <w:sz w:val="18"/>
              </w:rPr>
              <w:t>市属国企的银行合作惯常模式</w:t>
            </w:r>
          </w:p>
        </w:tc>
      </w:tr>
      <w:tr>
        <w:tc>
          <w:tcPr>
            <w:tcW w:type="dxa" w:w="2880"/>
          </w:tcPr>
          <w:p>
            <w:pPr>
              <w:jc w:val="center"/>
            </w:pPr>
            <w:r>
              <w:rPr>
                <w:sz w:val="18"/>
              </w:rPr>
              <w:t>授信额度推测</w:t>
            </w:r>
          </w:p>
        </w:tc>
        <w:tc>
          <w:tcPr>
            <w:tcW w:type="dxa" w:w="2880"/>
          </w:tcPr>
          <w:p>
            <w:pPr>
              <w:jc w:val="center"/>
            </w:pPr>
            <w:r>
              <w:rPr>
                <w:sz w:val="18"/>
              </w:rPr>
              <w:t>推测综合授信额度在3亿-8亿元区间</w:t>
            </w:r>
          </w:p>
        </w:tc>
        <w:tc>
          <w:tcPr>
            <w:tcW w:type="dxa" w:w="2880"/>
          </w:tcPr>
          <w:p>
            <w:pPr>
              <w:jc w:val="center"/>
            </w:pPr>
            <w:r>
              <w:rPr>
                <w:sz w:val="18"/>
              </w:rPr>
              <w:t>根据营收规模及行业特点推算</w:t>
            </w:r>
          </w:p>
        </w:tc>
      </w:tr>
      <w:tr>
        <w:tc>
          <w:tcPr>
            <w:tcW w:type="dxa" w:w="2880"/>
            <w:shd w:fill="D6E4F0" w:val="clear"/>
          </w:tcPr>
          <w:p>
            <w:pPr>
              <w:jc w:val="center"/>
            </w:pPr>
            <w:r>
              <w:rPr>
                <w:sz w:val="18"/>
              </w:rPr>
              <w:t>担保方式</w:t>
            </w:r>
          </w:p>
        </w:tc>
        <w:tc>
          <w:tcPr>
            <w:tcW w:type="dxa" w:w="2880"/>
            <w:shd w:fill="D6E4F0" w:val="clear"/>
          </w:tcPr>
          <w:p>
            <w:pPr>
              <w:jc w:val="center"/>
            </w:pPr>
            <w:r>
              <w:rPr>
                <w:sz w:val="18"/>
              </w:rPr>
              <w:t>以信用贷款为主，辅以应收账款质押或集团担保</w:t>
            </w:r>
          </w:p>
        </w:tc>
        <w:tc>
          <w:tcPr>
            <w:tcW w:type="dxa" w:w="2880"/>
            <w:shd w:fill="D6E4F0" w:val="clear"/>
          </w:tcPr>
          <w:p>
            <w:pPr>
              <w:jc w:val="center"/>
            </w:pPr>
            <w:r>
              <w:rPr>
                <w:sz w:val="18"/>
              </w:rPr>
              <w:t>市属国企信用等级较好，银行认可度高</w:t>
            </w:r>
          </w:p>
        </w:tc>
      </w:tr>
      <w:tr>
        <w:tc>
          <w:tcPr>
            <w:tcW w:type="dxa" w:w="2880"/>
          </w:tcPr>
          <w:p>
            <w:pPr>
              <w:jc w:val="center"/>
            </w:pPr>
            <w:r>
              <w:rPr>
                <w:sz w:val="18"/>
              </w:rPr>
              <w:t>借款利率</w:t>
            </w:r>
          </w:p>
        </w:tc>
        <w:tc>
          <w:tcPr>
            <w:tcW w:type="dxa" w:w="2880"/>
          </w:tcPr>
          <w:p>
            <w:pPr>
              <w:jc w:val="center"/>
            </w:pPr>
            <w:r>
              <w:rPr>
                <w:sz w:val="18"/>
              </w:rPr>
              <w:t>推测为LPR或LPR下浮（国企优势）</w:t>
            </w:r>
          </w:p>
        </w:tc>
        <w:tc>
          <w:tcPr>
            <w:tcW w:type="dxa" w:w="2880"/>
          </w:tcPr>
          <w:p>
            <w:pPr>
              <w:jc w:val="center"/>
            </w:pPr>
            <w:r>
              <w:rPr>
                <w:sz w:val="18"/>
              </w:rPr>
              <w:t>市属国企较民企享有利率优惠</w:t>
            </w:r>
          </w:p>
        </w:tc>
      </w:tr>
      <w:tr>
        <w:tc>
          <w:tcPr>
            <w:tcW w:type="dxa" w:w="2880"/>
            <w:shd w:fill="D6E4F0" w:val="clear"/>
          </w:tcPr>
          <w:p>
            <w:pPr>
              <w:jc w:val="center"/>
            </w:pPr>
            <w:r>
              <w:rPr>
                <w:sz w:val="18"/>
              </w:rPr>
              <w:t>有息负债率</w:t>
            </w:r>
          </w:p>
        </w:tc>
        <w:tc>
          <w:tcPr>
            <w:tcW w:type="dxa" w:w="2880"/>
            <w:shd w:fill="D6E4F0" w:val="clear"/>
          </w:tcPr>
          <w:p>
            <w:pPr>
              <w:jc w:val="center"/>
            </w:pPr>
            <w:r>
              <w:rPr>
                <w:sz w:val="18"/>
              </w:rPr>
              <w:t>推测在30%-45%区间</w:t>
            </w:r>
          </w:p>
        </w:tc>
        <w:tc>
          <w:tcPr>
            <w:tcW w:type="dxa" w:w="2880"/>
            <w:shd w:fill="D6E4F0" w:val="clear"/>
          </w:tcPr>
          <w:p>
            <w:pPr>
              <w:jc w:val="center"/>
            </w:pPr>
            <w:r>
              <w:rPr>
                <w:sz w:val="18"/>
              </w:rPr>
              <w:t>电力工程行业合理杠杆水平</w:t>
            </w:r>
          </w:p>
        </w:tc>
      </w:tr>
      <w:tr>
        <w:tc>
          <w:tcPr>
            <w:tcW w:type="dxa" w:w="2880"/>
          </w:tcPr>
          <w:p>
            <w:pPr>
              <w:jc w:val="center"/>
            </w:pPr>
            <w:r>
              <w:rPr>
                <w:sz w:val="18"/>
              </w:rPr>
              <w:t>偿债覆盖率</w:t>
            </w:r>
          </w:p>
        </w:tc>
        <w:tc>
          <w:tcPr>
            <w:tcW w:type="dxa" w:w="2880"/>
          </w:tcPr>
          <w:p>
            <w:pPr>
              <w:jc w:val="center"/>
            </w:pPr>
            <w:r>
              <w:rPr>
                <w:sz w:val="18"/>
              </w:rPr>
              <w:t>经营现金流/还本付息的覆盖倍数推测&gt;1.5倍</w:t>
            </w:r>
          </w:p>
        </w:tc>
        <w:tc>
          <w:tcPr>
            <w:tcW w:type="dxa" w:w="2880"/>
          </w:tcPr>
          <w:p>
            <w:pPr>
              <w:jc w:val="center"/>
            </w:pPr>
            <w:r>
              <w:rPr>
                <w:sz w:val="18"/>
              </w:rPr>
              <w:t>工程行业现金流虽波动但总体上健康</w:t>
            </w:r>
          </w:p>
        </w:tc>
      </w:tr>
    </w:tbl>
    <w:p/>
    <w:p>
      <w:pPr>
        <w:pStyle w:val="Heading2"/>
      </w:pPr>
      <w:r>
        <w:t>4.3 抵押担保与信用增进</w:t>
      </w:r>
    </w:p>
    <w:p>
      <w:r>
        <w:rPr>
          <w:b/>
        </w:rPr>
        <w:t>① 不动产抵押：</w:t>
      </w:r>
      <w:r>
        <w:t>公司经营多年，推测在昆明市区持有办公楼、仓库、生产基地等不动产，可作为银行融资的抵押物。但具体数量及估值需向企业索取明细。</w:t>
      </w:r>
    </w:p>
    <w:p>
      <w:r>
        <w:rPr>
          <w:b/>
        </w:rPr>
        <w:t>② 应收账款质押：</w:t>
      </w:r>
      <w:r>
        <w:t>电力工程企业对电网公司、政府等优质客户的应收账款，是银行认可度较高的信用增进方式。保理、应收账款质押融资是行业常用工具。</w:t>
      </w:r>
    </w:p>
    <w:p>
      <w:r>
        <w:rPr>
          <w:b/>
        </w:rPr>
        <w:t>③ 股东/集团担保：</w:t>
      </w:r>
      <w:r>
        <w:t>作为市属国企，昆明市国资委或其授权的国有资本运营平台可能为公司融资提供信用支持或安慰函，进一步增强银行放款意愿。</w:t>
      </w:r>
    </w:p>
    <w:p>
      <w:r>
        <w:rPr>
          <w:b/>
        </w:rPr>
        <w:t>④ 股权出质：</w:t>
      </w:r>
      <w:r>
        <w:t>近三年未检索到公司或股东的股权出质登记信息，表明公司未将股权作为融资担保工具，侧面反映融资渠道较为通畅，无须通过股权质押获取资金。</w:t>
      </w:r>
    </w:p>
    <w:p/>
    <w:p>
      <w:pPr>
        <w:pStyle w:val="Heading2"/>
      </w:pPr>
      <w:r>
        <w:t>4.4 融资情况综合评价</w:t>
      </w:r>
    </w:p>
    <w:p>
      <w:r>
        <w:rPr>
          <w:b/>
        </w:rPr>
        <w:t>公司作为市属国有企业，融资渠道以银行间接融资为主。</w:t>
      </w:r>
      <w:r>
        <w:t>得益于国企信用背书、电力行业的民生属性以及属地化的业务优势，预计公司在银行体系内的信用认可度较高，授信获取难度较低。近三年未进行股权出质或重大资产抵押，间接反映了融资需求主要通过信用方式满足。主要关注点：①流动资金贷款可能呈现"短贷长用"特征（工程回款周期长于贷款期限），需关注流动性匹配风险；②地方融资平台整顿政策是否对公司融资渠道产生间接影响。</w:t>
      </w:r>
    </w:p>
    <w:p/>
    <w:p>
      <w:pPr>
        <w:pStyle w:val="Heading1"/>
      </w:pPr>
      <w:r>
        <w:t>五、尽责审查意见</w:t>
      </w:r>
    </w:p>
    <w:p>
      <w:pPr>
        <w:pStyle w:val="Heading2"/>
      </w:pPr>
      <w:r>
        <w:t>5.1 整体判断</w:t>
      </w:r>
    </w:p>
    <w:p>
      <w:r>
        <w:rPr>
          <w:b/>
        </w:rPr>
        <w:t>综合各方面信息分析，本审查对云南昆供电力投资集团有限公司授信申请持</w:t>
      </w:r>
      <w:r>
        <w:rPr>
          <w:b/>
          <w:color w:val="006600"/>
        </w:rPr>
        <w:t>"审慎支持"</w:t>
      </w:r>
      <w:r>
        <w:t>的整体判断。</w:t>
      </w:r>
      <w:r>
        <w:t>主要理由如下：</w:t>
      </w:r>
    </w:p>
    <w:p>
      <w:r>
        <w:t>1. 基本面稳健：公司作为昆明市属电力平台国企，根植于昆明供电体系，经营历史超过8年（2017年挂牌运营），税务信用A级，启信分768分，自身信用记录总体良好，未发现重大负面事项。</w:t>
      </w:r>
    </w:p>
    <w:p>
      <w:r>
        <w:t>2. 行业赛道稳定：电力工程和能源服务是国民经济的刚性需求，电源及电网投资保持高位增长（2024年全国电网投资超6,500亿元，2025年目标7,000亿元以上），为公司提供了相对稳定的市场需求基础。</w:t>
      </w:r>
    </w:p>
    <w:p>
      <w:r>
        <w:t>3. 国企信用背书：市属国企身份赋予公司较强的信用背书和资金获取能力，地方政府和国有银行体系对其认可度较高。</w:t>
      </w:r>
    </w:p>
    <w:p>
      <w:r>
        <w:t>4. 风险总体可控：负面信息较少且以小额纠纷为主，不存在重大行政处罚或失信记录，信用基本面干净。</w:t>
      </w:r>
    </w:p>
    <w:p/>
    <w:p>
      <w:pPr>
        <w:pStyle w:val="Heading2"/>
      </w:pPr>
      <w:r>
        <w:t>5.2 可行性分析</w:t>
      </w:r>
    </w:p>
    <w:p>
      <w:r>
        <w:rPr>
          <w:b/>
        </w:rPr>
        <w:t>（1）授信主体适格</w:t>
      </w:r>
      <w:r>
        <w:br/>
        <w:t>公司为合法存续的市属国有企业法人，具备独立民事行为能力和借款主体资格。注册资本及资产规模（推测总资产10亿-30亿元）能够覆盖一般流动资金贷款规模的信用敞口。</w:t>
      </w:r>
    </w:p>
    <w:p>
      <w:r>
        <w:rPr>
          <w:b/>
        </w:rPr>
        <w:t>（2）还款来源可靠</w:t>
      </w:r>
      <w:r>
        <w:br/>
        <w:t>第一还款来源为公司主营业务收入。电力工程服务属于刚性需求，公司在昆明区域的属地化竞争优势使其营收稳定性优于一般民营电力工程企业。第二还款来源可考虑应收账款质押（电网公司回款）、不动产抵押或股东担保。</w:t>
      </w:r>
    </w:p>
    <w:p>
      <w:r>
        <w:rPr>
          <w:b/>
        </w:rPr>
        <w:t>（3）政策环境有利</w:t>
      </w:r>
      <w:r>
        <w:br/>
        <w:t>国家持续推进配电网升级改造、新型电力系统建设和新能源发展，云南省积极打造"绿色能源牌"，上述政策均直接利好公司的主营业务。在地方政府层面，作为市属电力平台，公司有望在增量配电网、园区综合能源服务等新业务中获得政策倾斜。</w:t>
      </w:r>
    </w:p>
    <w:p>
      <w:r>
        <w:rPr>
          <w:b/>
        </w:rPr>
        <w:t>（4）合规性可满足</w:t>
      </w:r>
      <w:r>
        <w:br/>
        <w:t>公司税务信用A级，经营资质（电力工程施工总承包、承装修试许可证等）推测齐全且有效，不存在重大行政处罚记录，授信合规性基本可满足监管要求。</w:t>
      </w:r>
    </w:p>
    <w:p/>
    <w:p>
      <w:pPr>
        <w:pStyle w:val="Heading2"/>
      </w:pPr>
      <w:r>
        <w:t>5.3 风险点分析</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风险点</w:t>
            </w:r>
          </w:p>
        </w:tc>
        <w:tc>
          <w:tcPr>
            <w:tcW w:type="dxa" w:w="2160"/>
            <w:shd w:fill="1F4E79" w:val="clear"/>
          </w:tcPr>
          <w:p>
            <w:pPr>
              <w:jc w:val="center"/>
            </w:pPr>
            <w:r>
              <w:rPr>
                <w:b/>
                <w:color w:val="FFFFFF"/>
                <w:sz w:val="18"/>
              </w:rPr>
              <w:t>风险程度</w:t>
            </w:r>
          </w:p>
        </w:tc>
        <w:tc>
          <w:tcPr>
            <w:tcW w:type="dxa" w:w="2160"/>
            <w:shd w:fill="1F4E79" w:val="clear"/>
          </w:tcPr>
          <w:p>
            <w:pPr>
              <w:jc w:val="center"/>
            </w:pPr>
            <w:r>
              <w:rPr>
                <w:b/>
                <w:color w:val="FFFFFF"/>
                <w:sz w:val="18"/>
              </w:rPr>
              <w:t>具体分析</w:t>
            </w:r>
          </w:p>
        </w:tc>
        <w:tc>
          <w:tcPr>
            <w:tcW w:type="dxa" w:w="2160"/>
            <w:shd w:fill="1F4E79" w:val="clear"/>
          </w:tcPr>
          <w:p>
            <w:pPr>
              <w:jc w:val="center"/>
            </w:pPr>
            <w:r>
              <w:rPr>
                <w:b/>
                <w:color w:val="FFFFFF"/>
                <w:sz w:val="18"/>
              </w:rPr>
              <w:t>缓释建议</w:t>
            </w:r>
          </w:p>
        </w:tc>
      </w:tr>
      <w:tr>
        <w:tc>
          <w:tcPr>
            <w:tcW w:type="dxa" w:w="2160"/>
          </w:tcPr>
          <w:p>
            <w:pPr>
              <w:jc w:val="center"/>
            </w:pPr>
            <w:r>
              <w:rPr>
                <w:sz w:val="18"/>
              </w:rPr>
              <w:t>财务数据不透明风险</w:t>
            </w:r>
          </w:p>
        </w:tc>
        <w:tc>
          <w:tcPr>
            <w:tcW w:type="dxa" w:w="2160"/>
          </w:tcPr>
          <w:p>
            <w:pPr>
              <w:jc w:val="center"/>
            </w:pPr>
            <w:r>
              <w:rPr>
                <w:sz w:val="18"/>
              </w:rPr>
              <w:t>高</w:t>
            </w:r>
          </w:p>
        </w:tc>
        <w:tc>
          <w:tcPr>
            <w:tcW w:type="dxa" w:w="2160"/>
          </w:tcPr>
          <w:p>
            <w:pPr>
              <w:jc w:val="center"/>
            </w:pPr>
            <w:r>
              <w:rPr>
                <w:sz w:val="18"/>
              </w:rPr>
              <w:t>公司为非上市企业，未公开披露财务报表。本报告大量基于行业推测，可能与实际财务状况存在较大偏差。无法准确评估公司的资产负债率、盈利能力、现金流状况等核心偿债指标。</w:t>
            </w:r>
          </w:p>
        </w:tc>
        <w:tc>
          <w:tcPr>
            <w:tcW w:type="dxa" w:w="2160"/>
          </w:tcPr>
          <w:p>
            <w:pPr>
              <w:jc w:val="center"/>
            </w:pPr>
            <w:r>
              <w:rPr>
                <w:sz w:val="18"/>
              </w:rPr>
              <w:t>授信前必须要求提供近三年经审计的财务报表（至少资产负债表+利润表+现金流量表）。</w:t>
            </w:r>
          </w:p>
        </w:tc>
      </w:tr>
      <w:tr>
        <w:tc>
          <w:tcPr>
            <w:tcW w:type="dxa" w:w="2160"/>
            <w:shd w:fill="D6E4F0" w:val="clear"/>
          </w:tcPr>
          <w:p>
            <w:pPr>
              <w:jc w:val="center"/>
            </w:pPr>
            <w:r>
              <w:rPr>
                <w:sz w:val="18"/>
              </w:rPr>
              <w:t>应收账款回收风险</w:t>
            </w:r>
          </w:p>
        </w:tc>
        <w:tc>
          <w:tcPr>
            <w:tcW w:type="dxa" w:w="2160"/>
            <w:shd w:fill="D6E4F0" w:val="clear"/>
          </w:tcPr>
          <w:p>
            <w:pPr>
              <w:jc w:val="center"/>
            </w:pPr>
            <w:r>
              <w:rPr>
                <w:sz w:val="18"/>
              </w:rPr>
              <w:t>中-高</w:t>
            </w:r>
          </w:p>
        </w:tc>
        <w:tc>
          <w:tcPr>
            <w:tcW w:type="dxa" w:w="2160"/>
            <w:shd w:fill="D6E4F0" w:val="clear"/>
          </w:tcPr>
          <w:p>
            <w:pPr>
              <w:jc w:val="center"/>
            </w:pPr>
            <w:r>
              <w:rPr>
                <w:sz w:val="18"/>
              </w:rPr>
              <w:t>电力工程行业回款周期长，受地方政府财政压力和房地产下行影响，部分工程款存在延期或坏账风险。应收账款占营收比例可能较高（推测40%-60%），需关注账龄结构和坏账计提充足性。</w:t>
            </w:r>
          </w:p>
        </w:tc>
        <w:tc>
          <w:tcPr>
            <w:tcW w:type="dxa" w:w="2160"/>
            <w:shd w:fill="D6E4F0" w:val="clear"/>
          </w:tcPr>
          <w:p>
            <w:pPr>
              <w:jc w:val="center"/>
            </w:pPr>
            <w:r>
              <w:rPr>
                <w:sz w:val="18"/>
              </w:rPr>
              <w:t>授信合同中约定应收账款周转天数上限约束条款；贷后按季跟踪应收账款回款情况。</w:t>
            </w:r>
          </w:p>
        </w:tc>
      </w:tr>
      <w:tr>
        <w:tc>
          <w:tcPr>
            <w:tcW w:type="dxa" w:w="2160"/>
          </w:tcPr>
          <w:p>
            <w:pPr>
              <w:jc w:val="center"/>
            </w:pPr>
            <w:r>
              <w:rPr>
                <w:sz w:val="18"/>
              </w:rPr>
              <w:t>关联交易与主业依赖风险</w:t>
            </w:r>
          </w:p>
        </w:tc>
        <w:tc>
          <w:tcPr>
            <w:tcW w:type="dxa" w:w="2160"/>
          </w:tcPr>
          <w:p>
            <w:pPr>
              <w:jc w:val="center"/>
            </w:pPr>
            <w:r>
              <w:rPr>
                <w:sz w:val="18"/>
              </w:rPr>
              <w:t>中</w:t>
            </w:r>
          </w:p>
        </w:tc>
        <w:tc>
          <w:tcPr>
            <w:tcW w:type="dxa" w:w="2160"/>
          </w:tcPr>
          <w:p>
            <w:pPr>
              <w:jc w:val="center"/>
            </w:pPr>
            <w:r>
              <w:rPr>
                <w:sz w:val="18"/>
              </w:rPr>
              <w:t>公司业务高度依赖昆明供电局体系，关联交易占比可能较高。在国家持续推进电网"主辅分离"的背景下，传统关联业务模式存在政策调整风险。</w:t>
            </w:r>
          </w:p>
        </w:tc>
        <w:tc>
          <w:tcPr>
            <w:tcW w:type="dxa" w:w="2160"/>
          </w:tcPr>
          <w:p>
            <w:pPr>
              <w:jc w:val="center"/>
            </w:pPr>
            <w:r>
              <w:rPr>
                <w:sz w:val="18"/>
              </w:rPr>
              <w:t>要求企业披露近三年关联交易占比及招标承揽方式的合规比例。</w:t>
            </w:r>
          </w:p>
        </w:tc>
      </w:tr>
      <w:tr>
        <w:tc>
          <w:tcPr>
            <w:tcW w:type="dxa" w:w="2160"/>
            <w:shd w:fill="D6E4F0" w:val="clear"/>
          </w:tcPr>
          <w:p>
            <w:pPr>
              <w:jc w:val="center"/>
            </w:pPr>
            <w:r>
              <w:rPr>
                <w:sz w:val="18"/>
              </w:rPr>
              <w:t>安全生产风险</w:t>
            </w:r>
          </w:p>
        </w:tc>
        <w:tc>
          <w:tcPr>
            <w:tcW w:type="dxa" w:w="2160"/>
            <w:shd w:fill="D6E4F0" w:val="clear"/>
          </w:tcPr>
          <w:p>
            <w:pPr>
              <w:jc w:val="center"/>
            </w:pPr>
            <w:r>
              <w:rPr>
                <w:sz w:val="18"/>
              </w:rPr>
              <w:t>中</w:t>
            </w:r>
          </w:p>
        </w:tc>
        <w:tc>
          <w:tcPr>
            <w:tcW w:type="dxa" w:w="2160"/>
            <w:shd w:fill="D6E4F0" w:val="clear"/>
          </w:tcPr>
          <w:p>
            <w:pPr>
              <w:jc w:val="center"/>
            </w:pPr>
            <w:r>
              <w:rPr>
                <w:sz w:val="18"/>
              </w:rPr>
              <w:t>电力工程施工属于高危作业，一次重大安全事故可能导致资质吊销、巨额赔偿和声誉损失。</w:t>
            </w:r>
          </w:p>
        </w:tc>
        <w:tc>
          <w:tcPr>
            <w:tcW w:type="dxa" w:w="2160"/>
            <w:shd w:fill="D6E4F0" w:val="clear"/>
          </w:tcPr>
          <w:p>
            <w:pPr>
              <w:jc w:val="center"/>
            </w:pPr>
            <w:r>
              <w:rPr>
                <w:sz w:val="18"/>
              </w:rPr>
              <w:t>核查安全生产许可证有效性、近三年安全生产记录及安全事故应急预案。</w:t>
            </w:r>
          </w:p>
        </w:tc>
      </w:tr>
      <w:tr>
        <w:tc>
          <w:tcPr>
            <w:tcW w:type="dxa" w:w="2160"/>
          </w:tcPr>
          <w:p>
            <w:pPr>
              <w:jc w:val="center"/>
            </w:pPr>
            <w:r>
              <w:rPr>
                <w:sz w:val="18"/>
              </w:rPr>
              <w:t>行业竞争加剧风险</w:t>
            </w:r>
          </w:p>
        </w:tc>
        <w:tc>
          <w:tcPr>
            <w:tcW w:type="dxa" w:w="2160"/>
          </w:tcPr>
          <w:p>
            <w:pPr>
              <w:jc w:val="center"/>
            </w:pPr>
            <w:r>
              <w:rPr>
                <w:sz w:val="18"/>
              </w:rPr>
              <w:t>中-低</w:t>
            </w:r>
          </w:p>
        </w:tc>
        <w:tc>
          <w:tcPr>
            <w:tcW w:type="dxa" w:w="2160"/>
          </w:tcPr>
          <w:p>
            <w:pPr>
              <w:jc w:val="center"/>
            </w:pPr>
            <w:r>
              <w:rPr>
                <w:sz w:val="18"/>
              </w:rPr>
              <w:t>电力工程市场准入逐渐放宽，民营和社会资本渗透率提升，公司在非关联市场面临的竞争压力逐步增大，可能影响毛利率和市场份额。</w:t>
            </w:r>
          </w:p>
        </w:tc>
        <w:tc>
          <w:tcPr>
            <w:tcW w:type="dxa" w:w="2160"/>
          </w:tcPr>
          <w:p>
            <w:pPr>
              <w:jc w:val="center"/>
            </w:pPr>
            <w:r>
              <w:rPr>
                <w:sz w:val="18"/>
              </w:rPr>
              <w:t>关注公司在新业务（新能源、综合能源服务）领域的拓展进度与成效。</w:t>
            </w:r>
          </w:p>
        </w:tc>
      </w:tr>
      <w:tr>
        <w:tc>
          <w:tcPr>
            <w:tcW w:type="dxa" w:w="2160"/>
            <w:shd w:fill="D6E4F0" w:val="clear"/>
          </w:tcPr>
          <w:p>
            <w:pPr>
              <w:jc w:val="center"/>
            </w:pPr>
            <w:r>
              <w:rPr>
                <w:sz w:val="18"/>
              </w:rPr>
              <w:t>短期偿债压力风险</w:t>
            </w:r>
          </w:p>
        </w:tc>
        <w:tc>
          <w:tcPr>
            <w:tcW w:type="dxa" w:w="2160"/>
            <w:shd w:fill="D6E4F0" w:val="clear"/>
          </w:tcPr>
          <w:p>
            <w:pPr>
              <w:jc w:val="center"/>
            </w:pPr>
            <w:r>
              <w:rPr>
                <w:sz w:val="18"/>
              </w:rPr>
              <w:t>中-低</w:t>
            </w:r>
          </w:p>
        </w:tc>
        <w:tc>
          <w:tcPr>
            <w:tcW w:type="dxa" w:w="2160"/>
            <w:shd w:fill="D6E4F0" w:val="clear"/>
          </w:tcPr>
          <w:p>
            <w:pPr>
              <w:jc w:val="center"/>
            </w:pPr>
            <w:r>
              <w:rPr>
                <w:sz w:val="18"/>
              </w:rPr>
              <w:t>若公司存在"短贷长用"现象（流动资金贷款的期限短于工程回款周期），可能在特定时点出现流动性压力。</w:t>
            </w:r>
          </w:p>
        </w:tc>
        <w:tc>
          <w:tcPr>
            <w:tcW w:type="dxa" w:w="2160"/>
            <w:shd w:fill="D6E4F0" w:val="clear"/>
          </w:tcPr>
          <w:p>
            <w:pPr>
              <w:jc w:val="center"/>
            </w:pPr>
            <w:r>
              <w:rPr>
                <w:sz w:val="18"/>
              </w:rPr>
              <w:t>分析财务报表中流动比率、速动比率及短期借款周转情况。</w:t>
            </w:r>
          </w:p>
        </w:tc>
      </w:tr>
      <w:tr>
        <w:tc>
          <w:tcPr>
            <w:tcW w:type="dxa" w:w="2160"/>
          </w:tcPr>
          <w:p>
            <w:pPr>
              <w:jc w:val="center"/>
            </w:pPr>
            <w:r>
              <w:rPr>
                <w:sz w:val="18"/>
              </w:rPr>
              <w:t>公司治理风险</w:t>
            </w:r>
          </w:p>
        </w:tc>
        <w:tc>
          <w:tcPr>
            <w:tcW w:type="dxa" w:w="2160"/>
          </w:tcPr>
          <w:p>
            <w:pPr>
              <w:jc w:val="center"/>
            </w:pPr>
            <w:r>
              <w:rPr>
                <w:sz w:val="18"/>
              </w:rPr>
              <w:t>低-中</w:t>
            </w:r>
          </w:p>
        </w:tc>
        <w:tc>
          <w:tcPr>
            <w:tcW w:type="dxa" w:w="2160"/>
          </w:tcPr>
          <w:p>
            <w:pPr>
              <w:jc w:val="center"/>
            </w:pPr>
            <w:r>
              <w:rPr>
                <w:sz w:val="18"/>
              </w:rPr>
              <w:t>法定代表人等核心管理层信息尚待核实，公司治理结构透明度不足。市属国企治理一般较为规范，但仍需关注决策层稳定性。</w:t>
            </w:r>
          </w:p>
        </w:tc>
        <w:tc>
          <w:tcPr>
            <w:tcW w:type="dxa" w:w="2160"/>
          </w:tcPr>
          <w:p>
            <w:pPr>
              <w:jc w:val="center"/>
            </w:pPr>
            <w:r>
              <w:rPr>
                <w:sz w:val="18"/>
              </w:rPr>
              <w:t>核实企业章程、股东会决议机制及重大事项决策流程。</w:t>
            </w:r>
          </w:p>
        </w:tc>
      </w:tr>
    </w:tbl>
    <w:p/>
    <w:p>
      <w:pPr>
        <w:pStyle w:val="Heading2"/>
      </w:pPr>
      <w:r>
        <w:t>5.4 综合信用评级</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评估维度</w:t>
            </w:r>
          </w:p>
        </w:tc>
        <w:tc>
          <w:tcPr>
            <w:tcW w:type="dxa" w:w="2880"/>
            <w:shd w:fill="1F4E79" w:val="clear"/>
          </w:tcPr>
          <w:p>
            <w:pPr>
              <w:jc w:val="center"/>
            </w:pPr>
            <w:r>
              <w:rPr>
                <w:b/>
                <w:color w:val="FFFFFF"/>
                <w:sz w:val="18"/>
              </w:rPr>
              <w:t>评级</w:t>
            </w:r>
          </w:p>
        </w:tc>
        <w:tc>
          <w:tcPr>
            <w:tcW w:type="dxa" w:w="2880"/>
            <w:shd w:fill="1F4E79" w:val="clear"/>
          </w:tcPr>
          <w:p>
            <w:pPr>
              <w:jc w:val="center"/>
            </w:pPr>
            <w:r>
              <w:rPr>
                <w:b/>
                <w:color w:val="FFFFFF"/>
                <w:sz w:val="18"/>
              </w:rPr>
              <w:t>说明</w:t>
            </w:r>
          </w:p>
        </w:tc>
      </w:tr>
      <w:tr>
        <w:tc>
          <w:tcPr>
            <w:tcW w:type="dxa" w:w="2880"/>
          </w:tcPr>
          <w:p>
            <w:pPr>
              <w:jc w:val="center"/>
            </w:pPr>
            <w:r>
              <w:rPr>
                <w:sz w:val="18"/>
              </w:rPr>
              <w:t>股东/政府信用</w:t>
            </w:r>
          </w:p>
        </w:tc>
        <w:tc>
          <w:tcPr>
            <w:tcW w:type="dxa" w:w="2880"/>
          </w:tcPr>
          <w:p>
            <w:pPr>
              <w:jc w:val="center"/>
            </w:pPr>
            <w:r>
              <w:rPr>
                <w:sz w:val="18"/>
              </w:rPr>
              <w:t>A</w:t>
            </w:r>
          </w:p>
        </w:tc>
        <w:tc>
          <w:tcPr>
            <w:tcW w:type="dxa" w:w="2880"/>
          </w:tcPr>
          <w:p>
            <w:pPr>
              <w:jc w:val="center"/>
            </w:pPr>
            <w:r>
              <w:rPr>
                <w:sz w:val="18"/>
              </w:rPr>
              <w:t>市属国企，政府信用背书较强</w:t>
            </w:r>
          </w:p>
        </w:tc>
      </w:tr>
      <w:tr>
        <w:tc>
          <w:tcPr>
            <w:tcW w:type="dxa" w:w="2880"/>
            <w:shd w:fill="D6E4F0" w:val="clear"/>
          </w:tcPr>
          <w:p>
            <w:pPr>
              <w:jc w:val="center"/>
            </w:pPr>
            <w:r>
              <w:rPr>
                <w:sz w:val="18"/>
              </w:rPr>
              <w:t>盈利能力（推测）</w:t>
            </w:r>
          </w:p>
        </w:tc>
        <w:tc>
          <w:tcPr>
            <w:tcW w:type="dxa" w:w="2880"/>
            <w:shd w:fill="D6E4F0" w:val="clear"/>
          </w:tcPr>
          <w:p>
            <w:pPr>
              <w:jc w:val="center"/>
            </w:pPr>
            <w:r>
              <w:rPr>
                <w:sz w:val="18"/>
              </w:rPr>
              <w:t>BBB+</w:t>
            </w:r>
          </w:p>
        </w:tc>
        <w:tc>
          <w:tcPr>
            <w:tcW w:type="dxa" w:w="2880"/>
            <w:shd w:fill="D6E4F0" w:val="clear"/>
          </w:tcPr>
          <w:p>
            <w:pPr>
              <w:jc w:val="center"/>
            </w:pPr>
            <w:r>
              <w:rPr>
                <w:sz w:val="18"/>
              </w:rPr>
              <w:t>行业垄断性利润稳定，但净利率偏低</w:t>
            </w:r>
          </w:p>
        </w:tc>
      </w:tr>
      <w:tr>
        <w:tc>
          <w:tcPr>
            <w:tcW w:type="dxa" w:w="2880"/>
          </w:tcPr>
          <w:p>
            <w:pPr>
              <w:jc w:val="center"/>
            </w:pPr>
            <w:r>
              <w:rPr>
                <w:sz w:val="18"/>
              </w:rPr>
              <w:t>负债率与杠杆（推测）</w:t>
            </w:r>
          </w:p>
        </w:tc>
        <w:tc>
          <w:tcPr>
            <w:tcW w:type="dxa" w:w="2880"/>
          </w:tcPr>
          <w:p>
            <w:pPr>
              <w:jc w:val="center"/>
            </w:pPr>
            <w:r>
              <w:rPr>
                <w:sz w:val="18"/>
              </w:rPr>
              <w:t>BBB+</w:t>
            </w:r>
          </w:p>
        </w:tc>
        <w:tc>
          <w:tcPr>
            <w:tcW w:type="dxa" w:w="2880"/>
          </w:tcPr>
          <w:p>
            <w:pPr>
              <w:jc w:val="center"/>
            </w:pPr>
            <w:r>
              <w:rPr>
                <w:sz w:val="18"/>
              </w:rPr>
              <w:t>推测资产负债率50%-60%，行业正常水平</w:t>
            </w:r>
          </w:p>
        </w:tc>
      </w:tr>
      <w:tr>
        <w:tc>
          <w:tcPr>
            <w:tcW w:type="dxa" w:w="2880"/>
            <w:shd w:fill="D6E4F0" w:val="clear"/>
          </w:tcPr>
          <w:p>
            <w:pPr>
              <w:jc w:val="center"/>
            </w:pPr>
            <w:r>
              <w:rPr>
                <w:sz w:val="18"/>
              </w:rPr>
              <w:t>市场地位</w:t>
            </w:r>
          </w:p>
        </w:tc>
        <w:tc>
          <w:tcPr>
            <w:tcW w:type="dxa" w:w="2880"/>
            <w:shd w:fill="D6E4F0" w:val="clear"/>
          </w:tcPr>
          <w:p>
            <w:pPr>
              <w:jc w:val="center"/>
            </w:pPr>
            <w:r>
              <w:rPr>
                <w:sz w:val="18"/>
              </w:rPr>
              <w:t>A-</w:t>
            </w:r>
          </w:p>
        </w:tc>
        <w:tc>
          <w:tcPr>
            <w:tcW w:type="dxa" w:w="2880"/>
            <w:shd w:fill="D6E4F0" w:val="clear"/>
          </w:tcPr>
          <w:p>
            <w:pPr>
              <w:jc w:val="center"/>
            </w:pPr>
            <w:r>
              <w:rPr>
                <w:sz w:val="18"/>
              </w:rPr>
              <w:t>昆明区域电力服务头部平台</w:t>
            </w:r>
          </w:p>
        </w:tc>
      </w:tr>
      <w:tr>
        <w:tc>
          <w:tcPr>
            <w:tcW w:type="dxa" w:w="2880"/>
          </w:tcPr>
          <w:p>
            <w:pPr>
              <w:jc w:val="center"/>
            </w:pPr>
            <w:r>
              <w:rPr>
                <w:sz w:val="18"/>
              </w:rPr>
              <w:t>财务透明度</w:t>
            </w:r>
          </w:p>
        </w:tc>
        <w:tc>
          <w:tcPr>
            <w:tcW w:type="dxa" w:w="2880"/>
          </w:tcPr>
          <w:p>
            <w:pPr>
              <w:jc w:val="center"/>
            </w:pPr>
            <w:r>
              <w:rPr>
                <w:sz w:val="18"/>
              </w:rPr>
              <w:t>B+</w:t>
            </w:r>
          </w:p>
        </w:tc>
        <w:tc>
          <w:tcPr>
            <w:tcW w:type="dxa" w:w="2880"/>
          </w:tcPr>
          <w:p>
            <w:pPr>
              <w:jc w:val="center"/>
            </w:pPr>
            <w:r>
              <w:rPr>
                <w:sz w:val="18"/>
              </w:rPr>
              <w:t>非上市公司，数据可得性差（主要扣分项）</w:t>
            </w:r>
          </w:p>
        </w:tc>
      </w:tr>
      <w:tr>
        <w:tc>
          <w:tcPr>
            <w:tcW w:type="dxa" w:w="2880"/>
            <w:shd w:fill="D6E4F0" w:val="clear"/>
          </w:tcPr>
          <w:p>
            <w:pPr>
              <w:jc w:val="center"/>
            </w:pPr>
            <w:r>
              <w:rPr>
                <w:sz w:val="18"/>
              </w:rPr>
              <w:t>负面信息</w:t>
            </w:r>
          </w:p>
        </w:tc>
        <w:tc>
          <w:tcPr>
            <w:tcW w:type="dxa" w:w="2880"/>
            <w:shd w:fill="D6E4F0" w:val="clear"/>
          </w:tcPr>
          <w:p>
            <w:pPr>
              <w:jc w:val="center"/>
            </w:pPr>
            <w:r>
              <w:rPr>
                <w:sz w:val="18"/>
              </w:rPr>
              <w:t>A-</w:t>
            </w:r>
          </w:p>
        </w:tc>
        <w:tc>
          <w:tcPr>
            <w:tcW w:type="dxa" w:w="2880"/>
            <w:shd w:fill="D6E4F0" w:val="clear"/>
          </w:tcPr>
          <w:p>
            <w:pPr>
              <w:jc w:val="center"/>
            </w:pPr>
            <w:r>
              <w:rPr>
                <w:sz w:val="18"/>
              </w:rPr>
              <w:t>风险较少，税务A级，信用记录干净</w:t>
            </w:r>
          </w:p>
        </w:tc>
      </w:tr>
      <w:tr>
        <w:tc>
          <w:tcPr>
            <w:tcW w:type="dxa" w:w="2880"/>
          </w:tcPr>
          <w:p>
            <w:pPr>
              <w:jc w:val="center"/>
            </w:pPr>
            <w:r>
              <w:rPr>
                <w:sz w:val="18"/>
              </w:rPr>
              <w:t>现金流稳定性</w:t>
            </w:r>
          </w:p>
        </w:tc>
        <w:tc>
          <w:tcPr>
            <w:tcW w:type="dxa" w:w="2880"/>
          </w:tcPr>
          <w:p>
            <w:pPr>
              <w:jc w:val="center"/>
            </w:pPr>
            <w:r>
              <w:rPr>
                <w:sz w:val="18"/>
              </w:rPr>
              <w:t>BBB+</w:t>
            </w:r>
          </w:p>
        </w:tc>
        <w:tc>
          <w:tcPr>
            <w:tcW w:type="dxa" w:w="2880"/>
          </w:tcPr>
          <w:p>
            <w:pPr>
              <w:jc w:val="center"/>
            </w:pPr>
            <w:r>
              <w:rPr>
                <w:sz w:val="18"/>
              </w:rPr>
              <w:t>工程行业现金流季节性波动，整体健康</w:t>
            </w:r>
          </w:p>
        </w:tc>
      </w:tr>
      <w:tr>
        <w:tc>
          <w:tcPr>
            <w:tcW w:type="dxa" w:w="2880"/>
            <w:shd w:fill="D6E4F0" w:val="clear"/>
          </w:tcPr>
          <w:p>
            <w:pPr>
              <w:jc w:val="center"/>
            </w:pPr>
            <w:r>
              <w:rPr>
                <w:sz w:val="18"/>
              </w:rPr>
              <w:t>偿债能力</w:t>
            </w:r>
          </w:p>
        </w:tc>
        <w:tc>
          <w:tcPr>
            <w:tcW w:type="dxa" w:w="2880"/>
            <w:shd w:fill="D6E4F0" w:val="clear"/>
          </w:tcPr>
          <w:p>
            <w:pPr>
              <w:jc w:val="center"/>
            </w:pPr>
            <w:r>
              <w:rPr>
                <w:sz w:val="18"/>
              </w:rPr>
              <w:t>A-</w:t>
            </w:r>
          </w:p>
        </w:tc>
        <w:tc>
          <w:tcPr>
            <w:tcW w:type="dxa" w:w="2880"/>
            <w:shd w:fill="D6E4F0" w:val="clear"/>
          </w:tcPr>
          <w:p>
            <w:pPr>
              <w:jc w:val="center"/>
            </w:pPr>
            <w:r>
              <w:rPr>
                <w:sz w:val="18"/>
              </w:rPr>
              <w:t>国企信用+稳定业务支撑偿债能力较强</w:t>
            </w:r>
          </w:p>
        </w:tc>
      </w:tr>
      <w:tr>
        <w:tc>
          <w:tcPr>
            <w:tcW w:type="dxa" w:w="2880"/>
          </w:tcPr>
          <w:p>
            <w:pPr>
              <w:jc w:val="center"/>
            </w:pPr>
            <w:r>
              <w:rPr>
                <w:sz w:val="18"/>
              </w:rPr>
              <w:t>综合评级</w:t>
            </w:r>
          </w:p>
        </w:tc>
        <w:tc>
          <w:tcPr>
            <w:tcW w:type="dxa" w:w="2880"/>
          </w:tcPr>
          <w:p>
            <w:pPr>
              <w:jc w:val="center"/>
            </w:pPr>
            <w:r>
              <w:rPr>
                <w:sz w:val="18"/>
              </w:rPr>
              <w:t>BBB+</w:t>
            </w:r>
          </w:p>
        </w:tc>
        <w:tc>
          <w:tcPr>
            <w:tcW w:type="dxa" w:w="2880"/>
          </w:tcPr>
          <w:p>
            <w:pPr>
              <w:jc w:val="center"/>
            </w:pPr>
            <w:r>
              <w:rPr>
                <w:sz w:val="18"/>
              </w:rPr>
              <w:t>稳固级，财务状况需进一步验证</w:t>
            </w:r>
          </w:p>
        </w:tc>
      </w:tr>
    </w:tbl>
    <w:p/>
    <w:p>
      <w:pPr>
        <w:pStyle w:val="Heading2"/>
      </w:pPr>
      <w:r>
        <w:t>5.5 授信建议</w:t>
      </w:r>
    </w:p>
    <w:p>
      <w:r>
        <w:rPr>
          <w:b/>
        </w:rPr>
        <w:t>综合评级BBB+，建议在落实以下条件的前提下审慎支持授信：</w:t>
      </w:r>
    </w:p>
    <w:p>
      <w:r>
        <w:rPr>
          <w:b/>
        </w:rPr>
        <w:t>（1）授信前置条件（必须满足）：</w:t>
      </w:r>
      <w:r>
        <w:t>①要求企业提供近三年（2023-2025）经审计的完整财务报表（含附注说明）；②核查企业的电力工程施工总承包资质、承装（修、试）电力设施许可证、安全生产许可证的有效性；③获取近三年主要客户构成及前五大客户应收账款明细；④核实法定代表人、实际控制人及最新股权结构（穿透至最终国有出资人）。</w:t>
      </w:r>
    </w:p>
    <w:p>
      <w:r>
        <w:rPr>
          <w:b/>
        </w:rPr>
        <w:t>（2）授信额度建议：</w:t>
      </w:r>
      <w:r>
        <w:t>在财务报表验证资产负债率≤65%、流动比率≥1.3的前提下：流动资金贷款额度建议控制在5,000万-2亿元区间；首次授信建议不超过1亿元，运行一年且还款记录良好后可适度上浮。</w:t>
      </w:r>
    </w:p>
    <w:p>
      <w:r>
        <w:rPr>
          <w:b/>
        </w:rPr>
        <w:t>（3）授信期限与品种：</w:t>
      </w:r>
      <w:r>
        <w:t>流动资金贷款期限建议不超过1年（可循环），以匹配工程回款周期；若有中长期配电项目融资需求，可单独审批项目贷款（3-5年），要求以项目收费权或固定资产作为担保。</w:t>
      </w:r>
    </w:p>
    <w:p>
      <w:r>
        <w:rPr>
          <w:b/>
        </w:rPr>
        <w:t>（4）增信措施：</w:t>
      </w:r>
      <w:r>
        <w:t>优先采用：①连带责任保证——由股东或上级国有资本运营平台提供；②应收账款质押——以对电网公司、政府机构的优质应收账款设立质押；③不动产抵押——企业自有物业/厂房提供额外保障。</w:t>
      </w:r>
    </w:p>
    <w:p>
      <w:r>
        <w:rPr>
          <w:b/>
        </w:rPr>
        <w:t>（5）关键约束条款：</w:t>
      </w:r>
      <w:r>
        <w:t>建议在贷款合同中设置：①资产负债率≤70%的财务约束；②未经银行同意不得进行重大资产出售或对外担保超过净资产20%；③按季提供财务报表（含应收账款账龄分析）；④在发生重大安全事故、行政处罚、实际控制人变更等事件时，银行有权宣布贷款提前到期。</w:t>
      </w:r>
    </w:p>
    <w:p>
      <w:r>
        <w:rPr>
          <w:b/>
        </w:rPr>
        <w:t>（6）贷后管理重点：</w:t>
      </w:r>
      <w:r>
        <w:t>①每季度跟踪公司财务报表，重点关注应收账款周转天数、经营活动现金流净额、短期借款余额变化；②年度审查安全生产记录及重大客户变动；③关注国家电网改革政策及昆明市国资改革动态对公司业务模式的影响；④若公司应收账款周转天数连续两个季度超过120天或经营现金流由正转负，应立即启动风险预警和授信重检。</w:t>
      </w:r>
    </w:p>
    <w:p>
      <w:r>
        <w:rPr>
          <w:b/>
        </w:rPr>
        <w:t>（7）行业红线指标：</w:t>
      </w:r>
      <w:r>
        <w:t>授信有效期内如出现以下情形，应立即冻结新增授信并评估存量风险：①公司被纳入失信被执行人名单或发生重大安全事故；②主要电力工程资质被暂停或吊销；③公司控股权发生实质性变更且未获银行认可；④资产负债率升至80%以上或连续两年经营亏损。</w:t>
      </w:r>
    </w:p>
    <w:p/>
    <w:p>
      <w:pPr>
        <w:pStyle w:val="Heading2"/>
      </w:pPr>
      <w:r>
        <w:t>六、数据来源与免责声明</w:t>
      </w:r>
    </w:p>
    <w:p>
      <w:r>
        <w:rPr>
          <w:b/>
        </w:rPr>
        <w:t>数据来源说明：</w:t>
      </w:r>
    </w:p>
    <w:p>
      <w:r>
        <w:t>● 企业信用信息：启信宝（www.qixin.com）、国家企业信用信息公示系统（www.gsxt.gov.cn）</w:t>
      </w:r>
    </w:p>
    <w:p>
      <w:r>
        <w:t>● 企业基础概况：公开搜索引擎检索的新闻报道、招聘信息及企业简介片段</w:t>
      </w:r>
    </w:p>
    <w:p>
      <w:r>
        <w:t>● 行业数据：国家能源局、中国电力企业联合会公开统计数据，全国电网投资数据</w:t>
      </w:r>
    </w:p>
    <w:p>
      <w:r>
        <w:t>● 同类型企业参考：国内其他地市级供电局集体企业改革平台的公开信息</w:t>
      </w:r>
    </w:p>
    <w:p>
      <w:r>
        <w:t>● 工商基础信息：启信宝——企业状态"存续"、性质标签"市属国企"、"小微企业"、税务信用A级、自身风险7条、启信分768分</w:t>
      </w:r>
    </w:p>
    <w:p/>
    <w:p>
      <w:r>
        <w:rPr>
          <w:b/>
        </w:rPr>
        <w:t>信息局限性声明：</w:t>
      </w:r>
    </w:p>
    <w:p>
      <w:r>
        <w:t>①云南昆供电力投资集团有限公司为非上市有限责任公司，不向社会公开披露财务报表，本报告中标注"（推测）"或"（待核实）"的内容系基于公开零散信息和行业经验推断，不代表实际数据。</w:t>
      </w:r>
    </w:p>
    <w:p>
      <w:r>
        <w:t>②公司的法定代表人姓名、注册资本具体金额、详细股东信息等工商登记核心要素，因商业查询平台（启信宝、天眼查）将此类完整信息设为VIP付费内容，本报告未能获取，均需企业方提供验证。</w:t>
      </w:r>
    </w:p>
    <w:p>
      <w:r>
        <w:t>③7条自身风险的具体内容（案号、案由、金额、判决结果）未能全部获取，建议通过中国裁判文书网或企业方直接提供进行补充核查。</w:t>
      </w:r>
    </w:p>
    <w:p>
      <w:r>
        <w:t>④本报告基于截至2026年6月的公开信息编制，如后续获得经审计的财务报表等补充材料，应对评级结论及授信建议进行相应调整。</w:t>
      </w:r>
    </w:p>
    <w:p/>
    <w:p>
      <w:r>
        <w:rPr>
          <w:b/>
          <w:sz w:val="18"/>
        </w:rPr>
        <w:t>免责声明：</w:t>
      </w:r>
      <w:r>
        <w:rPr>
          <w:sz w:val="18"/>
        </w:rPr>
        <w:t>本报告基于公开渠道获取的企业工商信息、行业数据及公开资讯编制，仅供内部授信审查参考，不构成任何投资或信贷决策建议。所有引用公开数据已力求准确、来源可溯，但受限于非上市公司的信息可得性，报告中的推测性分析不作为确定事实依据。建议在授信审批前获取企业经审计的财务报表及最新股权结构证明，以验证关键假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