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sz w:val="44"/>
        </w:rPr>
        <w:t>昆明华润圣火药业有限公司</w:t>
        <w:br/>
        <w:t>近三年授信审查参考报告</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Pr>
                <w:b/>
                <w:sz w:val="18"/>
              </w:rPr>
              <w:t>公司全称</w:t>
            </w:r>
          </w:p>
        </w:tc>
        <w:tc>
          <w:tcPr>
            <w:tcW w:type="dxa" w:w="2160"/>
          </w:tcPr>
          <w:p>
            <w:r>
              <w:rPr>
                <w:sz w:val="18"/>
              </w:rPr>
              <w:t>昆明华润圣火药业有限公司</w:t>
            </w:r>
          </w:p>
        </w:tc>
        <w:tc>
          <w:tcPr>
            <w:tcW w:type="dxa" w:w="2160"/>
            <w:shd w:fill="D9E2F3" w:val="clear"/>
          </w:tcPr>
          <w:p>
            <w:r>
              <w:rPr>
                <w:b/>
                <w:sz w:val="18"/>
              </w:rPr>
              <w:t>统一社会信用代码</w:t>
            </w:r>
          </w:p>
        </w:tc>
        <w:tc>
          <w:tcPr>
            <w:tcW w:type="dxa" w:w="2160"/>
          </w:tcPr>
          <w:p>
            <w:r>
              <w:rPr>
                <w:sz w:val="18"/>
              </w:rPr>
              <w:t>91530100292094685Q</w:t>
            </w:r>
          </w:p>
        </w:tc>
      </w:tr>
      <w:tr>
        <w:tc>
          <w:tcPr>
            <w:tcW w:type="dxa" w:w="2160"/>
            <w:shd w:fill="D9E2F3" w:val="clear"/>
          </w:tcPr>
          <w:p>
            <w:r>
              <w:rPr>
                <w:b/>
                <w:sz w:val="18"/>
              </w:rPr>
              <w:t>法定代表人</w:t>
            </w:r>
          </w:p>
        </w:tc>
        <w:tc>
          <w:tcPr>
            <w:tcW w:type="dxa" w:w="2160"/>
          </w:tcPr>
          <w:p>
            <w:r>
              <w:rPr>
                <w:sz w:val="18"/>
              </w:rPr>
              <w:t>王海龙</w:t>
            </w:r>
          </w:p>
        </w:tc>
        <w:tc>
          <w:tcPr>
            <w:tcW w:type="dxa" w:w="2160"/>
            <w:shd w:fill="D9E2F3" w:val="clear"/>
          </w:tcPr>
          <w:p>
            <w:r>
              <w:rPr>
                <w:b/>
                <w:sz w:val="18"/>
              </w:rPr>
              <w:t>注册资本</w:t>
            </w:r>
          </w:p>
        </w:tc>
        <w:tc>
          <w:tcPr>
            <w:tcW w:type="dxa" w:w="2160"/>
          </w:tcPr>
          <w:p>
            <w:r>
              <w:rPr>
                <w:sz w:val="18"/>
              </w:rPr>
              <w:t>8,806.70万元（人民币）</w:t>
            </w:r>
          </w:p>
        </w:tc>
      </w:tr>
      <w:tr>
        <w:tc>
          <w:tcPr>
            <w:tcW w:type="dxa" w:w="2160"/>
            <w:shd w:fill="D9E2F3" w:val="clear"/>
          </w:tcPr>
          <w:p>
            <w:r>
              <w:rPr>
                <w:b/>
                <w:sz w:val="18"/>
              </w:rPr>
              <w:t>成立日期</w:t>
            </w:r>
          </w:p>
        </w:tc>
        <w:tc>
          <w:tcPr>
            <w:tcW w:type="dxa" w:w="2160"/>
          </w:tcPr>
          <w:p>
            <w:r>
              <w:rPr>
                <w:sz w:val="18"/>
              </w:rPr>
              <w:t>1995年10月13日</w:t>
            </w:r>
          </w:p>
        </w:tc>
        <w:tc>
          <w:tcPr>
            <w:tcW w:type="dxa" w:w="2160"/>
            <w:shd w:fill="D9E2F3" w:val="clear"/>
          </w:tcPr>
          <w:p>
            <w:r>
              <w:rPr>
                <w:b/>
                <w:sz w:val="18"/>
              </w:rPr>
              <w:t>企业状态</w:t>
            </w:r>
          </w:p>
        </w:tc>
        <w:tc>
          <w:tcPr>
            <w:tcW w:type="dxa" w:w="2160"/>
          </w:tcPr>
          <w:p>
            <w:r>
              <w:rPr>
                <w:sz w:val="18"/>
              </w:rPr>
              <w:t>存续（在营）</w:t>
            </w:r>
          </w:p>
        </w:tc>
      </w:tr>
      <w:tr>
        <w:tc>
          <w:tcPr>
            <w:tcW w:type="dxa" w:w="2160"/>
            <w:shd w:fill="D9E2F3" w:val="clear"/>
          </w:tcPr>
          <w:p>
            <w:r>
              <w:rPr>
                <w:b/>
                <w:sz w:val="18"/>
              </w:rPr>
              <w:t>注册地址</w:t>
            </w:r>
          </w:p>
        </w:tc>
        <w:tc>
          <w:tcPr>
            <w:tcW w:type="dxa" w:w="2160"/>
          </w:tcPr>
          <w:p>
            <w:r>
              <w:rPr>
                <w:sz w:val="18"/>
              </w:rPr>
              <w:t>中国（云南）自由贸易试验区昆明片区经开区经邮路2号</w:t>
            </w:r>
          </w:p>
        </w:tc>
        <w:tc>
          <w:tcPr>
            <w:tcW w:type="dxa" w:w="2160"/>
            <w:shd w:fill="D9E2F3" w:val="clear"/>
          </w:tcPr>
          <w:p>
            <w:r>
              <w:rPr>
                <w:b/>
                <w:sz w:val="18"/>
              </w:rPr>
              <w:t>税务信用</w:t>
            </w:r>
          </w:p>
        </w:tc>
        <w:tc>
          <w:tcPr>
            <w:tcW w:type="dxa" w:w="2160"/>
          </w:tcPr>
          <w:p>
            <w:r>
              <w:rPr>
                <w:sz w:val="18"/>
              </w:rPr>
              <w:t>2024年度A级纳税人</w:t>
            </w:r>
          </w:p>
        </w:tc>
      </w:tr>
      <w:tr>
        <w:tc>
          <w:tcPr>
            <w:tcW w:type="dxa" w:w="2160"/>
            <w:shd w:fill="D9E2F3" w:val="clear"/>
          </w:tcPr>
          <w:p>
            <w:r>
              <w:rPr>
                <w:b/>
                <w:sz w:val="18"/>
              </w:rPr>
              <w:t>所属行业</w:t>
            </w:r>
          </w:p>
        </w:tc>
        <w:tc>
          <w:tcPr>
            <w:tcW w:type="dxa" w:w="2160"/>
          </w:tcPr>
          <w:p>
            <w:r>
              <w:rPr>
                <w:sz w:val="18"/>
              </w:rPr>
              <w:t>医药制造业（中成药、中药饮片生产）</w:t>
            </w:r>
          </w:p>
        </w:tc>
        <w:tc>
          <w:tcPr>
            <w:tcW w:type="dxa" w:w="2160"/>
            <w:shd w:fill="D9E2F3" w:val="clear"/>
          </w:tcPr>
          <w:p>
            <w:r>
              <w:rPr>
                <w:b/>
                <w:sz w:val="18"/>
              </w:rPr>
              <w:t>实际控制人</w:t>
            </w:r>
          </w:p>
        </w:tc>
        <w:tc>
          <w:tcPr>
            <w:tcW w:type="dxa" w:w="2160"/>
          </w:tcPr>
          <w:p>
            <w:r>
              <w:rPr>
                <w:sz w:val="18"/>
              </w:rPr>
              <w:t>华润医药集团→华润集团→国务院国资委</w:t>
            </w:r>
          </w:p>
        </w:tc>
      </w:tr>
      <w:tr>
        <w:tc>
          <w:tcPr>
            <w:tcW w:type="dxa" w:w="2160"/>
            <w:shd w:fill="D9E2F3" w:val="clear"/>
          </w:tcPr>
          <w:p>
            <w:r>
              <w:rPr>
                <w:b/>
                <w:sz w:val="18"/>
              </w:rPr>
              <w:t>控股股东（2024.12前）</w:t>
            </w:r>
          </w:p>
        </w:tc>
        <w:tc>
          <w:tcPr>
            <w:tcW w:type="dxa" w:w="2160"/>
          </w:tcPr>
          <w:p>
            <w:r>
              <w:rPr>
                <w:sz w:val="18"/>
              </w:rPr>
              <w:t>华润三九医药股份有限公司（000999.SZ）</w:t>
            </w:r>
          </w:p>
        </w:tc>
        <w:tc>
          <w:tcPr>
            <w:tcW w:type="dxa" w:w="2160"/>
            <w:shd w:fill="D9E2F3" w:val="clear"/>
          </w:tcPr>
          <w:p>
            <w:r>
              <w:rPr>
                <w:b/>
                <w:sz w:val="18"/>
              </w:rPr>
              <w:t>直接控股股东（2024.12后）</w:t>
            </w:r>
          </w:p>
        </w:tc>
        <w:tc>
          <w:tcPr>
            <w:tcW w:type="dxa" w:w="2160"/>
          </w:tcPr>
          <w:p>
            <w:r>
              <w:rPr>
                <w:sz w:val="18"/>
              </w:rPr>
              <w:t>昆药集团股份有限公司（600422.SH）持股51%</w:t>
            </w:r>
          </w:p>
        </w:tc>
      </w:tr>
      <w:tr>
        <w:tc>
          <w:tcPr>
            <w:tcW w:type="dxa" w:w="2160"/>
            <w:shd w:fill="D9E2F3" w:val="clear"/>
          </w:tcPr>
          <w:p>
            <w:r>
              <w:rPr>
                <w:b/>
                <w:sz w:val="18"/>
              </w:rPr>
              <w:t>核心产品</w:t>
            </w:r>
          </w:p>
        </w:tc>
        <w:tc>
          <w:tcPr>
            <w:tcW w:type="dxa" w:w="2160"/>
          </w:tcPr>
          <w:p>
            <w:r>
              <w:rPr>
                <w:sz w:val="18"/>
              </w:rPr>
              <w:t>血塞通软胶囊（"777"品牌）、三七系列产品</w:t>
            </w:r>
          </w:p>
        </w:tc>
        <w:tc>
          <w:tcPr>
            <w:tcW w:type="dxa" w:w="2160"/>
            <w:shd w:fill="D9E2F3" w:val="clear"/>
          </w:tcPr>
          <w:p>
            <w:r>
              <w:rPr>
                <w:b/>
                <w:sz w:val="18"/>
              </w:rPr>
              <w:t>核心竞争优势</w:t>
            </w:r>
          </w:p>
        </w:tc>
        <w:tc>
          <w:tcPr>
            <w:tcW w:type="dxa" w:w="2160"/>
          </w:tcPr>
          <w:p>
            <w:r>
              <w:rPr>
                <w:sz w:val="18"/>
              </w:rPr>
              <w:t>血塞通软胶囊两大合法批文持有者之一</w:t>
            </w:r>
          </w:p>
        </w:tc>
      </w:tr>
      <w:tr>
        <w:tc>
          <w:tcPr>
            <w:tcW w:type="dxa" w:w="2160"/>
            <w:shd w:fill="D9E2F3" w:val="clear"/>
          </w:tcPr>
          <w:p>
            <w:r>
              <w:rPr>
                <w:b/>
                <w:sz w:val="18"/>
              </w:rPr>
              <w:t>报告期间</w:t>
            </w:r>
          </w:p>
        </w:tc>
        <w:tc>
          <w:tcPr>
            <w:tcW w:type="dxa" w:w="2160"/>
          </w:tcPr>
          <w:p>
            <w:r>
              <w:rPr>
                <w:sz w:val="18"/>
              </w:rPr>
              <w:t>2023年度—2025年度</w:t>
            </w:r>
          </w:p>
        </w:tc>
        <w:tc>
          <w:tcPr>
            <w:tcW w:type="dxa" w:w="2160"/>
            <w:shd w:fill="D9E2F3" w:val="clear"/>
          </w:tcPr>
          <w:p>
            <w:r>
              <w:rPr>
                <w:b/>
                <w:sz w:val="18"/>
              </w:rPr>
              <w:t>编制日期</w:t>
            </w:r>
          </w:p>
        </w:tc>
        <w:tc>
          <w:tcPr>
            <w:tcW w:type="dxa" w:w="2160"/>
          </w:tcPr>
          <w:p>
            <w:r>
              <w:rPr>
                <w:sz w:val="18"/>
              </w:rPr>
              <w:t>2026年06月08日</w:t>
            </w:r>
          </w:p>
        </w:tc>
      </w:tr>
    </w:tbl>
    <w:p/>
    <w:p>
      <w:pPr>
        <w:pStyle w:val="Heading1"/>
      </w:pPr>
      <w:r>
        <w:t>一、股权变动情况（2023—2025年度）</w:t>
      </w:r>
    </w:p>
    <w:p>
      <w:pPr>
        <w:pStyle w:val="Heading2"/>
      </w:pPr>
      <w:r>
        <w:t>1.1 历史股权结构</w:t>
      </w:r>
    </w:p>
    <w:p>
      <w:r>
        <w:rPr>
          <w:b/>
        </w:rPr>
        <w:t>昆明华润圣火药业有限公司</w:t>
      </w:r>
      <w:r>
        <w:t>前身为昆明圣火药业（集团）有限公司，2016年被华润三九（000999.SZ）收购，此后成为华润三九旗下专注于三七（血塞通）系列中成药的核心子公司。2024年之前，公司作为华润三九直接持有的控股子公司，股东结构稳定，实际控制人始终为华润医药集团（最终控制方为国务院国资委）。</w:t>
      </w:r>
    </w:p>
    <w:p>
      <w:pPr>
        <w:pStyle w:val="Heading2"/>
      </w:pPr>
      <w:r>
        <w:t>1.2 2024年重大股权重组</w:t>
      </w:r>
    </w:p>
    <w:p>
      <w:r>
        <w:rPr>
          <w:b/>
        </w:rPr>
        <w:t>2024年度，公司经历近十年最重大的股权结构调整：</w:t>
      </w:r>
    </w:p>
    <w:p>
      <w:r>
        <w:rPr>
          <w:b/>
        </w:rPr>
        <w:t>● 2024年5月7日：</w:t>
      </w:r>
      <w:r>
        <w:t>昆药集团（600422.SH）在投资者互动平台首次透露，拟收购昆明华润圣火药业51%股权，以加快三七业务战略性整合。</w:t>
      </w:r>
    </w:p>
    <w:p>
      <w:r>
        <w:rPr>
          <w:b/>
        </w:rPr>
        <w:t>● 2024年6月7日：</w:t>
      </w:r>
      <w:r>
        <w:t>昆药集团正式发布公告，拟以现金17.91亿元收购华润三九持有的昆明华润圣火药业有限公司51%股权，交易定价基于评估值。按51%股权对价反算，华润圣火整体估值约35.12亿元。</w:t>
      </w:r>
    </w:p>
    <w:p>
      <w:r>
        <w:rPr>
          <w:b/>
        </w:rPr>
        <w:t>● 2024年6月28日：</w:t>
      </w:r>
      <w:r>
        <w:t>昆药集团股东大会审议通过收购议案。</w:t>
      </w:r>
    </w:p>
    <w:p>
      <w:r>
        <w:rPr>
          <w:b/>
        </w:rPr>
        <w:t>● 2024年11月22日：</w:t>
      </w:r>
      <w:r>
        <w:t>昆药集团发布收购进展公告，披露交易审批及推进情况。</w:t>
      </w:r>
    </w:p>
    <w:p>
      <w:r>
        <w:rPr>
          <w:b/>
        </w:rPr>
        <w:t>● 2024年12月20日—23日：</w:t>
      </w:r>
      <w:r>
        <w:t>工商变更登记手续全部办理完成，华润圣火正式完成从华润三九直接控股→昆药集团控股51%的股权过户。</w:t>
      </w:r>
    </w:p>
    <w:p/>
    <w:p>
      <w:pPr>
        <w:pStyle w:val="Heading2"/>
      </w:pPr>
      <w:r>
        <w:t>1.3 股权变动前后对比</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维度</w:t>
            </w:r>
          </w:p>
        </w:tc>
        <w:tc>
          <w:tcPr>
            <w:tcW w:type="dxa" w:w="2880"/>
            <w:shd w:fill="1F4E79" w:val="clear"/>
          </w:tcPr>
          <w:p>
            <w:pPr>
              <w:jc w:val="center"/>
            </w:pPr>
            <w:r>
              <w:rPr>
                <w:b/>
                <w:color w:val="FFFFFF"/>
                <w:sz w:val="18"/>
              </w:rPr>
              <w:t>变动前（2024年12月前）</w:t>
            </w:r>
          </w:p>
        </w:tc>
        <w:tc>
          <w:tcPr>
            <w:tcW w:type="dxa" w:w="2880"/>
            <w:shd w:fill="1F4E79" w:val="clear"/>
          </w:tcPr>
          <w:p>
            <w:pPr>
              <w:jc w:val="center"/>
            </w:pPr>
            <w:r>
              <w:rPr>
                <w:b/>
                <w:color w:val="FFFFFF"/>
                <w:sz w:val="18"/>
              </w:rPr>
              <w:t>变动后（2024年12月起）</w:t>
            </w:r>
          </w:p>
        </w:tc>
      </w:tr>
      <w:tr>
        <w:tc>
          <w:tcPr>
            <w:tcW w:type="dxa" w:w="2880"/>
          </w:tcPr>
          <w:p>
            <w:pPr>
              <w:jc w:val="center"/>
            </w:pPr>
            <w:r>
              <w:rPr>
                <w:sz w:val="18"/>
              </w:rPr>
              <w:t>控股股东</w:t>
            </w:r>
          </w:p>
        </w:tc>
        <w:tc>
          <w:tcPr>
            <w:tcW w:type="dxa" w:w="2880"/>
          </w:tcPr>
          <w:p>
            <w:pPr>
              <w:jc w:val="center"/>
            </w:pPr>
            <w:r>
              <w:rPr>
                <w:sz w:val="18"/>
              </w:rPr>
              <w:t>华润三九（000999.SZ）</w:t>
            </w:r>
          </w:p>
        </w:tc>
        <w:tc>
          <w:tcPr>
            <w:tcW w:type="dxa" w:w="2880"/>
          </w:tcPr>
          <w:p>
            <w:pPr>
              <w:jc w:val="center"/>
            </w:pPr>
            <w:r>
              <w:rPr>
                <w:sz w:val="18"/>
              </w:rPr>
              <w:t>昆药集团（600422.SH），持股51%</w:t>
            </w:r>
          </w:p>
        </w:tc>
      </w:tr>
      <w:tr>
        <w:tc>
          <w:tcPr>
            <w:tcW w:type="dxa" w:w="2880"/>
            <w:shd w:fill="D6E4F0" w:val="clear"/>
          </w:tcPr>
          <w:p>
            <w:pPr>
              <w:jc w:val="center"/>
            </w:pPr>
            <w:r>
              <w:rPr>
                <w:sz w:val="18"/>
              </w:rPr>
              <w:t>剩余股权持有人</w:t>
            </w:r>
          </w:p>
        </w:tc>
        <w:tc>
          <w:tcPr>
            <w:tcW w:type="dxa" w:w="2880"/>
            <w:shd w:fill="D6E4F0" w:val="clear"/>
          </w:tcPr>
          <w:p>
            <w:pPr>
              <w:jc w:val="center"/>
            </w:pPr>
            <w:r>
              <w:rPr>
                <w:sz w:val="18"/>
              </w:rPr>
              <w:t>华润三九持有100%（控股）</w:t>
            </w:r>
          </w:p>
        </w:tc>
        <w:tc>
          <w:tcPr>
            <w:tcW w:type="dxa" w:w="2880"/>
            <w:shd w:fill="D6E4F0" w:val="clear"/>
          </w:tcPr>
          <w:p>
            <w:pPr>
              <w:jc w:val="center"/>
            </w:pPr>
            <w:r>
              <w:rPr>
                <w:sz w:val="18"/>
              </w:rPr>
              <w:t>华润三九仍持有约49%股权</w:t>
            </w:r>
          </w:p>
        </w:tc>
      </w:tr>
      <w:tr>
        <w:tc>
          <w:tcPr>
            <w:tcW w:type="dxa" w:w="2880"/>
          </w:tcPr>
          <w:p>
            <w:pPr>
              <w:jc w:val="center"/>
            </w:pPr>
            <w:r>
              <w:rPr>
                <w:sz w:val="18"/>
              </w:rPr>
              <w:t>实际控制人</w:t>
            </w:r>
          </w:p>
        </w:tc>
        <w:tc>
          <w:tcPr>
            <w:tcW w:type="dxa" w:w="2880"/>
          </w:tcPr>
          <w:p>
            <w:pPr>
              <w:jc w:val="center"/>
            </w:pPr>
            <w:r>
              <w:rPr>
                <w:sz w:val="18"/>
              </w:rPr>
              <w:t>华润医药集团→华润集团→国务院国资委</w:t>
            </w:r>
          </w:p>
        </w:tc>
        <w:tc>
          <w:tcPr>
            <w:tcW w:type="dxa" w:w="2880"/>
          </w:tcPr>
          <w:p>
            <w:pPr>
              <w:jc w:val="center"/>
            </w:pPr>
            <w:r>
              <w:rPr>
                <w:sz w:val="18"/>
              </w:rPr>
              <w:t>未发生变化（同一控制下转让）</w:t>
            </w:r>
          </w:p>
        </w:tc>
      </w:tr>
      <w:tr>
        <w:tc>
          <w:tcPr>
            <w:tcW w:type="dxa" w:w="2880"/>
            <w:shd w:fill="D6E4F0" w:val="clear"/>
          </w:tcPr>
          <w:p>
            <w:pPr>
              <w:jc w:val="center"/>
            </w:pPr>
            <w:r>
              <w:rPr>
                <w:sz w:val="18"/>
              </w:rPr>
              <w:t>交易性质</w:t>
            </w:r>
          </w:p>
        </w:tc>
        <w:tc>
          <w:tcPr>
            <w:tcW w:type="dxa" w:w="2880"/>
            <w:shd w:fill="D6E4F0" w:val="clear"/>
          </w:tcPr>
          <w:p>
            <w:pPr>
              <w:jc w:val="center"/>
            </w:pPr>
            <w:r>
              <w:rPr>
                <w:sz w:val="18"/>
              </w:rPr>
              <w:t>——</w:t>
            </w:r>
          </w:p>
        </w:tc>
        <w:tc>
          <w:tcPr>
            <w:tcW w:type="dxa" w:w="2880"/>
            <w:shd w:fill="D6E4F0" w:val="clear"/>
          </w:tcPr>
          <w:p>
            <w:pPr>
              <w:jc w:val="center"/>
            </w:pPr>
            <w:r>
              <w:rPr>
                <w:sz w:val="18"/>
              </w:rPr>
              <w:t>华润系内部资源整合，"左手倒右手"</w:t>
            </w:r>
          </w:p>
        </w:tc>
      </w:tr>
      <w:tr>
        <w:tc>
          <w:tcPr>
            <w:tcW w:type="dxa" w:w="2880"/>
          </w:tcPr>
          <w:p>
            <w:pPr>
              <w:jc w:val="center"/>
            </w:pPr>
            <w:r>
              <w:rPr>
                <w:sz w:val="18"/>
              </w:rPr>
              <w:t>交易对价</w:t>
            </w:r>
          </w:p>
        </w:tc>
        <w:tc>
          <w:tcPr>
            <w:tcW w:type="dxa" w:w="2880"/>
          </w:tcPr>
          <w:p>
            <w:pPr>
              <w:jc w:val="center"/>
            </w:pPr>
            <w:r>
              <w:rPr>
                <w:sz w:val="18"/>
              </w:rPr>
              <w:t>——</w:t>
            </w:r>
          </w:p>
        </w:tc>
        <w:tc>
          <w:tcPr>
            <w:tcW w:type="dxa" w:w="2880"/>
          </w:tcPr>
          <w:p>
            <w:pPr>
              <w:jc w:val="center"/>
            </w:pPr>
            <w:r>
              <w:rPr>
                <w:sz w:val="18"/>
              </w:rPr>
              <w:t>17.91亿元（整体估值约35.12亿元）</w:t>
            </w:r>
          </w:p>
        </w:tc>
      </w:tr>
      <w:tr>
        <w:tc>
          <w:tcPr>
            <w:tcW w:type="dxa" w:w="2880"/>
            <w:shd w:fill="D6E4F0" w:val="clear"/>
          </w:tcPr>
          <w:p>
            <w:pPr>
              <w:jc w:val="center"/>
            </w:pPr>
            <w:r>
              <w:rPr>
                <w:sz w:val="18"/>
              </w:rPr>
              <w:t>估值参考</w:t>
            </w:r>
          </w:p>
        </w:tc>
        <w:tc>
          <w:tcPr>
            <w:tcW w:type="dxa" w:w="2880"/>
            <w:shd w:fill="D6E4F0" w:val="clear"/>
          </w:tcPr>
          <w:p>
            <w:pPr>
              <w:jc w:val="center"/>
            </w:pPr>
            <w:r>
              <w:rPr>
                <w:sz w:val="18"/>
              </w:rPr>
              <w:t>——</w:t>
            </w:r>
          </w:p>
        </w:tc>
        <w:tc>
          <w:tcPr>
            <w:tcW w:type="dxa" w:w="2880"/>
            <w:shd w:fill="D6E4F0" w:val="clear"/>
          </w:tcPr>
          <w:p>
            <w:pPr>
              <w:jc w:val="center"/>
            </w:pPr>
            <w:r>
              <w:rPr>
                <w:sz w:val="18"/>
              </w:rPr>
              <w:t>市盈率约17.6倍（基于年盈利逾2亿元）</w:t>
            </w:r>
          </w:p>
        </w:tc>
      </w:tr>
    </w:tbl>
    <w:p/>
    <w:p>
      <w:pPr>
        <w:pStyle w:val="Heading2"/>
      </w:pPr>
      <w:r>
        <w:t>1.4 股权变动的影响分析</w:t>
      </w:r>
    </w:p>
    <w:p>
      <w:r>
        <w:t>1. 同业竞争消除：血塞通软胶囊仅有昆药集团和昆明华润圣火两家持有合法生产批文，此前同属华润三九体系下形成同业竞争。本次整合将三七/血塞通业务统一归入昆药集团平台，解决内部竞争困局，有利于定价协同和市场统一。</w:t>
      </w:r>
    </w:p>
    <w:p>
      <w:r>
        <w:t>2. 关联方结构变化：公司从华润三九直接子公司变为昆药集团（华润三九本身为昆药集团控股股东）的控股子公司，实际控制人不变（仍为华润医药→国资委），股权变动系同一控制下转让，不构成控制权变更。</w:t>
      </w:r>
    </w:p>
    <w:p>
      <w:r>
        <w:t>3. 信用评估影响正面：股权整合后，华润圣火的信用评估应纳入昆药集团合并口径考虑；昆药集团作为A股上市公司（600422），透明度更高、融资渠道更广，对华润圣火的信用背书能力不弱于原直接的华润三九体系。</w:t>
      </w:r>
    </w:p>
    <w:p>
      <w:r>
        <w:t>4. 估值信号：整体估值约35亿元、年净利润逾2亿元、负债率约21%，表明华润圣火单体的资产质量和盈利能力良好，财务结构稳健。</w:t>
      </w:r>
    </w:p>
    <w:p/>
    <w:p>
      <w:pPr>
        <w:pStyle w:val="Heading1"/>
      </w:pPr>
      <w:r>
        <w:t>二、经营情况分析</w:t>
      </w:r>
    </w:p>
    <w:p>
      <w:pPr>
        <w:pStyle w:val="Heading2"/>
      </w:pPr>
      <w:r>
        <w:t>2.1 主营业务与行业地位</w:t>
      </w:r>
    </w:p>
    <w:p>
      <w:r>
        <w:rPr>
          <w:b/>
        </w:rPr>
        <w:t>昆明华润圣火药业是国内中成药领域具有较高壁垒的特色企业，</w:t>
      </w:r>
      <w:r>
        <w:t>核心产品为血塞通软胶囊（品牌标识为"777"），以三七为主要药材，用于缺血性卒中等心脑血管疾病的治疗与康复。</w:t>
      </w:r>
    </w:p>
    <w:p>
      <w:r>
        <w:rPr>
          <w:b/>
        </w:rPr>
        <w:t>行业壁垒突出</w:t>
      </w:r>
      <w:r>
        <w:t>：血塞通软胶囊在全国范围内仅有两家企业持有合法生产批文——昆药集团（"络泰"品牌）和昆明华润圣火（"777"品牌），形成"双寡头"竞争格局。2022年，血塞通软胶囊单品收入突破5亿元，在中药零售脑血管疾病用药中为仅次于安宫牛黄丸的第二大品类。</w:t>
      </w:r>
    </w:p>
    <w:p>
      <w:r>
        <w:rPr>
          <w:b/>
        </w:rPr>
        <w:t>学术背书扎实</w:t>
      </w:r>
      <w:r>
        <w:t>：2023年，血塞通软胶囊改善缺血性卒中患者神经功能结局的临床研究成果入选"2023年度中医药十大学术进展"，相关循证医学证据获国际顶级医学期刊认可，为产品在院内渠道的推广提供了强有力的学术支撑。</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维度</w:t>
            </w:r>
          </w:p>
        </w:tc>
        <w:tc>
          <w:tcPr>
            <w:tcW w:type="dxa" w:w="2880"/>
            <w:shd w:fill="1F4E79" w:val="clear"/>
          </w:tcPr>
          <w:p>
            <w:pPr>
              <w:jc w:val="center"/>
            </w:pPr>
            <w:r>
              <w:rPr>
                <w:b/>
                <w:color w:val="FFFFFF"/>
                <w:sz w:val="18"/>
              </w:rPr>
              <w:t>具体情况</w:t>
            </w:r>
          </w:p>
        </w:tc>
        <w:tc>
          <w:tcPr>
            <w:tcW w:type="dxa" w:w="2880"/>
            <w:shd w:fill="1F4E79" w:val="clear"/>
          </w:tcPr>
          <w:p>
            <w:pPr>
              <w:jc w:val="center"/>
            </w:pPr>
            <w:r>
              <w:rPr>
                <w:b/>
                <w:color w:val="FFFFFF"/>
                <w:sz w:val="18"/>
              </w:rPr>
              <w:t>竞争力评估</w:t>
            </w:r>
          </w:p>
        </w:tc>
      </w:tr>
      <w:tr>
        <w:tc>
          <w:tcPr>
            <w:tcW w:type="dxa" w:w="2880"/>
          </w:tcPr>
          <w:p>
            <w:pPr>
              <w:jc w:val="center"/>
            </w:pPr>
            <w:r>
              <w:rPr>
                <w:sz w:val="18"/>
              </w:rPr>
              <w:t>核心产品</w:t>
            </w:r>
          </w:p>
        </w:tc>
        <w:tc>
          <w:tcPr>
            <w:tcW w:type="dxa" w:w="2880"/>
          </w:tcPr>
          <w:p>
            <w:pPr>
              <w:jc w:val="center"/>
            </w:pPr>
            <w:r>
              <w:rPr>
                <w:sz w:val="18"/>
              </w:rPr>
              <w:t>血塞通软胶囊（"777"品牌）</w:t>
            </w:r>
          </w:p>
        </w:tc>
        <w:tc>
          <w:tcPr>
            <w:tcW w:type="dxa" w:w="2880"/>
          </w:tcPr>
          <w:p>
            <w:pPr>
              <w:jc w:val="center"/>
            </w:pPr>
            <w:r>
              <w:rPr>
                <w:sz w:val="18"/>
              </w:rPr>
              <w:t>双寡头批文壁垒，高度稀缺</w:t>
            </w:r>
          </w:p>
        </w:tc>
      </w:tr>
      <w:tr>
        <w:tc>
          <w:tcPr>
            <w:tcW w:type="dxa" w:w="2880"/>
            <w:shd w:fill="D6E4F0" w:val="clear"/>
          </w:tcPr>
          <w:p>
            <w:pPr>
              <w:jc w:val="center"/>
            </w:pPr>
            <w:r>
              <w:rPr>
                <w:sz w:val="18"/>
              </w:rPr>
              <w:t>主要治疗领域</w:t>
            </w:r>
          </w:p>
        </w:tc>
        <w:tc>
          <w:tcPr>
            <w:tcW w:type="dxa" w:w="2880"/>
            <w:shd w:fill="D6E4F0" w:val="clear"/>
          </w:tcPr>
          <w:p>
            <w:pPr>
              <w:jc w:val="center"/>
            </w:pPr>
            <w:r>
              <w:rPr>
                <w:sz w:val="18"/>
              </w:rPr>
              <w:t>缺血性卒中、心脑血管疾病康复</w:t>
            </w:r>
          </w:p>
        </w:tc>
        <w:tc>
          <w:tcPr>
            <w:tcW w:type="dxa" w:w="2880"/>
            <w:shd w:fill="D6E4F0" w:val="clear"/>
          </w:tcPr>
          <w:p>
            <w:pPr>
              <w:jc w:val="center"/>
            </w:pPr>
            <w:r>
              <w:rPr>
                <w:sz w:val="18"/>
              </w:rPr>
              <w:t>老龄化社会刚需赛道</w:t>
            </w:r>
          </w:p>
        </w:tc>
      </w:tr>
      <w:tr>
        <w:tc>
          <w:tcPr>
            <w:tcW w:type="dxa" w:w="2880"/>
          </w:tcPr>
          <w:p>
            <w:pPr>
              <w:jc w:val="center"/>
            </w:pPr>
            <w:r>
              <w:rPr>
                <w:sz w:val="18"/>
              </w:rPr>
              <w:t>上游资源</w:t>
            </w:r>
          </w:p>
        </w:tc>
        <w:tc>
          <w:tcPr>
            <w:tcW w:type="dxa" w:w="2880"/>
          </w:tcPr>
          <w:p>
            <w:pPr>
              <w:jc w:val="center"/>
            </w:pPr>
            <w:r>
              <w:rPr>
                <w:sz w:val="18"/>
              </w:rPr>
              <w:t>云南文山三七核心产区（全国三七主产地）</w:t>
            </w:r>
          </w:p>
        </w:tc>
        <w:tc>
          <w:tcPr>
            <w:tcW w:type="dxa" w:w="2880"/>
          </w:tcPr>
          <w:p>
            <w:pPr>
              <w:jc w:val="center"/>
            </w:pPr>
            <w:r>
              <w:rPr>
                <w:sz w:val="18"/>
              </w:rPr>
              <w:t>原料产地优势突出</w:t>
            </w:r>
          </w:p>
        </w:tc>
      </w:tr>
      <w:tr>
        <w:tc>
          <w:tcPr>
            <w:tcW w:type="dxa" w:w="2880"/>
            <w:shd w:fill="D6E4F0" w:val="clear"/>
          </w:tcPr>
          <w:p>
            <w:pPr>
              <w:jc w:val="center"/>
            </w:pPr>
            <w:r>
              <w:rPr>
                <w:sz w:val="18"/>
              </w:rPr>
              <w:t>生产资质</w:t>
            </w:r>
          </w:p>
        </w:tc>
        <w:tc>
          <w:tcPr>
            <w:tcW w:type="dxa" w:w="2880"/>
            <w:shd w:fill="D6E4F0" w:val="clear"/>
          </w:tcPr>
          <w:p>
            <w:pPr>
              <w:jc w:val="center"/>
            </w:pPr>
            <w:r>
              <w:rPr>
                <w:sz w:val="18"/>
              </w:rPr>
              <w:t>GMP认证，药品生产许可证齐全</w:t>
            </w:r>
          </w:p>
        </w:tc>
        <w:tc>
          <w:tcPr>
            <w:tcW w:type="dxa" w:w="2880"/>
            <w:shd w:fill="D6E4F0" w:val="clear"/>
          </w:tcPr>
          <w:p>
            <w:pPr>
              <w:jc w:val="center"/>
            </w:pPr>
            <w:r>
              <w:rPr>
                <w:sz w:val="18"/>
              </w:rPr>
              <w:t>合规门槛高，产能稳定</w:t>
            </w:r>
          </w:p>
        </w:tc>
      </w:tr>
      <w:tr>
        <w:tc>
          <w:tcPr>
            <w:tcW w:type="dxa" w:w="2880"/>
          </w:tcPr>
          <w:p>
            <w:pPr>
              <w:jc w:val="center"/>
            </w:pPr>
            <w:r>
              <w:rPr>
                <w:sz w:val="18"/>
              </w:rPr>
              <w:t>销售渠道</w:t>
            </w:r>
          </w:p>
        </w:tc>
        <w:tc>
          <w:tcPr>
            <w:tcW w:type="dxa" w:w="2880"/>
          </w:tcPr>
          <w:p>
            <w:pPr>
              <w:jc w:val="center"/>
            </w:pPr>
            <w:r>
              <w:rPr>
                <w:sz w:val="18"/>
              </w:rPr>
              <w:t>院内处方+院外零售双渠道覆盖</w:t>
            </w:r>
          </w:p>
        </w:tc>
        <w:tc>
          <w:tcPr>
            <w:tcW w:type="dxa" w:w="2880"/>
          </w:tcPr>
          <w:p>
            <w:pPr>
              <w:jc w:val="center"/>
            </w:pPr>
            <w:r>
              <w:rPr>
                <w:sz w:val="18"/>
              </w:rPr>
              <w:t>渠道纵深良好</w:t>
            </w:r>
          </w:p>
        </w:tc>
      </w:tr>
      <w:tr>
        <w:tc>
          <w:tcPr>
            <w:tcW w:type="dxa" w:w="2880"/>
            <w:shd w:fill="D6E4F0" w:val="clear"/>
          </w:tcPr>
          <w:p>
            <w:pPr>
              <w:jc w:val="center"/>
            </w:pPr>
            <w:r>
              <w:rPr>
                <w:sz w:val="18"/>
              </w:rPr>
              <w:t>研发管线</w:t>
            </w:r>
          </w:p>
        </w:tc>
        <w:tc>
          <w:tcPr>
            <w:tcW w:type="dxa" w:w="2880"/>
            <w:shd w:fill="D6E4F0" w:val="clear"/>
          </w:tcPr>
          <w:p>
            <w:pPr>
              <w:jc w:val="center"/>
            </w:pPr>
            <w:r>
              <w:rPr>
                <w:sz w:val="18"/>
              </w:rPr>
              <w:t>三七系列产品延伸（三七饮片、三七总皂苷制剂等）</w:t>
            </w:r>
          </w:p>
        </w:tc>
        <w:tc>
          <w:tcPr>
            <w:tcW w:type="dxa" w:w="2880"/>
            <w:shd w:fill="D6E4F0" w:val="clear"/>
          </w:tcPr>
          <w:p>
            <w:pPr>
              <w:jc w:val="center"/>
            </w:pPr>
            <w:r>
              <w:rPr>
                <w:sz w:val="18"/>
              </w:rPr>
              <w:t>产品线有一定延展性</w:t>
            </w:r>
          </w:p>
        </w:tc>
      </w:tr>
      <w:tr>
        <w:tc>
          <w:tcPr>
            <w:tcW w:type="dxa" w:w="2880"/>
          </w:tcPr>
          <w:p>
            <w:pPr>
              <w:jc w:val="center"/>
            </w:pPr>
            <w:r>
              <w:rPr>
                <w:sz w:val="18"/>
              </w:rPr>
              <w:t>行业地位</w:t>
            </w:r>
          </w:p>
        </w:tc>
        <w:tc>
          <w:tcPr>
            <w:tcW w:type="dxa" w:w="2880"/>
          </w:tcPr>
          <w:p>
            <w:pPr>
              <w:jc w:val="center"/>
            </w:pPr>
            <w:r>
              <w:rPr>
                <w:sz w:val="18"/>
              </w:rPr>
              <w:t>中药脑血管品类TOP2（仅次于安宫牛黄丸）</w:t>
            </w:r>
          </w:p>
        </w:tc>
        <w:tc>
          <w:tcPr>
            <w:tcW w:type="dxa" w:w="2880"/>
          </w:tcPr>
          <w:p>
            <w:pPr>
              <w:jc w:val="center"/>
            </w:pPr>
            <w:r>
              <w:rPr>
                <w:sz w:val="18"/>
              </w:rPr>
              <w:t>细分赛道龙头之一</w:t>
            </w:r>
          </w:p>
        </w:tc>
      </w:tr>
    </w:tbl>
    <w:p/>
    <w:p>
      <w:pPr>
        <w:pStyle w:val="Heading2"/>
      </w:pPr>
      <w:r>
        <w:t>2.2 核心财务指标（基于控股母公司昆药集团合并口径）</w:t>
      </w:r>
    </w:p>
    <w:p>
      <w:r>
        <w:rPr>
          <w:b/>
        </w:rPr>
        <w:t>重要说明：</w:t>
      </w:r>
      <w:r>
        <w:t>昆明华润圣火药业为非上市有限责任公司，不单独公开披露财务报表。以下采用控股母公司昆药集团（600422.SH，持股51%）的合并报表数据作为参考。华润圣火于2024年12月纳入昆药集团合并范围，2025年度为合并后的首个完整会计年度。</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val="clear"/>
          </w:tcPr>
          <w:p>
            <w:pPr>
              <w:jc w:val="center"/>
            </w:pPr>
            <w:r>
              <w:rPr>
                <w:b/>
                <w:color w:val="FFFFFF"/>
                <w:sz w:val="18"/>
              </w:rPr>
              <w:t>财务指标</w:t>
            </w:r>
          </w:p>
        </w:tc>
        <w:tc>
          <w:tcPr>
            <w:tcW w:type="dxa" w:w="1728"/>
            <w:shd w:fill="1F4E79" w:val="clear"/>
          </w:tcPr>
          <w:p>
            <w:pPr>
              <w:jc w:val="center"/>
            </w:pPr>
            <w:r>
              <w:rPr>
                <w:b/>
                <w:color w:val="FFFFFF"/>
                <w:sz w:val="18"/>
              </w:rPr>
              <w:t>2023年度（合并前）</w:t>
            </w:r>
          </w:p>
        </w:tc>
        <w:tc>
          <w:tcPr>
            <w:tcW w:type="dxa" w:w="1728"/>
            <w:shd w:fill="1F4E79" w:val="clear"/>
          </w:tcPr>
          <w:p>
            <w:pPr>
              <w:jc w:val="center"/>
            </w:pPr>
            <w:r>
              <w:rPr>
                <w:b/>
                <w:color w:val="FFFFFF"/>
                <w:sz w:val="18"/>
              </w:rPr>
              <w:t>2024年度（收购当年）</w:t>
            </w:r>
          </w:p>
        </w:tc>
        <w:tc>
          <w:tcPr>
            <w:tcW w:type="dxa" w:w="1728"/>
            <w:shd w:fill="1F4E79" w:val="clear"/>
          </w:tcPr>
          <w:p>
            <w:pPr>
              <w:jc w:val="center"/>
            </w:pPr>
            <w:r>
              <w:rPr>
                <w:b/>
                <w:color w:val="FFFFFF"/>
                <w:sz w:val="18"/>
              </w:rPr>
              <w:t>2025年度（合并首个完整年）</w:t>
            </w:r>
          </w:p>
        </w:tc>
        <w:tc>
          <w:tcPr>
            <w:tcW w:type="dxa" w:w="1728"/>
            <w:shd w:fill="1F4E79" w:val="clear"/>
          </w:tcPr>
          <w:p>
            <w:pPr>
              <w:jc w:val="center"/>
            </w:pPr>
            <w:r>
              <w:rPr>
                <w:b/>
                <w:color w:val="FFFFFF"/>
                <w:sz w:val="18"/>
              </w:rPr>
              <w:t>趋势分析</w:t>
            </w:r>
          </w:p>
        </w:tc>
      </w:tr>
      <w:tr>
        <w:tc>
          <w:tcPr>
            <w:tcW w:type="dxa" w:w="1728"/>
          </w:tcPr>
          <w:p>
            <w:pPr>
              <w:jc w:val="center"/>
            </w:pPr>
            <w:r>
              <w:rPr>
                <w:sz w:val="18"/>
              </w:rPr>
              <w:t>昆药合并营业收入</w:t>
            </w:r>
          </w:p>
        </w:tc>
        <w:tc>
          <w:tcPr>
            <w:tcW w:type="dxa" w:w="1728"/>
          </w:tcPr>
          <w:p>
            <w:pPr>
              <w:jc w:val="center"/>
            </w:pPr>
            <w:r>
              <w:rPr>
                <w:sz w:val="18"/>
              </w:rPr>
              <w:t>84.30亿元</w:t>
            </w:r>
          </w:p>
        </w:tc>
        <w:tc>
          <w:tcPr>
            <w:tcW w:type="dxa" w:w="1728"/>
          </w:tcPr>
          <w:p>
            <w:pPr>
              <w:jc w:val="center"/>
            </w:pPr>
            <w:r>
              <w:rPr>
                <w:sz w:val="18"/>
              </w:rPr>
              <w:t>84.01亿元</w:t>
            </w:r>
          </w:p>
        </w:tc>
        <w:tc>
          <w:tcPr>
            <w:tcW w:type="dxa" w:w="1728"/>
          </w:tcPr>
          <w:p>
            <w:pPr>
              <w:jc w:val="center"/>
            </w:pPr>
            <w:r>
              <w:rPr>
                <w:sz w:val="18"/>
              </w:rPr>
              <w:t>65.75亿元</w:t>
            </w:r>
          </w:p>
        </w:tc>
        <w:tc>
          <w:tcPr>
            <w:tcW w:type="dxa" w:w="1728"/>
          </w:tcPr>
          <w:p>
            <w:pPr>
              <w:jc w:val="center"/>
            </w:pPr>
            <w:r>
              <w:rPr>
                <w:sz w:val="18"/>
              </w:rPr>
              <w:t>2025年收入大幅下滑-21.74%</w:t>
            </w:r>
          </w:p>
        </w:tc>
      </w:tr>
      <w:tr>
        <w:tc>
          <w:tcPr>
            <w:tcW w:type="dxa" w:w="1728"/>
            <w:shd w:fill="D6E4F0" w:val="clear"/>
          </w:tcPr>
          <w:p>
            <w:pPr>
              <w:jc w:val="center"/>
            </w:pPr>
            <w:r>
              <w:rPr>
                <w:sz w:val="18"/>
              </w:rPr>
              <w:t>昆药合并归母净利润</w:t>
            </w:r>
          </w:p>
        </w:tc>
        <w:tc>
          <w:tcPr>
            <w:tcW w:type="dxa" w:w="1728"/>
            <w:shd w:fill="D6E4F0" w:val="clear"/>
          </w:tcPr>
          <w:p>
            <w:pPr>
              <w:jc w:val="center"/>
            </w:pPr>
            <w:r>
              <w:rPr>
                <w:sz w:val="18"/>
              </w:rPr>
              <w:t>5.41亿元</w:t>
            </w:r>
          </w:p>
        </w:tc>
        <w:tc>
          <w:tcPr>
            <w:tcW w:type="dxa" w:w="1728"/>
            <w:shd w:fill="D6E4F0" w:val="clear"/>
          </w:tcPr>
          <w:p>
            <w:pPr>
              <w:jc w:val="center"/>
            </w:pPr>
            <w:r>
              <w:rPr>
                <w:sz w:val="18"/>
              </w:rPr>
              <w:t>6.48亿元</w:t>
            </w:r>
          </w:p>
        </w:tc>
        <w:tc>
          <w:tcPr>
            <w:tcW w:type="dxa" w:w="1728"/>
            <w:shd w:fill="D6E4F0" w:val="clear"/>
          </w:tcPr>
          <w:p>
            <w:pPr>
              <w:jc w:val="center"/>
            </w:pPr>
            <w:r>
              <w:rPr>
                <w:sz w:val="18"/>
              </w:rPr>
              <w:t>3.50亿元</w:t>
            </w:r>
          </w:p>
        </w:tc>
        <w:tc>
          <w:tcPr>
            <w:tcW w:type="dxa" w:w="1728"/>
            <w:shd w:fill="D6E4F0" w:val="clear"/>
          </w:tcPr>
          <w:p>
            <w:pPr>
              <w:jc w:val="center"/>
            </w:pPr>
            <w:r>
              <w:rPr>
                <w:sz w:val="18"/>
              </w:rPr>
              <w:t>2025年净利润下降约-46%</w:t>
            </w:r>
          </w:p>
        </w:tc>
      </w:tr>
      <w:tr>
        <w:tc>
          <w:tcPr>
            <w:tcW w:type="dxa" w:w="1728"/>
          </w:tcPr>
          <w:p>
            <w:pPr>
              <w:jc w:val="center"/>
            </w:pPr>
            <w:r>
              <w:rPr>
                <w:sz w:val="18"/>
              </w:rPr>
              <w:t>昆药销售毛利率</w:t>
            </w:r>
          </w:p>
        </w:tc>
        <w:tc>
          <w:tcPr>
            <w:tcW w:type="dxa" w:w="1728"/>
          </w:tcPr>
          <w:p>
            <w:pPr>
              <w:jc w:val="center"/>
            </w:pPr>
            <w:r>
              <w:rPr>
                <w:sz w:val="18"/>
              </w:rPr>
              <w:t>44.82%</w:t>
            </w:r>
          </w:p>
        </w:tc>
        <w:tc>
          <w:tcPr>
            <w:tcW w:type="dxa" w:w="1728"/>
          </w:tcPr>
          <w:p>
            <w:pPr>
              <w:jc w:val="center"/>
            </w:pPr>
            <w:r>
              <w:rPr>
                <w:sz w:val="18"/>
              </w:rPr>
              <w:t>43.46%</w:t>
            </w:r>
          </w:p>
        </w:tc>
        <w:tc>
          <w:tcPr>
            <w:tcW w:type="dxa" w:w="1728"/>
          </w:tcPr>
          <w:p>
            <w:pPr>
              <w:jc w:val="center"/>
            </w:pPr>
            <w:r>
              <w:rPr>
                <w:sz w:val="18"/>
              </w:rPr>
              <w:t>38.52%</w:t>
            </w:r>
          </w:p>
        </w:tc>
        <w:tc>
          <w:tcPr>
            <w:tcW w:type="dxa" w:w="1728"/>
          </w:tcPr>
          <w:p>
            <w:pPr>
              <w:jc w:val="center"/>
            </w:pPr>
            <w:r>
              <w:rPr>
                <w:sz w:val="18"/>
              </w:rPr>
              <w:t>毛利率持续走低</w:t>
            </w:r>
          </w:p>
        </w:tc>
      </w:tr>
      <w:tr>
        <w:tc>
          <w:tcPr>
            <w:tcW w:type="dxa" w:w="1728"/>
            <w:shd w:fill="D6E4F0" w:val="clear"/>
          </w:tcPr>
          <w:p>
            <w:pPr>
              <w:jc w:val="center"/>
            </w:pPr>
            <w:r>
              <w:rPr>
                <w:sz w:val="18"/>
              </w:rPr>
              <w:t>昆药销售净利率</w:t>
            </w:r>
          </w:p>
        </w:tc>
        <w:tc>
          <w:tcPr>
            <w:tcW w:type="dxa" w:w="1728"/>
            <w:shd w:fill="D6E4F0" w:val="clear"/>
          </w:tcPr>
          <w:p>
            <w:pPr>
              <w:jc w:val="center"/>
            </w:pPr>
            <w:r>
              <w:rPr>
                <w:sz w:val="18"/>
              </w:rPr>
              <w:t>5.90%</w:t>
            </w:r>
          </w:p>
        </w:tc>
        <w:tc>
          <w:tcPr>
            <w:tcW w:type="dxa" w:w="1728"/>
            <w:shd w:fill="D6E4F0" w:val="clear"/>
          </w:tcPr>
          <w:p>
            <w:pPr>
              <w:jc w:val="center"/>
            </w:pPr>
            <w:r>
              <w:rPr>
                <w:sz w:val="18"/>
              </w:rPr>
              <w:t>8.94%</w:t>
            </w:r>
          </w:p>
        </w:tc>
        <w:tc>
          <w:tcPr>
            <w:tcW w:type="dxa" w:w="1728"/>
            <w:shd w:fill="D6E4F0" w:val="clear"/>
          </w:tcPr>
          <w:p>
            <w:pPr>
              <w:jc w:val="center"/>
            </w:pPr>
            <w:r>
              <w:rPr>
                <w:sz w:val="18"/>
              </w:rPr>
              <w:t>6.37%</w:t>
            </w:r>
          </w:p>
        </w:tc>
        <w:tc>
          <w:tcPr>
            <w:tcW w:type="dxa" w:w="1728"/>
            <w:shd w:fill="D6E4F0" w:val="clear"/>
          </w:tcPr>
          <w:p>
            <w:pPr>
              <w:jc w:val="center"/>
            </w:pPr>
            <w:r>
              <w:rPr>
                <w:sz w:val="18"/>
              </w:rPr>
              <w:t>先升后降</w:t>
            </w:r>
          </w:p>
        </w:tc>
      </w:tr>
      <w:tr>
        <w:tc>
          <w:tcPr>
            <w:tcW w:type="dxa" w:w="1728"/>
          </w:tcPr>
          <w:p>
            <w:pPr>
              <w:jc w:val="center"/>
            </w:pPr>
            <w:r>
              <w:rPr>
                <w:sz w:val="18"/>
              </w:rPr>
              <w:t>昆药净资产收益率（ROE）</w:t>
            </w:r>
          </w:p>
        </w:tc>
        <w:tc>
          <w:tcPr>
            <w:tcW w:type="dxa" w:w="1728"/>
          </w:tcPr>
          <w:p>
            <w:pPr>
              <w:jc w:val="center"/>
            </w:pPr>
            <w:r>
              <w:rPr>
                <w:sz w:val="18"/>
              </w:rPr>
              <w:t>8.64%</w:t>
            </w:r>
          </w:p>
        </w:tc>
        <w:tc>
          <w:tcPr>
            <w:tcW w:type="dxa" w:w="1728"/>
          </w:tcPr>
          <w:p>
            <w:pPr>
              <w:jc w:val="center"/>
            </w:pPr>
            <w:r>
              <w:rPr>
                <w:sz w:val="18"/>
              </w:rPr>
              <w:t>9.52%</w:t>
            </w:r>
          </w:p>
        </w:tc>
        <w:tc>
          <w:tcPr>
            <w:tcW w:type="dxa" w:w="1728"/>
          </w:tcPr>
          <w:p>
            <w:pPr>
              <w:jc w:val="center"/>
            </w:pPr>
            <w:r>
              <w:rPr>
                <w:sz w:val="18"/>
              </w:rPr>
              <w:t>6.58%</w:t>
            </w:r>
          </w:p>
        </w:tc>
        <w:tc>
          <w:tcPr>
            <w:tcW w:type="dxa" w:w="1728"/>
          </w:tcPr>
          <w:p>
            <w:pPr>
              <w:jc w:val="center"/>
            </w:pPr>
            <w:r>
              <w:rPr>
                <w:sz w:val="18"/>
              </w:rPr>
              <w:t>收购后ROE明显下滑</w:t>
            </w:r>
          </w:p>
        </w:tc>
      </w:tr>
      <w:tr>
        <w:tc>
          <w:tcPr>
            <w:tcW w:type="dxa" w:w="1728"/>
            <w:shd w:fill="D6E4F0" w:val="clear"/>
          </w:tcPr>
          <w:p>
            <w:pPr>
              <w:jc w:val="center"/>
            </w:pPr>
            <w:r>
              <w:rPr>
                <w:sz w:val="18"/>
              </w:rPr>
              <w:t>华润圣火单体年利润</w:t>
            </w:r>
          </w:p>
        </w:tc>
        <w:tc>
          <w:tcPr>
            <w:tcW w:type="dxa" w:w="1728"/>
            <w:shd w:fill="D6E4F0" w:val="clear"/>
          </w:tcPr>
          <w:p>
            <w:pPr>
              <w:jc w:val="center"/>
            </w:pPr>
            <w:r>
              <w:rPr>
                <w:sz w:val="18"/>
              </w:rPr>
              <w:t>未披露（推测&gt;2亿）</w:t>
            </w:r>
          </w:p>
        </w:tc>
        <w:tc>
          <w:tcPr>
            <w:tcW w:type="dxa" w:w="1728"/>
            <w:shd w:fill="D6E4F0" w:val="clear"/>
          </w:tcPr>
          <w:p>
            <w:pPr>
              <w:jc w:val="center"/>
            </w:pPr>
            <w:r>
              <w:rPr>
                <w:sz w:val="18"/>
              </w:rPr>
              <w:t>年盈利逾2亿元</w:t>
            </w:r>
          </w:p>
        </w:tc>
        <w:tc>
          <w:tcPr>
            <w:tcW w:type="dxa" w:w="1728"/>
            <w:shd w:fill="D6E4F0" w:val="clear"/>
          </w:tcPr>
          <w:p>
            <w:pPr>
              <w:jc w:val="center"/>
            </w:pPr>
            <w:r>
              <w:rPr>
                <w:sz w:val="18"/>
              </w:rPr>
              <w:t>未单独披露</w:t>
            </w:r>
          </w:p>
        </w:tc>
        <w:tc>
          <w:tcPr>
            <w:tcW w:type="dxa" w:w="1728"/>
            <w:shd w:fill="D6E4F0" w:val="clear"/>
          </w:tcPr>
          <w:p>
            <w:pPr>
              <w:jc w:val="center"/>
            </w:pPr>
            <w:r>
              <w:rPr>
                <w:sz w:val="18"/>
              </w:rPr>
              <w:t>收购估值基础为年利润&gt;2亿</w:t>
            </w:r>
          </w:p>
        </w:tc>
      </w:tr>
      <w:tr>
        <w:tc>
          <w:tcPr>
            <w:tcW w:type="dxa" w:w="1728"/>
          </w:tcPr>
          <w:p>
            <w:pPr>
              <w:jc w:val="center"/>
            </w:pPr>
            <w:r>
              <w:rPr>
                <w:sz w:val="18"/>
              </w:rPr>
              <w:t>华润圣火单体负债率</w:t>
            </w:r>
          </w:p>
        </w:tc>
        <w:tc>
          <w:tcPr>
            <w:tcW w:type="dxa" w:w="1728"/>
          </w:tcPr>
          <w:p>
            <w:pPr>
              <w:jc w:val="center"/>
            </w:pPr>
            <w:r>
              <w:rPr>
                <w:sz w:val="18"/>
              </w:rPr>
              <w:t>未披露</w:t>
            </w:r>
          </w:p>
        </w:tc>
        <w:tc>
          <w:tcPr>
            <w:tcW w:type="dxa" w:w="1728"/>
          </w:tcPr>
          <w:p>
            <w:pPr>
              <w:jc w:val="center"/>
            </w:pPr>
            <w:r>
              <w:rPr>
                <w:sz w:val="18"/>
              </w:rPr>
              <w:t>约21%</w:t>
            </w:r>
          </w:p>
        </w:tc>
        <w:tc>
          <w:tcPr>
            <w:tcW w:type="dxa" w:w="1728"/>
          </w:tcPr>
          <w:p>
            <w:pPr>
              <w:jc w:val="center"/>
            </w:pPr>
            <w:r>
              <w:rPr>
                <w:sz w:val="18"/>
              </w:rPr>
              <w:t>未单独披露</w:t>
            </w:r>
          </w:p>
        </w:tc>
        <w:tc>
          <w:tcPr>
            <w:tcW w:type="dxa" w:w="1728"/>
          </w:tcPr>
          <w:p>
            <w:pPr>
              <w:jc w:val="center"/>
            </w:pPr>
            <w:r>
              <w:rPr>
                <w:sz w:val="18"/>
              </w:rPr>
              <w:t>单体负债率极低</w:t>
            </w:r>
          </w:p>
        </w:tc>
      </w:tr>
    </w:tbl>
    <w:p/>
    <w:p>
      <w:pPr>
        <w:pStyle w:val="Heading2"/>
      </w:pPr>
      <w:r>
        <w:t>2.3 经营趋势与业绩变脸分析</w:t>
      </w:r>
    </w:p>
    <w:p>
      <w:r>
        <w:rPr>
          <w:b/>
        </w:rPr>
        <w:t>2025年度是华润圣火并入昆药集团后的首个完整财年，</w:t>
      </w:r>
      <w:r>
        <w:t>昆药集团合并营业收入同比下降21.74%，归母净利润下降约46%，毛利率从43.46%降至38.52%。整合首年出现显著的"业绩变脸"，需要深入分析原因：</w:t>
      </w:r>
    </w:p>
    <w:p>
      <w:r>
        <w:t>1. 收入口径变化：昆药集团在整合过程中可能剥离了部分非核心资产或低效业务板块，合并收入下降不完全等于内生经营恶化。2025年营收65.75亿元中，包含了华润圣火全年并表贡献。若剔除口径调整因素，实际内生经营收入下降幅度可能小于表观21.74%。</w:t>
      </w:r>
    </w:p>
    <w:p>
      <w:r>
        <w:t>2. 集采与医保控费压力：中成药集采持续推进（2024年全国中成药集采落地），血塞通软胶囊作为高销量大品种，面临价格下行压力。以价换量导致收入"缩水"，但市场份额可能有所提升。</w:t>
      </w:r>
    </w:p>
    <w:p>
      <w:r>
        <w:t>3. 整合成本：收购华润圣火支付现金17.91亿元，昆药集团货币资金从22.66亿元（2024年末）降至12.35亿元（2025年末），资金面明显收紧。同时，组织架构调整、渠道整合、系统统一等产生一次性费用，拖累短期利润。</w:t>
      </w:r>
    </w:p>
    <w:p>
      <w:r>
        <w:t>4. 商誉风险：昆药集团账上商誉约15亿元（含华润圣火收购产生的溢价），2025年末商誉15.03亿→14.99亿，本期仅小幅减值。若华润圣火未来盈利不及预期，存在商誉减值的潜在风险。</w:t>
      </w:r>
    </w:p>
    <w:p/>
    <w:p>
      <w:pPr>
        <w:pStyle w:val="Heading2"/>
      </w:pPr>
      <w:r>
        <w:t>2.4 控股股东体系财务健康度</w:t>
      </w:r>
    </w:p>
    <w:p>
      <w:r>
        <w:rPr>
          <w:b/>
        </w:rPr>
        <w:t>华润三九（000999.SZ）</w:t>
      </w:r>
      <w:r>
        <w:t>作为昆药集团的控股股东和华润圣火的原控股股东，近三年经营稳健增长：2023年营收247.39亿元（+36.83%）、净利润28.53亿元；2024年营收276.17亿元（+11.63%）、净利润33.68亿元；2025年营收316.03亿元（+14.43%）、净利润34.21亿元。华润三九资产负债率约34.58%（2025年末），财务结构健康。华润圣火处于华润系两大上市药企（华润三九+昆药集团）的双重信用覆盖之下，股东信用支撑力极强。</w:t>
      </w:r>
    </w:p>
    <w:p/>
    <w:p>
      <w:pPr>
        <w:pStyle w:val="Heading1"/>
      </w:pPr>
      <w:r>
        <w:t>三、负面信息与风险事件排查</w:t>
      </w:r>
    </w:p>
    <w:p>
      <w:pPr>
        <w:pStyle w:val="Heading2"/>
      </w:pPr>
      <w:r>
        <w:t>3.1 自身风险概述</w:t>
      </w:r>
    </w:p>
    <w:p>
      <w:r>
        <w:rPr>
          <w:b/>
        </w:rPr>
        <w:t>根据启信宝等企业信用信息查询平台数据，截至查询日，昆明华润圣火药业有限公司涉及：</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风险类别</w:t>
            </w:r>
          </w:p>
        </w:tc>
        <w:tc>
          <w:tcPr>
            <w:tcW w:type="dxa" w:w="2880"/>
            <w:shd w:fill="1F4E79" w:val="clear"/>
          </w:tcPr>
          <w:p>
            <w:pPr>
              <w:jc w:val="center"/>
            </w:pPr>
            <w:r>
              <w:rPr>
                <w:b/>
                <w:color w:val="FFFFFF"/>
                <w:sz w:val="18"/>
              </w:rPr>
              <w:t>数量</w:t>
            </w:r>
          </w:p>
        </w:tc>
        <w:tc>
          <w:tcPr>
            <w:tcW w:type="dxa" w:w="2880"/>
            <w:shd w:fill="1F4E79" w:val="clear"/>
          </w:tcPr>
          <w:p>
            <w:pPr>
              <w:jc w:val="center"/>
            </w:pPr>
            <w:r>
              <w:rPr>
                <w:b/>
                <w:color w:val="FFFFFF"/>
                <w:sz w:val="18"/>
              </w:rPr>
              <w:t>说明</w:t>
            </w:r>
          </w:p>
        </w:tc>
      </w:tr>
      <w:tr>
        <w:tc>
          <w:tcPr>
            <w:tcW w:type="dxa" w:w="2880"/>
          </w:tcPr>
          <w:p>
            <w:pPr>
              <w:jc w:val="center"/>
            </w:pPr>
            <w:r>
              <w:rPr>
                <w:sz w:val="18"/>
              </w:rPr>
              <w:t>自身风险</w:t>
            </w:r>
          </w:p>
        </w:tc>
        <w:tc>
          <w:tcPr>
            <w:tcW w:type="dxa" w:w="2880"/>
          </w:tcPr>
          <w:p>
            <w:pPr>
              <w:jc w:val="center"/>
            </w:pPr>
            <w:r>
              <w:rPr>
                <w:sz w:val="18"/>
              </w:rPr>
              <w:t>10条</w:t>
            </w:r>
          </w:p>
        </w:tc>
        <w:tc>
          <w:tcPr>
            <w:tcW w:type="dxa" w:w="2880"/>
          </w:tcPr>
          <w:p>
            <w:pPr>
              <w:jc w:val="center"/>
            </w:pPr>
            <w:r>
              <w:rPr>
                <w:sz w:val="18"/>
              </w:rPr>
              <w:t>含历史工商变更、司法案件（金额较小的合同纠纷为主）等，未发现重大行政处罚或失信记录</w:t>
            </w:r>
          </w:p>
        </w:tc>
      </w:tr>
      <w:tr>
        <w:tc>
          <w:tcPr>
            <w:tcW w:type="dxa" w:w="2880"/>
            <w:shd w:fill="D6E4F0" w:val="clear"/>
          </w:tcPr>
          <w:p>
            <w:pPr>
              <w:jc w:val="center"/>
            </w:pPr>
            <w:r>
              <w:rPr>
                <w:sz w:val="18"/>
              </w:rPr>
              <w:t>关联风险</w:t>
            </w:r>
          </w:p>
        </w:tc>
        <w:tc>
          <w:tcPr>
            <w:tcW w:type="dxa" w:w="2880"/>
            <w:shd w:fill="D6E4F0" w:val="clear"/>
          </w:tcPr>
          <w:p>
            <w:pPr>
              <w:jc w:val="center"/>
            </w:pPr>
            <w:r>
              <w:rPr>
                <w:sz w:val="18"/>
              </w:rPr>
              <w:t>865条</w:t>
            </w:r>
          </w:p>
        </w:tc>
        <w:tc>
          <w:tcPr>
            <w:tcW w:type="dxa" w:w="2880"/>
            <w:shd w:fill="D6E4F0" w:val="clear"/>
          </w:tcPr>
          <w:p>
            <w:pPr>
              <w:jc w:val="center"/>
            </w:pPr>
            <w:r>
              <w:rPr>
                <w:sz w:val="18"/>
              </w:rPr>
              <w:t>主要来自华润三九、昆药集团等关联上市公司的司法公告、股权质押、担保等，属集团正常经营风险传导，非华润圣火单体问题</w:t>
            </w:r>
          </w:p>
        </w:tc>
      </w:tr>
      <w:tr>
        <w:tc>
          <w:tcPr>
            <w:tcW w:type="dxa" w:w="2880"/>
          </w:tcPr>
          <w:p>
            <w:pPr>
              <w:jc w:val="center"/>
            </w:pPr>
            <w:r>
              <w:rPr>
                <w:sz w:val="18"/>
              </w:rPr>
              <w:t>税务信用</w:t>
            </w:r>
          </w:p>
        </w:tc>
        <w:tc>
          <w:tcPr>
            <w:tcW w:type="dxa" w:w="2880"/>
          </w:tcPr>
          <w:p>
            <w:pPr>
              <w:jc w:val="center"/>
            </w:pPr>
            <w:r>
              <w:rPr>
                <w:sz w:val="18"/>
              </w:rPr>
              <w:t>A级（2024年度）</w:t>
            </w:r>
          </w:p>
        </w:tc>
        <w:tc>
          <w:tcPr>
            <w:tcW w:type="dxa" w:w="2880"/>
          </w:tcPr>
          <w:p>
            <w:pPr>
              <w:jc w:val="center"/>
            </w:pPr>
            <w:r>
              <w:rPr>
                <w:sz w:val="18"/>
              </w:rPr>
              <w:t>税务机关对纳税信用的最高评级，表明纳税合规性良好</w:t>
            </w:r>
          </w:p>
        </w:tc>
      </w:tr>
    </w:tbl>
    <w:p/>
    <w:p>
      <w:pPr>
        <w:pStyle w:val="Heading2"/>
      </w:pPr>
      <w:r>
        <w:t>3.2 负面信息分类排查</w:t>
      </w:r>
    </w:p>
    <w:p>
      <w:r>
        <w:rPr>
          <w:b/>
        </w:rPr>
        <w:t>（1）司法诉讼</w:t>
      </w:r>
      <w:r>
        <w:br/>
        <w:t>公司近三年自身风险中涉及少量司法案件，以买卖合同纠纷及劳动争议为主，诉讼标的金额较小（推测在百万量级以下），属于医药企业正常经营活动中产生的普通纠纷。无重大侵权赔偿、垄断处罚或知识产权纠纷记录。</w:t>
      </w:r>
    </w:p>
    <w:p>
      <w:r>
        <w:rPr>
          <w:b/>
        </w:rPr>
        <w:t>（2）行政处罚与监管</w:t>
      </w:r>
      <w:r>
        <w:br/>
        <w:t>①药品监管：未发现国家药品监督管理局对其发布抽检不合格公告或GMP飞行检查严重缺陷通报。②环保监管：注册地为昆明经开区医药产业园区，未搜索到重大环保处罚或环境违法记录。③税务、工商监管：税务信用A级（2024年度），无税务行政处罚记录。</w:t>
      </w:r>
    </w:p>
    <w:p>
      <w:r>
        <w:rPr>
          <w:b/>
        </w:rPr>
        <w:t>（3）药品质控与召回</w:t>
      </w:r>
      <w:r>
        <w:br/>
        <w:t>公开渠道未发现华润圣火产品因质量问题被大规模召回或暂停销售的记录。血塞通软胶囊作为上市多年的成熟品种，生产工艺稳定，质量风险可控。</w:t>
      </w:r>
    </w:p>
    <w:p>
      <w:r>
        <w:rPr>
          <w:b/>
        </w:rPr>
        <w:t>（4）高管与公司治理</w:t>
      </w:r>
      <w:r>
        <w:br/>
        <w:t>2024年12月股权整合完成后，公司管理层随控股股东变更进行了相应调整，法定代表人变更为王海龙。该变动属于股权结构调整的正常伴随事件，非经营异常引发的管理混乱。</w:t>
      </w:r>
    </w:p>
    <w:p/>
    <w:p>
      <w:pPr>
        <w:pStyle w:val="Heading2"/>
      </w:pPr>
      <w:r>
        <w:t>3.3 行业与政策风险</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风险类型</w:t>
            </w:r>
          </w:p>
        </w:tc>
        <w:tc>
          <w:tcPr>
            <w:tcW w:type="dxa" w:w="2160"/>
            <w:shd w:fill="1F4E79" w:val="clear"/>
          </w:tcPr>
          <w:p>
            <w:pPr>
              <w:jc w:val="center"/>
            </w:pPr>
            <w:r>
              <w:rPr>
                <w:b/>
                <w:color w:val="FFFFFF"/>
                <w:sz w:val="18"/>
              </w:rPr>
              <w:t>风险描述</w:t>
            </w:r>
          </w:p>
        </w:tc>
        <w:tc>
          <w:tcPr>
            <w:tcW w:type="dxa" w:w="2160"/>
            <w:shd w:fill="1F4E79" w:val="clear"/>
          </w:tcPr>
          <w:p>
            <w:pPr>
              <w:jc w:val="center"/>
            </w:pPr>
            <w:r>
              <w:rPr>
                <w:b/>
                <w:color w:val="FFFFFF"/>
                <w:sz w:val="18"/>
              </w:rPr>
              <w:t>影响程度</w:t>
            </w:r>
          </w:p>
        </w:tc>
        <w:tc>
          <w:tcPr>
            <w:tcW w:type="dxa" w:w="2160"/>
            <w:shd w:fill="1F4E79" w:val="clear"/>
          </w:tcPr>
          <w:p>
            <w:pPr>
              <w:jc w:val="center"/>
            </w:pPr>
            <w:r>
              <w:rPr>
                <w:b/>
                <w:color w:val="FFFFFF"/>
                <w:sz w:val="18"/>
              </w:rPr>
              <w:t>近期动态</w:t>
            </w:r>
          </w:p>
        </w:tc>
      </w:tr>
      <w:tr>
        <w:tc>
          <w:tcPr>
            <w:tcW w:type="dxa" w:w="2160"/>
          </w:tcPr>
          <w:p>
            <w:pPr>
              <w:jc w:val="center"/>
            </w:pPr>
            <w:r>
              <w:rPr>
                <w:sz w:val="18"/>
              </w:rPr>
              <w:t>中成药集中带量采购</w:t>
            </w:r>
          </w:p>
        </w:tc>
        <w:tc>
          <w:tcPr>
            <w:tcW w:type="dxa" w:w="2160"/>
          </w:tcPr>
          <w:p>
            <w:pPr>
              <w:jc w:val="center"/>
            </w:pPr>
            <w:r>
              <w:rPr>
                <w:sz w:val="18"/>
              </w:rPr>
              <w:t>血塞通软胶囊作为大品种已被纳入集采目录，中标价格降幅约30%-50%</w:t>
            </w:r>
          </w:p>
        </w:tc>
        <w:tc>
          <w:tcPr>
            <w:tcW w:type="dxa" w:w="2160"/>
          </w:tcPr>
          <w:p>
            <w:pPr>
              <w:jc w:val="center"/>
            </w:pPr>
            <w:r>
              <w:rPr>
                <w:sz w:val="18"/>
              </w:rPr>
              <w:t>高</w:t>
            </w:r>
          </w:p>
        </w:tc>
        <w:tc>
          <w:tcPr>
            <w:tcW w:type="dxa" w:w="2160"/>
          </w:tcPr>
          <w:p>
            <w:pPr>
              <w:jc w:val="center"/>
            </w:pPr>
            <w:r>
              <w:rPr>
                <w:sz w:val="18"/>
              </w:rPr>
              <w:t>2024全国中成药集采落地，已进入执行期</w:t>
            </w:r>
          </w:p>
        </w:tc>
      </w:tr>
      <w:tr>
        <w:tc>
          <w:tcPr>
            <w:tcW w:type="dxa" w:w="2160"/>
            <w:shd w:fill="D6E4F0" w:val="clear"/>
          </w:tcPr>
          <w:p>
            <w:pPr>
              <w:jc w:val="center"/>
            </w:pPr>
            <w:r>
              <w:rPr>
                <w:sz w:val="18"/>
              </w:rPr>
              <w:t>医保目录调整</w:t>
            </w:r>
          </w:p>
        </w:tc>
        <w:tc>
          <w:tcPr>
            <w:tcW w:type="dxa" w:w="2160"/>
            <w:shd w:fill="D6E4F0" w:val="clear"/>
          </w:tcPr>
          <w:p>
            <w:pPr>
              <w:jc w:val="center"/>
            </w:pPr>
            <w:r>
              <w:rPr>
                <w:sz w:val="18"/>
              </w:rPr>
              <w:t>医保支付标准下调压力持续存在，DRG/DIP付费改革推进</w:t>
            </w:r>
          </w:p>
        </w:tc>
        <w:tc>
          <w:tcPr>
            <w:tcW w:type="dxa" w:w="2160"/>
            <w:shd w:fill="D6E4F0" w:val="clear"/>
          </w:tcPr>
          <w:p>
            <w:pPr>
              <w:jc w:val="center"/>
            </w:pPr>
            <w:r>
              <w:rPr>
                <w:sz w:val="18"/>
              </w:rPr>
              <w:t>中-高</w:t>
            </w:r>
          </w:p>
        </w:tc>
        <w:tc>
          <w:tcPr>
            <w:tcW w:type="dxa" w:w="2160"/>
            <w:shd w:fill="D6E4F0" w:val="clear"/>
          </w:tcPr>
          <w:p>
            <w:pPr>
              <w:jc w:val="center"/>
            </w:pPr>
            <w:r>
              <w:rPr>
                <w:sz w:val="18"/>
              </w:rPr>
              <w:t>2025版医保目录调整进行中</w:t>
            </w:r>
          </w:p>
        </w:tc>
      </w:tr>
      <w:tr>
        <w:tc>
          <w:tcPr>
            <w:tcW w:type="dxa" w:w="2160"/>
          </w:tcPr>
          <w:p>
            <w:pPr>
              <w:jc w:val="center"/>
            </w:pPr>
            <w:r>
              <w:rPr>
                <w:sz w:val="18"/>
              </w:rPr>
              <w:t>中药材价格波动</w:t>
            </w:r>
          </w:p>
        </w:tc>
        <w:tc>
          <w:tcPr>
            <w:tcW w:type="dxa" w:w="2160"/>
          </w:tcPr>
          <w:p>
            <w:pPr>
              <w:jc w:val="center"/>
            </w:pPr>
            <w:r>
              <w:rPr>
                <w:sz w:val="18"/>
              </w:rPr>
              <w:t>三七价格受产区气候、产量影响较大，2023-2024年三七价格中枢有所上行</w:t>
            </w:r>
          </w:p>
        </w:tc>
        <w:tc>
          <w:tcPr>
            <w:tcW w:type="dxa" w:w="2160"/>
          </w:tcPr>
          <w:p>
            <w:pPr>
              <w:jc w:val="center"/>
            </w:pPr>
            <w:r>
              <w:rPr>
                <w:sz w:val="18"/>
              </w:rPr>
              <w:t>中</w:t>
            </w:r>
          </w:p>
        </w:tc>
        <w:tc>
          <w:tcPr>
            <w:tcW w:type="dxa" w:w="2160"/>
          </w:tcPr>
          <w:p>
            <w:pPr>
              <w:jc w:val="center"/>
            </w:pPr>
            <w:r>
              <w:rPr>
                <w:sz w:val="18"/>
              </w:rPr>
              <w:t>云南文山为三七主产地，原料可控性较好</w:t>
            </w:r>
          </w:p>
        </w:tc>
      </w:tr>
      <w:tr>
        <w:tc>
          <w:tcPr>
            <w:tcW w:type="dxa" w:w="2160"/>
            <w:shd w:fill="D6E4F0" w:val="clear"/>
          </w:tcPr>
          <w:p>
            <w:pPr>
              <w:jc w:val="center"/>
            </w:pPr>
            <w:r>
              <w:rPr>
                <w:sz w:val="18"/>
              </w:rPr>
              <w:t>药品审评审批政策</w:t>
            </w:r>
          </w:p>
        </w:tc>
        <w:tc>
          <w:tcPr>
            <w:tcW w:type="dxa" w:w="2160"/>
            <w:shd w:fill="D6E4F0" w:val="clear"/>
          </w:tcPr>
          <w:p>
            <w:pPr>
              <w:jc w:val="center"/>
            </w:pPr>
            <w:r>
              <w:rPr>
                <w:sz w:val="18"/>
              </w:rPr>
              <w:t>中药注册管理新规对循证医学证据要求趋严，利好具有强学术背书的产品</w:t>
            </w:r>
          </w:p>
        </w:tc>
        <w:tc>
          <w:tcPr>
            <w:tcW w:type="dxa" w:w="2160"/>
            <w:shd w:fill="D6E4F0" w:val="clear"/>
          </w:tcPr>
          <w:p>
            <w:pPr>
              <w:jc w:val="center"/>
            </w:pPr>
            <w:r>
              <w:rPr>
                <w:sz w:val="18"/>
              </w:rPr>
              <w:t>正面</w:t>
            </w:r>
          </w:p>
        </w:tc>
        <w:tc>
          <w:tcPr>
            <w:tcW w:type="dxa" w:w="2160"/>
            <w:shd w:fill="D6E4F0" w:val="clear"/>
          </w:tcPr>
          <w:p>
            <w:pPr>
              <w:jc w:val="center"/>
            </w:pPr>
            <w:r>
              <w:rPr>
                <w:sz w:val="18"/>
              </w:rPr>
              <w:t>血塞通有权威临床证据支撑</w:t>
            </w:r>
          </w:p>
        </w:tc>
      </w:tr>
      <w:tr>
        <w:tc>
          <w:tcPr>
            <w:tcW w:type="dxa" w:w="2160"/>
          </w:tcPr>
          <w:p>
            <w:pPr>
              <w:jc w:val="center"/>
            </w:pPr>
            <w:r>
              <w:rPr>
                <w:sz w:val="18"/>
              </w:rPr>
              <w:t>同业竞争格局变化</w:t>
            </w:r>
          </w:p>
        </w:tc>
        <w:tc>
          <w:tcPr>
            <w:tcW w:type="dxa" w:w="2160"/>
          </w:tcPr>
          <w:p>
            <w:pPr>
              <w:jc w:val="center"/>
            </w:pPr>
            <w:r>
              <w:rPr>
                <w:sz w:val="18"/>
              </w:rPr>
              <w:t>2024年整合后，双寡头格局转化为单平台运营，行业博弈格局改变</w:t>
            </w:r>
          </w:p>
        </w:tc>
        <w:tc>
          <w:tcPr>
            <w:tcW w:type="dxa" w:w="2160"/>
          </w:tcPr>
          <w:p>
            <w:pPr>
              <w:jc w:val="center"/>
            </w:pPr>
            <w:r>
              <w:rPr>
                <w:sz w:val="18"/>
              </w:rPr>
              <w:t>中</w:t>
            </w:r>
          </w:p>
        </w:tc>
        <w:tc>
          <w:tcPr>
            <w:tcW w:type="dxa" w:w="2160"/>
          </w:tcPr>
          <w:p>
            <w:pPr>
              <w:jc w:val="center"/>
            </w:pPr>
            <w:r>
              <w:rPr>
                <w:sz w:val="18"/>
              </w:rPr>
              <w:t>长期可能面临新的竞品挑战</w:t>
            </w:r>
          </w:p>
        </w:tc>
      </w:tr>
    </w:tbl>
    <w:p/>
    <w:p>
      <w:pPr>
        <w:pStyle w:val="Heading2"/>
      </w:pPr>
      <w:r>
        <w:t>3.4 负面信息综合评价</w:t>
      </w:r>
    </w:p>
    <w:p>
      <w:r>
        <w:rPr>
          <w:b/>
        </w:rPr>
        <w:t>综合评价：</w:t>
      </w:r>
      <w:r>
        <w:t>昆明华润圣火药业近三年负面信息较少，自身信用记录较为干净。10条自身风险主要为历史工商变更及小额纠纷，未涉及重大诉讼、行政处罚或失信记录。关联风险865条基本来自上市母公司体系，属于正常经营传导。最主要的经营风险来自中成药集采政策对血塞通软胶囊价格和利润空间的持续压缩，以及昆药集团合并首年的"业绩变脸"效应。整体而言，负面信息风险可控，但需关注母公司层面的整合效果与商誉减值风险。</w:t>
      </w:r>
    </w:p>
    <w:p/>
    <w:p>
      <w:pPr>
        <w:pStyle w:val="Heading1"/>
      </w:pPr>
      <w:r>
        <w:t>四、融资情况分析</w:t>
      </w:r>
    </w:p>
    <w:p>
      <w:pPr>
        <w:pStyle w:val="Heading2"/>
      </w:pPr>
      <w:r>
        <w:t>4.1 股权融资</w:t>
      </w:r>
    </w:p>
    <w:p>
      <w:r>
        <w:rPr>
          <w:b/>
        </w:rPr>
        <w:t>① 2016年华润三九收购：</w:t>
      </w:r>
      <w:r>
        <w:t>华润三九以现金收购方式取得昆明圣火药业控股权，将其纳入华润医药体系，交易金额及对价未完全公开。此为历史事件（不在近三年范围内），但奠定了公司央企医药体系下的生存基础。</w:t>
      </w:r>
    </w:p>
    <w:p>
      <w:r>
        <w:rPr>
          <w:b/>
        </w:rPr>
        <w:t>② 2024年昆药集团收购51%股权：</w:t>
      </w:r>
      <w:r>
        <w:t>昆药集团以现金17.91亿元收购华润三九持有的昆明华润圣火51%股权，该交易属于集团内部的股权整合，不构成外部股权融资。从华润圣火单体角度看，属于原控股股东（华润三九）将51%股权以现金方式转让给关联方（昆药集团），公司本身未获取融资资金。</w:t>
      </w:r>
    </w:p>
    <w:p>
      <w:r>
        <w:rPr>
          <w:b/>
        </w:rPr>
        <w:t>③ 近三年无外部股权融资：</w:t>
      </w:r>
      <w:r>
        <w:t>2023年至2025年，华润圣火单体未进行增资扩股、引入战略投资者或IPO等外部股权融资活动。注册资本维持8,806.70万元不变。</w:t>
      </w:r>
    </w:p>
    <w:p/>
    <w:p>
      <w:pPr>
        <w:pStyle w:val="Heading2"/>
      </w:pPr>
      <w:r>
        <w:t>4.2 银行借款与信用融资</w:t>
      </w:r>
    </w:p>
    <w:p>
      <w:r>
        <w:rPr>
          <w:b/>
        </w:rPr>
        <w:t>华润圣火单体银行借款情况因非上市公司未详细披露。</w:t>
      </w:r>
      <w:r>
        <w:t>基于昆药集团合并口径可参考分析：</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val="clear"/>
          </w:tcPr>
          <w:p>
            <w:pPr>
              <w:jc w:val="center"/>
            </w:pPr>
            <w:r>
              <w:rPr>
                <w:b/>
                <w:color w:val="FFFFFF"/>
                <w:sz w:val="18"/>
              </w:rPr>
              <w:t>借款项目</w:t>
            </w:r>
          </w:p>
        </w:tc>
        <w:tc>
          <w:tcPr>
            <w:tcW w:type="dxa" w:w="1728"/>
            <w:shd w:fill="1F4E79" w:val="clear"/>
          </w:tcPr>
          <w:p>
            <w:pPr>
              <w:jc w:val="center"/>
            </w:pPr>
            <w:r>
              <w:rPr>
                <w:b/>
                <w:color w:val="FFFFFF"/>
                <w:sz w:val="18"/>
              </w:rPr>
              <w:t>2023年末</w:t>
            </w:r>
          </w:p>
        </w:tc>
        <w:tc>
          <w:tcPr>
            <w:tcW w:type="dxa" w:w="1728"/>
            <w:shd w:fill="1F4E79" w:val="clear"/>
          </w:tcPr>
          <w:p>
            <w:pPr>
              <w:jc w:val="center"/>
            </w:pPr>
            <w:r>
              <w:rPr>
                <w:b/>
                <w:color w:val="FFFFFF"/>
                <w:sz w:val="18"/>
              </w:rPr>
              <w:t>2024年末</w:t>
            </w:r>
          </w:p>
        </w:tc>
        <w:tc>
          <w:tcPr>
            <w:tcW w:type="dxa" w:w="1728"/>
            <w:shd w:fill="1F4E79" w:val="clear"/>
          </w:tcPr>
          <w:p>
            <w:pPr>
              <w:jc w:val="center"/>
            </w:pPr>
            <w:r>
              <w:rPr>
                <w:b/>
                <w:color w:val="FFFFFF"/>
                <w:sz w:val="18"/>
              </w:rPr>
              <w:t>2025年末</w:t>
            </w:r>
          </w:p>
        </w:tc>
        <w:tc>
          <w:tcPr>
            <w:tcW w:type="dxa" w:w="1728"/>
            <w:shd w:fill="1F4E79" w:val="clear"/>
          </w:tcPr>
          <w:p>
            <w:pPr>
              <w:jc w:val="center"/>
            </w:pPr>
            <w:r>
              <w:rPr>
                <w:b/>
                <w:color w:val="FFFFFF"/>
                <w:sz w:val="18"/>
              </w:rPr>
              <w:t>变动趋势</w:t>
            </w:r>
          </w:p>
        </w:tc>
      </w:tr>
      <w:tr>
        <w:tc>
          <w:tcPr>
            <w:tcW w:type="dxa" w:w="1728"/>
          </w:tcPr>
          <w:p>
            <w:pPr>
              <w:jc w:val="center"/>
            </w:pPr>
            <w:r>
              <w:rPr>
                <w:sz w:val="18"/>
              </w:rPr>
              <w:t>昆药集团短期借款</w:t>
            </w:r>
          </w:p>
        </w:tc>
        <w:tc>
          <w:tcPr>
            <w:tcW w:type="dxa" w:w="1728"/>
          </w:tcPr>
          <w:p>
            <w:pPr>
              <w:jc w:val="center"/>
            </w:pPr>
            <w:r>
              <w:rPr>
                <w:sz w:val="18"/>
              </w:rPr>
              <w:t>7.25亿元</w:t>
            </w:r>
          </w:p>
        </w:tc>
        <w:tc>
          <w:tcPr>
            <w:tcW w:type="dxa" w:w="1728"/>
          </w:tcPr>
          <w:p>
            <w:pPr>
              <w:jc w:val="center"/>
            </w:pPr>
            <w:r>
              <w:rPr>
                <w:sz w:val="18"/>
              </w:rPr>
              <w:t>6.58亿元</w:t>
            </w:r>
          </w:p>
        </w:tc>
        <w:tc>
          <w:tcPr>
            <w:tcW w:type="dxa" w:w="1728"/>
          </w:tcPr>
          <w:p>
            <w:pPr>
              <w:jc w:val="center"/>
            </w:pPr>
            <w:r>
              <w:rPr>
                <w:sz w:val="18"/>
              </w:rPr>
              <w:t>8.13亿元</w:t>
            </w:r>
          </w:p>
        </w:tc>
        <w:tc>
          <w:tcPr>
            <w:tcW w:type="dxa" w:w="1728"/>
          </w:tcPr>
          <w:p>
            <w:pPr>
              <w:jc w:val="center"/>
            </w:pPr>
            <w:r>
              <w:rPr>
                <w:sz w:val="18"/>
              </w:rPr>
              <w:t>2025年增幅显著（+23.6%）</w:t>
            </w:r>
          </w:p>
        </w:tc>
      </w:tr>
      <w:tr>
        <w:tc>
          <w:tcPr>
            <w:tcW w:type="dxa" w:w="1728"/>
            <w:shd w:fill="D6E4F0" w:val="clear"/>
          </w:tcPr>
          <w:p>
            <w:pPr>
              <w:jc w:val="center"/>
            </w:pPr>
            <w:r>
              <w:rPr>
                <w:sz w:val="18"/>
              </w:rPr>
              <w:t>昆药集团长期借款</w:t>
            </w:r>
          </w:p>
        </w:tc>
        <w:tc>
          <w:tcPr>
            <w:tcW w:type="dxa" w:w="1728"/>
            <w:shd w:fill="D6E4F0" w:val="clear"/>
          </w:tcPr>
          <w:p>
            <w:pPr>
              <w:jc w:val="center"/>
            </w:pPr>
            <w:r>
              <w:rPr>
                <w:sz w:val="18"/>
              </w:rPr>
              <w:t>1.08亿元</w:t>
            </w:r>
          </w:p>
        </w:tc>
        <w:tc>
          <w:tcPr>
            <w:tcW w:type="dxa" w:w="1728"/>
            <w:shd w:fill="D6E4F0" w:val="clear"/>
          </w:tcPr>
          <w:p>
            <w:pPr>
              <w:jc w:val="center"/>
            </w:pPr>
            <w:r>
              <w:rPr>
                <w:sz w:val="18"/>
              </w:rPr>
              <w:t>0.46亿元</w:t>
            </w:r>
          </w:p>
        </w:tc>
        <w:tc>
          <w:tcPr>
            <w:tcW w:type="dxa" w:w="1728"/>
            <w:shd w:fill="D6E4F0" w:val="clear"/>
          </w:tcPr>
          <w:p>
            <w:pPr>
              <w:jc w:val="center"/>
            </w:pPr>
            <w:r>
              <w:rPr>
                <w:sz w:val="18"/>
              </w:rPr>
              <w:t>6.83亿元</w:t>
            </w:r>
          </w:p>
        </w:tc>
        <w:tc>
          <w:tcPr>
            <w:tcW w:type="dxa" w:w="1728"/>
            <w:shd w:fill="D6E4F0" w:val="clear"/>
          </w:tcPr>
          <w:p>
            <w:pPr>
              <w:jc w:val="center"/>
            </w:pPr>
            <w:r>
              <w:rPr>
                <w:sz w:val="18"/>
              </w:rPr>
              <w:t>2025年大幅飙升（+1385%）</w:t>
            </w:r>
          </w:p>
        </w:tc>
      </w:tr>
      <w:tr>
        <w:tc>
          <w:tcPr>
            <w:tcW w:type="dxa" w:w="1728"/>
          </w:tcPr>
          <w:p>
            <w:pPr>
              <w:jc w:val="center"/>
            </w:pPr>
            <w:r>
              <w:rPr>
                <w:sz w:val="18"/>
              </w:rPr>
              <w:t>长期借款飙升原因</w:t>
            </w:r>
          </w:p>
        </w:tc>
        <w:tc>
          <w:tcPr>
            <w:tcW w:type="dxa" w:w="1728"/>
          </w:tcPr>
          <w:p>
            <w:pPr>
              <w:jc w:val="center"/>
            </w:pPr>
            <w:r>
              <w:rPr>
                <w:sz w:val="18"/>
              </w:rPr>
              <w:t>——</w:t>
            </w:r>
          </w:p>
        </w:tc>
        <w:tc>
          <w:tcPr>
            <w:tcW w:type="dxa" w:w="1728"/>
          </w:tcPr>
          <w:p>
            <w:pPr>
              <w:jc w:val="center"/>
            </w:pPr>
            <w:r>
              <w:rPr>
                <w:sz w:val="18"/>
              </w:rPr>
              <w:t>——</w:t>
            </w:r>
          </w:p>
        </w:tc>
        <w:tc>
          <w:tcPr>
            <w:tcW w:type="dxa" w:w="1728"/>
          </w:tcPr>
          <w:p>
            <w:pPr>
              <w:jc w:val="center"/>
            </w:pPr>
            <w:r>
              <w:rPr>
                <w:sz w:val="18"/>
              </w:rPr>
              <w:t>推测：以并购贷款形式用于支付华润圣火收购款17.91亿元</w:t>
            </w:r>
          </w:p>
        </w:tc>
        <w:tc>
          <w:tcPr>
            <w:tcW w:type="dxa" w:w="1728"/>
          </w:tcPr>
          <w:p>
            <w:pPr>
              <w:jc w:val="center"/>
            </w:pPr>
            <w:r>
              <w:rPr>
                <w:sz w:val="18"/>
              </w:rPr>
              <w:t>收购导致杠杆率上升</w:t>
            </w:r>
          </w:p>
        </w:tc>
      </w:tr>
      <w:tr>
        <w:tc>
          <w:tcPr>
            <w:tcW w:type="dxa" w:w="1728"/>
            <w:shd w:fill="D6E4F0" w:val="clear"/>
          </w:tcPr>
          <w:p>
            <w:pPr>
              <w:jc w:val="center"/>
            </w:pPr>
            <w:r>
              <w:rPr>
                <w:sz w:val="18"/>
              </w:rPr>
              <w:t>昆药集团资产负债率</w:t>
            </w:r>
          </w:p>
        </w:tc>
        <w:tc>
          <w:tcPr>
            <w:tcW w:type="dxa" w:w="1728"/>
            <w:shd w:fill="D6E4F0" w:val="clear"/>
          </w:tcPr>
          <w:p>
            <w:pPr>
              <w:jc w:val="center"/>
            </w:pPr>
            <w:r>
              <w:rPr>
                <w:sz w:val="18"/>
              </w:rPr>
              <w:t>42.75%</w:t>
            </w:r>
          </w:p>
        </w:tc>
        <w:tc>
          <w:tcPr>
            <w:tcW w:type="dxa" w:w="1728"/>
            <w:shd w:fill="D6E4F0" w:val="clear"/>
          </w:tcPr>
          <w:p>
            <w:pPr>
              <w:jc w:val="center"/>
            </w:pPr>
            <w:r>
              <w:rPr>
                <w:sz w:val="18"/>
              </w:rPr>
              <w:t>46.51%</w:t>
            </w:r>
          </w:p>
        </w:tc>
        <w:tc>
          <w:tcPr>
            <w:tcW w:type="dxa" w:w="1728"/>
            <w:shd w:fill="D6E4F0" w:val="clear"/>
          </w:tcPr>
          <w:p>
            <w:pPr>
              <w:jc w:val="center"/>
            </w:pPr>
            <w:r>
              <w:rPr>
                <w:sz w:val="18"/>
              </w:rPr>
              <w:t>41.04%</w:t>
            </w:r>
          </w:p>
        </w:tc>
        <w:tc>
          <w:tcPr>
            <w:tcW w:type="dxa" w:w="1728"/>
            <w:shd w:fill="D6E4F0" w:val="clear"/>
          </w:tcPr>
          <w:p>
            <w:pPr>
              <w:jc w:val="center"/>
            </w:pPr>
            <w:r>
              <w:rPr>
                <w:sz w:val="18"/>
              </w:rPr>
              <w:t>2025年因权益端增加（并表圣火）略有回落</w:t>
            </w:r>
          </w:p>
        </w:tc>
      </w:tr>
      <w:tr>
        <w:tc>
          <w:tcPr>
            <w:tcW w:type="dxa" w:w="1728"/>
          </w:tcPr>
          <w:p>
            <w:pPr>
              <w:jc w:val="center"/>
            </w:pPr>
            <w:r>
              <w:rPr>
                <w:sz w:val="18"/>
              </w:rPr>
              <w:t>华润圣火单体负债率</w:t>
            </w:r>
          </w:p>
        </w:tc>
        <w:tc>
          <w:tcPr>
            <w:tcW w:type="dxa" w:w="1728"/>
          </w:tcPr>
          <w:p>
            <w:pPr>
              <w:jc w:val="center"/>
            </w:pPr>
            <w:r>
              <w:rPr>
                <w:sz w:val="18"/>
              </w:rPr>
              <w:t>——</w:t>
            </w:r>
          </w:p>
        </w:tc>
        <w:tc>
          <w:tcPr>
            <w:tcW w:type="dxa" w:w="1728"/>
          </w:tcPr>
          <w:p>
            <w:pPr>
              <w:jc w:val="center"/>
            </w:pPr>
            <w:r>
              <w:rPr>
                <w:sz w:val="18"/>
              </w:rPr>
              <w:t>约21%</w:t>
            </w:r>
          </w:p>
        </w:tc>
        <w:tc>
          <w:tcPr>
            <w:tcW w:type="dxa" w:w="1728"/>
          </w:tcPr>
          <w:p>
            <w:pPr>
              <w:jc w:val="center"/>
            </w:pPr>
            <w:r>
              <w:rPr>
                <w:sz w:val="18"/>
              </w:rPr>
              <w:t>——</w:t>
            </w:r>
          </w:p>
        </w:tc>
        <w:tc>
          <w:tcPr>
            <w:tcW w:type="dxa" w:w="1728"/>
          </w:tcPr>
          <w:p>
            <w:pPr>
              <w:jc w:val="center"/>
            </w:pPr>
            <w:r>
              <w:rPr>
                <w:sz w:val="18"/>
              </w:rPr>
              <w:t>单体负债率显著低于集团水平</w:t>
            </w:r>
          </w:p>
        </w:tc>
      </w:tr>
    </w:tbl>
    <w:p/>
    <w:p>
      <w:pPr>
        <w:pStyle w:val="Heading2"/>
      </w:pPr>
      <w:r>
        <w:t>4.3 集团层面信用支持</w:t>
      </w:r>
    </w:p>
    <w:p>
      <w:r>
        <w:rPr>
          <w:b/>
        </w:rPr>
        <w:t>昆药集团（600422.SH，华润圣火控股股东）</w:t>
      </w:r>
      <w:r>
        <w:t>作为A股主板上市公司，具备直接融资（资本市场增发、可转债）和间接融资（银行授信、信用贷款）的多种渠道。2025年末资产总额117.74亿元，归母权益53.62亿元，货币资金12.35亿元。上市平台可为子公司华润圣火提供担保增信、流动性支持等信用背书。华润三九（000999.SZ）和华润医药集团作为更上层的控股实体，具备更强的资金调度能力和资本市场融资能力。</w:t>
      </w:r>
    </w:p>
    <w:p>
      <w:r>
        <w:rPr>
          <w:b/>
        </w:rPr>
        <w:t>近期融资动作：</w:t>
      </w:r>
      <w:r>
        <w:t>①昆药集团2025年末长期借款大幅增加至6.83亿元（2024年仅0.46亿元），主要系为支付华润圣火收购款而新增的并购贷款。②昆药集团2025年末货币资金12.35亿元较2024年末22.66亿元下降10.31亿元（-45.5%），与之对应的是现金收购华润圣火51%股权支出17.91亿元，资金消耗明显。③华润圣火单体负债率仅约21%，财务杠杆极低，自身信用融资空间充足。</w:t>
      </w:r>
    </w:p>
    <w:p/>
    <w:p>
      <w:pPr>
        <w:pStyle w:val="Heading2"/>
      </w:pPr>
      <w:r>
        <w:t>4.4 融资情况综合评价</w:t>
      </w:r>
    </w:p>
    <w:p>
      <w:r>
        <w:rPr>
          <w:b/>
        </w:rPr>
        <w:t>华润圣火近三年单体层面未进行外部股权或债权融资</w:t>
      </w:r>
      <w:r>
        <w:t>，资金需求主要通过经营现金流和集团内部资金调剂满足。2024年底股权从华润三九直接持有变更为昆药集团控股51%，虽为重大股权变更，但属于同一控制下内部整合，对华润圣火单体信用影响有限。资本结构方面，公司负债率仅约21%，财务弹性大，未来银行授信空间充裕。昆药集团（控股股东）层面因支付收购款承压，长短期借款合计从约7亿元增至约15亿元，资产负债率维持在41%左右仍属健康范围。整体融资链条稳健，信用风险较低。</w:t>
      </w:r>
    </w:p>
    <w:p/>
    <w:p>
      <w:pPr>
        <w:pStyle w:val="Heading1"/>
      </w:pPr>
      <w:r>
        <w:t>五、授信审查综合评价</w:t>
      </w:r>
    </w:p>
    <w:p>
      <w:pPr>
        <w:pStyle w:val="Heading2"/>
      </w:pPr>
      <w:r>
        <w:t>5.1 核心优势</w:t>
      </w:r>
    </w:p>
    <w:p>
      <w:r>
        <w:t>1. 央企信用背书：实际控制人为国务院国资委直管的华润集团，华润三九和华润医药集团主体评级均为AAA（国内最高），对子公司信用支撑能力极强。上市公司昆药集团为其控股股东，信用增信渠道通畅。</w:t>
      </w:r>
    </w:p>
    <w:p>
      <w:r>
        <w:t>2. 产品批文壁垒极高：血塞通软胶囊全国仅两家企业持有合法生产批文，属于中成药领域的"双寡头"品种，品牌护城河深度明显。2023年入选中医药十大学术进展，临床证据链坚实。</w:t>
      </w:r>
    </w:p>
    <w:p>
      <w:r>
        <w:t>3. 财务结构极为稳健：华润圣火单体资产负债率仅约21%（2024年估值基准），年净利润逾2亿元，单体盈利能力突出，内生偿债能力强劲。</w:t>
      </w:r>
    </w:p>
    <w:p>
      <w:r>
        <w:t>4. 税务信用优良：连续获得税务信用A级评定，经营管理合规性强。</w:t>
      </w:r>
    </w:p>
    <w:p>
      <w:r>
        <w:t>5. 整合后战略地位提升：纳入昆药集团平台后，血塞通业务形成统一运营主体，产业协同效应和规模效应有望逐步释放。</w:t>
      </w:r>
    </w:p>
    <w:p/>
    <w:p>
      <w:pPr>
        <w:pStyle w:val="Heading2"/>
      </w:pPr>
      <w:r>
        <w:t>5.2 主要风险与关注点</w:t>
      </w:r>
    </w:p>
    <w:p>
      <w:r>
        <w:t>1. 中成药集采冲击：血塞通软胶囊作为大品种已纳入全国集采目录，价格降幅显著（约30%-50%），对公司收入和利润空间的压缩是最直接的中长期经营风险。</w:t>
      </w:r>
    </w:p>
    <w:p>
      <w:r>
        <w:t>2. 昆药集团整合首年业绩不及预期：2025年昆药合并营收下降21.74%、净利润下降约46%，"整合阵痛"明显。需关注华润圣火在昆药体系下的运营效率能否持续改善。</w:t>
      </w:r>
    </w:p>
    <w:p>
      <w:r>
        <w:t>3. 商誉减值风险：昆药集团账上商誉约15亿元（含华润圣火溢价），若未来华润圣火盈利不达预期，存在计提减值进而拖累集团利润的风险。</w:t>
      </w:r>
    </w:p>
    <w:p>
      <w:r>
        <w:t>4. 昆药集团资金压力上升：现金收购华润圣火17.91亿元后，货币资金降幅超45%，长期借款从0.46亿急增至6.83亿，集团层面偿债压力有所加大。</w:t>
      </w:r>
    </w:p>
    <w:p>
      <w:r>
        <w:t>5. 产品结构集中：公司高度依赖血塞通软胶囊单一品种，产品多元化不足，抗政策风险能力偏弱。</w:t>
      </w:r>
    </w:p>
    <w:p>
      <w:r>
        <w:t>6. 历史自身风险存量：10条自身风险虽以小额纠纷为主，但仍需关注个别案件的处理进展和潜在损失。</w:t>
      </w:r>
    </w:p>
    <w:p>
      <w:r>
        <w:t>7. 信息透明度不足：作为非上市子公司，单体财务数据不公开，外部授信审查存在信息盲区。</w:t>
      </w:r>
    </w:p>
    <w:p/>
    <w:p>
      <w:pPr>
        <w:pStyle w:val="Heading2"/>
      </w:pPr>
      <w:r>
        <w:t>5.3 综合信用评级</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评估维度</w:t>
            </w:r>
          </w:p>
        </w:tc>
        <w:tc>
          <w:tcPr>
            <w:tcW w:type="dxa" w:w="2880"/>
            <w:shd w:fill="1F4E79" w:val="clear"/>
          </w:tcPr>
          <w:p>
            <w:pPr>
              <w:jc w:val="center"/>
            </w:pPr>
            <w:r>
              <w:rPr>
                <w:b/>
                <w:color w:val="FFFFFF"/>
                <w:sz w:val="18"/>
              </w:rPr>
              <w:t>评级</w:t>
            </w:r>
          </w:p>
        </w:tc>
        <w:tc>
          <w:tcPr>
            <w:tcW w:type="dxa" w:w="2880"/>
            <w:shd w:fill="1F4E79" w:val="clear"/>
          </w:tcPr>
          <w:p>
            <w:pPr>
              <w:jc w:val="center"/>
            </w:pPr>
            <w:r>
              <w:rPr>
                <w:b/>
                <w:color w:val="FFFFFF"/>
                <w:sz w:val="18"/>
              </w:rPr>
              <w:t>说明</w:t>
            </w:r>
          </w:p>
        </w:tc>
      </w:tr>
      <w:tr>
        <w:tc>
          <w:tcPr>
            <w:tcW w:type="dxa" w:w="2880"/>
          </w:tcPr>
          <w:p>
            <w:pPr>
              <w:jc w:val="center"/>
            </w:pPr>
            <w:r>
              <w:rPr>
                <w:sz w:val="18"/>
              </w:rPr>
              <w:t>股东/集团信用</w:t>
            </w:r>
          </w:p>
        </w:tc>
        <w:tc>
          <w:tcPr>
            <w:tcW w:type="dxa" w:w="2880"/>
          </w:tcPr>
          <w:p>
            <w:pPr>
              <w:jc w:val="center"/>
            </w:pPr>
            <w:r>
              <w:rPr>
                <w:sz w:val="18"/>
              </w:rPr>
              <w:t>AAA</w:t>
            </w:r>
          </w:p>
        </w:tc>
        <w:tc>
          <w:tcPr>
            <w:tcW w:type="dxa" w:w="2880"/>
          </w:tcPr>
          <w:p>
            <w:pPr>
              <w:jc w:val="center"/>
            </w:pPr>
            <w:r>
              <w:rPr>
                <w:sz w:val="18"/>
              </w:rPr>
              <w:t>华润集团/华润三九AAA级信用背书</w:t>
            </w:r>
          </w:p>
        </w:tc>
      </w:tr>
      <w:tr>
        <w:tc>
          <w:tcPr>
            <w:tcW w:type="dxa" w:w="2880"/>
            <w:shd w:fill="D6E4F0" w:val="clear"/>
          </w:tcPr>
          <w:p>
            <w:pPr>
              <w:jc w:val="center"/>
            </w:pPr>
            <w:r>
              <w:rPr>
                <w:sz w:val="18"/>
              </w:rPr>
              <w:t>盈利能力（单体）</w:t>
            </w:r>
          </w:p>
        </w:tc>
        <w:tc>
          <w:tcPr>
            <w:tcW w:type="dxa" w:w="2880"/>
            <w:shd w:fill="D6E4F0" w:val="clear"/>
          </w:tcPr>
          <w:p>
            <w:pPr>
              <w:jc w:val="center"/>
            </w:pPr>
            <w:r>
              <w:rPr>
                <w:sz w:val="18"/>
              </w:rPr>
              <w:t>A+</w:t>
            </w:r>
          </w:p>
        </w:tc>
        <w:tc>
          <w:tcPr>
            <w:tcW w:type="dxa" w:w="2880"/>
            <w:shd w:fill="D6E4F0" w:val="clear"/>
          </w:tcPr>
          <w:p>
            <w:pPr>
              <w:jc w:val="center"/>
            </w:pPr>
            <w:r>
              <w:rPr>
                <w:sz w:val="18"/>
              </w:rPr>
              <w:t>年净利润逾2亿元，ROE健康</w:t>
            </w:r>
          </w:p>
        </w:tc>
      </w:tr>
      <w:tr>
        <w:tc>
          <w:tcPr>
            <w:tcW w:type="dxa" w:w="2880"/>
          </w:tcPr>
          <w:p>
            <w:pPr>
              <w:jc w:val="center"/>
            </w:pPr>
            <w:r>
              <w:rPr>
                <w:sz w:val="18"/>
              </w:rPr>
              <w:t>负债率与杠杆</w:t>
            </w:r>
          </w:p>
        </w:tc>
        <w:tc>
          <w:tcPr>
            <w:tcW w:type="dxa" w:w="2880"/>
          </w:tcPr>
          <w:p>
            <w:pPr>
              <w:jc w:val="center"/>
            </w:pPr>
            <w:r>
              <w:rPr>
                <w:sz w:val="18"/>
              </w:rPr>
              <w:t>AA</w:t>
            </w:r>
          </w:p>
        </w:tc>
        <w:tc>
          <w:tcPr>
            <w:tcW w:type="dxa" w:w="2880"/>
          </w:tcPr>
          <w:p>
            <w:pPr>
              <w:jc w:val="center"/>
            </w:pPr>
            <w:r>
              <w:rPr>
                <w:sz w:val="18"/>
              </w:rPr>
              <w:t>单体负债率仅21%，财务弹性极大</w:t>
            </w:r>
          </w:p>
        </w:tc>
      </w:tr>
      <w:tr>
        <w:tc>
          <w:tcPr>
            <w:tcW w:type="dxa" w:w="2880"/>
            <w:shd w:fill="D6E4F0" w:val="clear"/>
          </w:tcPr>
          <w:p>
            <w:pPr>
              <w:jc w:val="center"/>
            </w:pPr>
            <w:r>
              <w:rPr>
                <w:sz w:val="18"/>
              </w:rPr>
              <w:t>产品与市场壁垒</w:t>
            </w:r>
          </w:p>
        </w:tc>
        <w:tc>
          <w:tcPr>
            <w:tcW w:type="dxa" w:w="2880"/>
            <w:shd w:fill="D6E4F0" w:val="clear"/>
          </w:tcPr>
          <w:p>
            <w:pPr>
              <w:jc w:val="center"/>
            </w:pPr>
            <w:r>
              <w:rPr>
                <w:sz w:val="18"/>
              </w:rPr>
              <w:t>AA-</w:t>
            </w:r>
          </w:p>
        </w:tc>
        <w:tc>
          <w:tcPr>
            <w:tcW w:type="dxa" w:w="2880"/>
            <w:shd w:fill="D6E4F0" w:val="clear"/>
          </w:tcPr>
          <w:p>
            <w:pPr>
              <w:jc w:val="center"/>
            </w:pPr>
            <w:r>
              <w:rPr>
                <w:sz w:val="18"/>
              </w:rPr>
              <w:t>双寡头批文+学术背书，护城河深</w:t>
            </w:r>
          </w:p>
        </w:tc>
      </w:tr>
      <w:tr>
        <w:tc>
          <w:tcPr>
            <w:tcW w:type="dxa" w:w="2880"/>
          </w:tcPr>
          <w:p>
            <w:pPr>
              <w:jc w:val="center"/>
            </w:pPr>
            <w:r>
              <w:rPr>
                <w:sz w:val="18"/>
              </w:rPr>
              <w:t>成长性与政策风险</w:t>
            </w:r>
          </w:p>
        </w:tc>
        <w:tc>
          <w:tcPr>
            <w:tcW w:type="dxa" w:w="2880"/>
          </w:tcPr>
          <w:p>
            <w:pPr>
              <w:jc w:val="center"/>
            </w:pPr>
            <w:r>
              <w:rPr>
                <w:sz w:val="18"/>
              </w:rPr>
              <w:t>BBB</w:t>
            </w:r>
          </w:p>
        </w:tc>
        <w:tc>
          <w:tcPr>
            <w:tcW w:type="dxa" w:w="2880"/>
          </w:tcPr>
          <w:p>
            <w:pPr>
              <w:jc w:val="center"/>
            </w:pPr>
            <w:r>
              <w:rPr>
                <w:sz w:val="18"/>
              </w:rPr>
              <w:t>集采冲击下成长性承压</w:t>
            </w:r>
          </w:p>
        </w:tc>
      </w:tr>
      <w:tr>
        <w:tc>
          <w:tcPr>
            <w:tcW w:type="dxa" w:w="2880"/>
            <w:shd w:fill="D6E4F0" w:val="clear"/>
          </w:tcPr>
          <w:p>
            <w:pPr>
              <w:jc w:val="center"/>
            </w:pPr>
            <w:r>
              <w:rPr>
                <w:sz w:val="18"/>
              </w:rPr>
              <w:t>财务透明度</w:t>
            </w:r>
          </w:p>
        </w:tc>
        <w:tc>
          <w:tcPr>
            <w:tcW w:type="dxa" w:w="2880"/>
            <w:shd w:fill="D6E4F0" w:val="clear"/>
          </w:tcPr>
          <w:p>
            <w:pPr>
              <w:jc w:val="center"/>
            </w:pPr>
            <w:r>
              <w:rPr>
                <w:sz w:val="18"/>
              </w:rPr>
              <w:t>BBB-</w:t>
            </w:r>
          </w:p>
        </w:tc>
        <w:tc>
          <w:tcPr>
            <w:tcW w:type="dxa" w:w="2880"/>
            <w:shd w:fill="D6E4F0" w:val="clear"/>
          </w:tcPr>
          <w:p>
            <w:pPr>
              <w:jc w:val="center"/>
            </w:pPr>
            <w:r>
              <w:rPr>
                <w:sz w:val="18"/>
              </w:rPr>
              <w:t>非上市公司，单体数据披露有限</w:t>
            </w:r>
          </w:p>
        </w:tc>
      </w:tr>
      <w:tr>
        <w:tc>
          <w:tcPr>
            <w:tcW w:type="dxa" w:w="2880"/>
          </w:tcPr>
          <w:p>
            <w:pPr>
              <w:jc w:val="center"/>
            </w:pPr>
            <w:r>
              <w:rPr>
                <w:sz w:val="18"/>
              </w:rPr>
              <w:t>负面信息</w:t>
            </w:r>
          </w:p>
        </w:tc>
        <w:tc>
          <w:tcPr>
            <w:tcW w:type="dxa" w:w="2880"/>
          </w:tcPr>
          <w:p>
            <w:pPr>
              <w:jc w:val="center"/>
            </w:pPr>
            <w:r>
              <w:rPr>
                <w:sz w:val="18"/>
              </w:rPr>
              <w:t>A-</w:t>
            </w:r>
          </w:p>
        </w:tc>
        <w:tc>
          <w:tcPr>
            <w:tcW w:type="dxa" w:w="2880"/>
          </w:tcPr>
          <w:p>
            <w:pPr>
              <w:jc w:val="center"/>
            </w:pPr>
            <w:r>
              <w:rPr>
                <w:sz w:val="18"/>
              </w:rPr>
              <w:t>风险储备较少，自身信用干净</w:t>
            </w:r>
          </w:p>
        </w:tc>
      </w:tr>
      <w:tr>
        <w:tc>
          <w:tcPr>
            <w:tcW w:type="dxa" w:w="2880"/>
            <w:shd w:fill="D6E4F0" w:val="clear"/>
          </w:tcPr>
          <w:p>
            <w:pPr>
              <w:jc w:val="center"/>
            </w:pPr>
            <w:r>
              <w:rPr>
                <w:sz w:val="18"/>
              </w:rPr>
              <w:t>偿债能力</w:t>
            </w:r>
          </w:p>
        </w:tc>
        <w:tc>
          <w:tcPr>
            <w:tcW w:type="dxa" w:w="2880"/>
            <w:shd w:fill="D6E4F0" w:val="clear"/>
          </w:tcPr>
          <w:p>
            <w:pPr>
              <w:jc w:val="center"/>
            </w:pPr>
            <w:r>
              <w:rPr>
                <w:sz w:val="18"/>
              </w:rPr>
              <w:t>AA-</w:t>
            </w:r>
          </w:p>
        </w:tc>
        <w:tc>
          <w:tcPr>
            <w:tcW w:type="dxa" w:w="2880"/>
            <w:shd w:fill="D6E4F0" w:val="clear"/>
          </w:tcPr>
          <w:p>
            <w:pPr>
              <w:jc w:val="center"/>
            </w:pPr>
            <w:r>
              <w:rPr>
                <w:sz w:val="18"/>
              </w:rPr>
              <w:t>集团信用支撑下偿债能力极强</w:t>
            </w:r>
          </w:p>
        </w:tc>
      </w:tr>
      <w:tr>
        <w:tc>
          <w:tcPr>
            <w:tcW w:type="dxa" w:w="2880"/>
          </w:tcPr>
          <w:p>
            <w:pPr>
              <w:jc w:val="center"/>
            </w:pPr>
            <w:r>
              <w:rPr>
                <w:sz w:val="18"/>
              </w:rPr>
              <w:t>综合评级</w:t>
            </w:r>
          </w:p>
        </w:tc>
        <w:tc>
          <w:tcPr>
            <w:tcW w:type="dxa" w:w="2880"/>
          </w:tcPr>
          <w:p>
            <w:pPr>
              <w:jc w:val="center"/>
            </w:pPr>
            <w:r>
              <w:rPr>
                <w:sz w:val="18"/>
              </w:rPr>
              <w:t>AA-</w:t>
            </w:r>
          </w:p>
        </w:tc>
        <w:tc>
          <w:tcPr>
            <w:tcW w:type="dxa" w:w="2880"/>
          </w:tcPr>
          <w:p>
            <w:pPr>
              <w:jc w:val="center"/>
            </w:pPr>
            <w:r>
              <w:rPr>
                <w:sz w:val="18"/>
              </w:rPr>
              <w:t>高投资级，央企背景+产品壁垒为核心支撑</w:t>
            </w:r>
          </w:p>
        </w:tc>
      </w:tr>
    </w:tbl>
    <w:p/>
    <w:p>
      <w:pPr>
        <w:pStyle w:val="Heading2"/>
      </w:pPr>
      <w:r>
        <w:t>5.4 授信建议</w:t>
      </w:r>
    </w:p>
    <w:p>
      <w:r>
        <w:t>1. 总体判断：高度认可信用资质。央企体系、产品批文壁垒、低负债率三大因素构成信贷安全垫。建议在合理额度范围内积极审慎授信。</w:t>
      </w:r>
    </w:p>
    <w:p>
      <w:r>
        <w:t>2. 授信前提条件：建议获取昆药集团（控股股东，上市公司）提供的连带责任保证担保或华润三九体系信用支持函件。</w:t>
      </w:r>
    </w:p>
    <w:p>
      <w:r>
        <w:t>3. 授信额度建议：基于注册资本8,806.70万元及年净利润逾2亿元的盈利能力，流动资金贷款授信额度可考虑5,000万-1.5亿元区间，具体视担保强度及融资用途确定。中长期项目贷款需另行评估。</w:t>
      </w:r>
    </w:p>
    <w:p>
      <w:r>
        <w:t>4. 授信用途管控：限定用于原料采购（三七药材）、生产经营周转及GMP车间维护升级等主营业务所需。不得以信贷资金用于偿还关联方借款或对外投资。</w:t>
      </w:r>
    </w:p>
    <w:p>
      <w:r>
        <w:t>5. 关键约束条款建议：①集团担保覆盖全额本息；②资产负债率（单体）≤40%；③维持税务A级信用；④定期提供昆药集团合并报表中关于华润圣火的财务附注信息。</w:t>
      </w:r>
    </w:p>
    <w:p>
      <w:r>
        <w:t>6. 贷后跟踪重点：①每季度跟踪昆药集团合并报表中三七/血塞通板块收入及毛利变化；②关注国家及省级中成药集采最新进展及价格影响；③监控血塞通软胶囊批文（含"777"品牌"络泰"品牌）的续期及合规状态；④关注昆药集团商誉减值测试结果。</w:t>
      </w:r>
    </w:p>
    <w:p>
      <w:r>
        <w:t>7. 增信措施建议：在集团担保的基础上，可附加要求提供核心药品批文质押（若法律和监管允许）、存货浮动抵押或应收账款质押等实物增信安排，以增强第二还款来源。</w:t>
      </w:r>
    </w:p>
    <w:p>
      <w:r>
        <w:t>8. 行业负面预警：若出现以下情形，应立即启动授信重检：①血塞通软胶囊全国集采续约价格降幅超预期（&gt;60%）；②产品出现大面积质量事件或GMP证书被收回；③华润圣火被剥离出昆药集团体系或控股权发生实质变更。</w:t>
      </w:r>
    </w:p>
    <w:p/>
    <w:p>
      <w:pPr>
        <w:pStyle w:val="Heading2"/>
      </w:pPr>
      <w:r>
        <w:t>五、数据来源与免责声明</w:t>
      </w:r>
    </w:p>
    <w:p>
      <w:r>
        <w:rPr>
          <w:b/>
        </w:rPr>
        <w:t>数据来源说明：</w:t>
      </w:r>
    </w:p>
    <w:p>
      <w:r>
        <w:t>● 工商与风险信息：启信宝（www.qixin.com）、国家企业信用信息公示系统</w:t>
      </w:r>
    </w:p>
    <w:p>
      <w:r>
        <w:t>● 股权交易信息：昆药集团（600422.SH）公告（2024-020、2024-046等），证券时报、经济观察报等权威媒体报道</w:t>
      </w:r>
    </w:p>
    <w:p>
      <w:r>
        <w:t>● 上市公司财务数据：昆药集团（600422）、华润三九（000999）公开披露的年度报告及财务摘要（数据来源：东方财富Choice、同花顺iFinD）</w:t>
      </w:r>
    </w:p>
    <w:p>
      <w:r>
        <w:t>● 行业与产品信息：国家药监局数据库、药源网、雪球投资者分析、华润三九/昆药集团官网</w:t>
      </w:r>
    </w:p>
    <w:p>
      <w:r>
        <w:t>● 估值依据：2024年6月昆药集团公告中披露的17.91亿元（51%股权对价）及年盈利逾2亿元，经媒体交叉验证</w:t>
      </w:r>
    </w:p>
    <w:p>
      <w:r>
        <w:rPr>
          <w:b/>
        </w:rPr>
        <w:t>重要提示：</w:t>
      </w:r>
      <w:r>
        <w:t>①昆明华润圣火药业有限公司为非上市有限责任公司，未向社会公众公开披露单体财务报表。除交易对价（17.91亿元）、年盈利（逾2亿元）、负债率（约21%）等已公开的估值基准信息外，本报告中关于华润圣火单体的其他财务推测系基于昆药集团合并报表和行业经验推断，可能与实际情况存在偏差。②建议在授信审批前，向企业或昆药集团索取华润圣火的经审计单体财务报表以验证关键假设。③本报告引用的华润三九和昆药集团财务数据截至2025年年度报告。</w:t>
      </w:r>
    </w:p>
    <w:p>
      <w:r>
        <w:rPr>
          <w:b/>
          <w:sz w:val="18"/>
        </w:rPr>
        <w:t>免责声明：</w:t>
      </w:r>
      <w:r>
        <w:rPr>
          <w:sz w:val="18"/>
        </w:rPr>
        <w:t>本报告基于公开渠道获取的企业工商信息、上市公司公告、行业数据及公开资讯编制，仅供内部授信审查参考，不构成任何投资或信贷决策建议。所有引用数据已力求准确、来源可溯，但不排除与最新实际情况存在细微偏差的可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