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44"/>
        </w:rPr>
        <w:t>欧冶链金（云南）再生资源有限公司</w:t>
        <w:br/>
        <w:t>近三年授信审查参考报告</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公司全称</w:t>
            </w:r>
          </w:p>
        </w:tc>
        <w:tc>
          <w:tcPr>
            <w:tcW w:type="dxa" w:w="2160"/>
          </w:tcPr>
          <w:p>
            <w:r>
              <w:rPr>
                <w:sz w:val="18"/>
              </w:rPr>
              <w:t>欧冶链金（云南）再生资源有限公司</w:t>
            </w:r>
          </w:p>
        </w:tc>
        <w:tc>
          <w:tcPr>
            <w:tcW w:type="dxa" w:w="2160"/>
            <w:shd w:fill="D9E2F3" w:val="clear"/>
          </w:tcPr>
          <w:p>
            <w:r>
              <w:rPr>
                <w:b/>
                <w:sz w:val="18"/>
              </w:rPr>
              <w:t>统一社会信用代码</w:t>
            </w:r>
          </w:p>
        </w:tc>
        <w:tc>
          <w:tcPr>
            <w:tcW w:type="dxa" w:w="2160"/>
          </w:tcPr>
          <w:p>
            <w:r>
              <w:rPr>
                <w:sz w:val="18"/>
              </w:rPr>
              <w:t>91530181MABM095X33</w:t>
            </w:r>
          </w:p>
        </w:tc>
      </w:tr>
      <w:tr>
        <w:tc>
          <w:tcPr>
            <w:tcW w:type="dxa" w:w="2160"/>
            <w:shd w:fill="D9E2F3" w:val="clear"/>
          </w:tcPr>
          <w:p>
            <w:r>
              <w:rPr>
                <w:b/>
                <w:sz w:val="18"/>
              </w:rPr>
              <w:t>法定代表人</w:t>
            </w:r>
          </w:p>
        </w:tc>
        <w:tc>
          <w:tcPr>
            <w:tcW w:type="dxa" w:w="2160"/>
          </w:tcPr>
          <w:p>
            <w:r>
              <w:rPr>
                <w:sz w:val="18"/>
              </w:rPr>
              <w:t>李佳俊</w:t>
            </w:r>
          </w:p>
        </w:tc>
        <w:tc>
          <w:tcPr>
            <w:tcW w:type="dxa" w:w="2160"/>
            <w:shd w:fill="D9E2F3" w:val="clear"/>
          </w:tcPr>
          <w:p>
            <w:r>
              <w:rPr>
                <w:b/>
                <w:sz w:val="18"/>
              </w:rPr>
              <w:t>注册资本</w:t>
            </w:r>
          </w:p>
        </w:tc>
        <w:tc>
          <w:tcPr>
            <w:tcW w:type="dxa" w:w="2160"/>
          </w:tcPr>
          <w:p>
            <w:r>
              <w:rPr>
                <w:sz w:val="18"/>
              </w:rPr>
              <w:t>10,000万元（人民币）</w:t>
            </w:r>
          </w:p>
        </w:tc>
      </w:tr>
      <w:tr>
        <w:tc>
          <w:tcPr>
            <w:tcW w:type="dxa" w:w="2160"/>
            <w:shd w:fill="D9E2F3" w:val="clear"/>
          </w:tcPr>
          <w:p>
            <w:r>
              <w:rPr>
                <w:b/>
                <w:sz w:val="18"/>
              </w:rPr>
              <w:t>成立日期</w:t>
            </w:r>
          </w:p>
        </w:tc>
        <w:tc>
          <w:tcPr>
            <w:tcW w:type="dxa" w:w="2160"/>
          </w:tcPr>
          <w:p>
            <w:r>
              <w:rPr>
                <w:sz w:val="18"/>
              </w:rPr>
              <w:t>2022年4月20日</w:t>
            </w:r>
          </w:p>
        </w:tc>
        <w:tc>
          <w:tcPr>
            <w:tcW w:type="dxa" w:w="2160"/>
            <w:shd w:fill="D9E2F3" w:val="clear"/>
          </w:tcPr>
          <w:p>
            <w:r>
              <w:rPr>
                <w:b/>
                <w:sz w:val="18"/>
              </w:rPr>
              <w:t>企业状态</w:t>
            </w:r>
          </w:p>
        </w:tc>
        <w:tc>
          <w:tcPr>
            <w:tcW w:type="dxa" w:w="2160"/>
          </w:tcPr>
          <w:p>
            <w:r>
              <w:rPr>
                <w:sz w:val="18"/>
              </w:rPr>
              <w:t>存续（在营）</w:t>
            </w:r>
          </w:p>
        </w:tc>
      </w:tr>
      <w:tr>
        <w:tc>
          <w:tcPr>
            <w:tcW w:type="dxa" w:w="2160"/>
            <w:shd w:fill="D9E2F3" w:val="clear"/>
          </w:tcPr>
          <w:p>
            <w:r>
              <w:rPr>
                <w:b/>
                <w:sz w:val="18"/>
              </w:rPr>
              <w:t>注册地址</w:t>
            </w:r>
          </w:p>
        </w:tc>
        <w:tc>
          <w:tcPr>
            <w:tcW w:type="dxa" w:w="2160"/>
          </w:tcPr>
          <w:p>
            <w:r>
              <w:rPr>
                <w:sz w:val="18"/>
              </w:rPr>
              <w:t>云南省昆明市安宁市草铺镇昆钢新区</w:t>
            </w:r>
          </w:p>
        </w:tc>
        <w:tc>
          <w:tcPr>
            <w:tcW w:type="dxa" w:w="2160"/>
            <w:shd w:fill="D9E2F3" w:val="clear"/>
          </w:tcPr>
          <w:p>
            <w:r>
              <w:rPr>
                <w:b/>
                <w:sz w:val="18"/>
              </w:rPr>
              <w:t>企业规模</w:t>
            </w:r>
          </w:p>
        </w:tc>
        <w:tc>
          <w:tcPr>
            <w:tcW w:type="dxa" w:w="2160"/>
          </w:tcPr>
          <w:p>
            <w:r>
              <w:rPr>
                <w:sz w:val="18"/>
              </w:rPr>
              <w:t>小微企业</w:t>
            </w:r>
          </w:p>
        </w:tc>
      </w:tr>
      <w:tr>
        <w:tc>
          <w:tcPr>
            <w:tcW w:type="dxa" w:w="2160"/>
            <w:shd w:fill="D9E2F3" w:val="clear"/>
          </w:tcPr>
          <w:p>
            <w:r>
              <w:rPr>
                <w:b/>
                <w:sz w:val="18"/>
              </w:rPr>
              <w:t>所属行业</w:t>
            </w:r>
          </w:p>
        </w:tc>
        <w:tc>
          <w:tcPr>
            <w:tcW w:type="dxa" w:w="2160"/>
          </w:tcPr>
          <w:p>
            <w:r>
              <w:rPr>
                <w:sz w:val="18"/>
              </w:rPr>
              <w:t>金属废料和碎屑加工处理</w:t>
            </w:r>
          </w:p>
        </w:tc>
        <w:tc>
          <w:tcPr>
            <w:tcW w:type="dxa" w:w="2160"/>
            <w:shd w:fill="D9E2F3" w:val="clear"/>
          </w:tcPr>
          <w:p>
            <w:r>
              <w:rPr>
                <w:b/>
                <w:sz w:val="18"/>
              </w:rPr>
              <w:t>实际控制人</w:t>
            </w:r>
          </w:p>
        </w:tc>
        <w:tc>
          <w:tcPr>
            <w:tcW w:type="dxa" w:w="2160"/>
          </w:tcPr>
          <w:p>
            <w:r>
              <w:rPr>
                <w:sz w:val="18"/>
              </w:rPr>
              <w:t>中国宝武钢铁集团有限公司（国务院国资委）</w:t>
            </w:r>
          </w:p>
        </w:tc>
      </w:tr>
      <w:tr>
        <w:tc>
          <w:tcPr>
            <w:tcW w:type="dxa" w:w="2160"/>
            <w:shd w:fill="D9E2F3" w:val="clear"/>
          </w:tcPr>
          <w:p>
            <w:r>
              <w:rPr>
                <w:b/>
                <w:sz w:val="18"/>
              </w:rPr>
              <w:t>母公司</w:t>
            </w:r>
          </w:p>
        </w:tc>
        <w:tc>
          <w:tcPr>
            <w:tcW w:type="dxa" w:w="2160"/>
          </w:tcPr>
          <w:p>
            <w:r>
              <w:rPr>
                <w:sz w:val="18"/>
              </w:rPr>
              <w:t>资环链金再生资源有限公司（原欧冶链金再生资源有限公司）</w:t>
            </w:r>
          </w:p>
        </w:tc>
        <w:tc>
          <w:tcPr>
            <w:tcW w:type="dxa" w:w="2160"/>
            <w:shd w:fill="D9E2F3" w:val="clear"/>
          </w:tcPr>
          <w:p>
            <w:r>
              <w:rPr>
                <w:b/>
                <w:sz w:val="18"/>
              </w:rPr>
              <w:t>母公司注册资本</w:t>
            </w:r>
          </w:p>
        </w:tc>
        <w:tc>
          <w:tcPr>
            <w:tcW w:type="dxa" w:w="2160"/>
          </w:tcPr>
          <w:p>
            <w:r>
              <w:rPr>
                <w:sz w:val="18"/>
              </w:rPr>
              <w:t>约42.16亿元</w:t>
            </w:r>
          </w:p>
        </w:tc>
      </w:tr>
      <w:tr>
        <w:tc>
          <w:tcPr>
            <w:tcW w:type="dxa" w:w="2160"/>
            <w:shd w:fill="D9E2F3" w:val="clear"/>
          </w:tcPr>
          <w:p>
            <w:r>
              <w:rPr>
                <w:b/>
                <w:sz w:val="18"/>
              </w:rPr>
              <w:t>主营业务</w:t>
            </w:r>
          </w:p>
        </w:tc>
        <w:tc>
          <w:tcPr>
            <w:tcW w:type="dxa" w:w="2160"/>
          </w:tcPr>
          <w:p>
            <w:r>
              <w:rPr>
                <w:sz w:val="18"/>
              </w:rPr>
              <w:t>废钢回收、加工、仓储、配送；再生资源综合利用</w:t>
            </w:r>
          </w:p>
        </w:tc>
        <w:tc>
          <w:tcPr>
            <w:tcW w:type="dxa" w:w="2160"/>
            <w:shd w:fill="D9E2F3" w:val="clear"/>
          </w:tcPr>
          <w:p>
            <w:r>
              <w:rPr>
                <w:b/>
                <w:sz w:val="18"/>
              </w:rPr>
              <w:t>主营区域</w:t>
            </w:r>
          </w:p>
        </w:tc>
        <w:tc>
          <w:tcPr>
            <w:tcW w:type="dxa" w:w="2160"/>
          </w:tcPr>
          <w:p>
            <w:r>
              <w:rPr>
                <w:sz w:val="18"/>
              </w:rPr>
              <w:t>云南省及西南地区</w:t>
            </w:r>
          </w:p>
        </w:tc>
      </w:tr>
      <w:tr>
        <w:tc>
          <w:tcPr>
            <w:tcW w:type="dxa" w:w="2160"/>
            <w:shd w:fill="D9E2F3" w:val="clear"/>
          </w:tcPr>
          <w:p>
            <w:r>
              <w:rPr>
                <w:b/>
                <w:sz w:val="18"/>
              </w:rPr>
              <w:t>报告期间</w:t>
            </w:r>
          </w:p>
        </w:tc>
        <w:tc>
          <w:tcPr>
            <w:tcW w:type="dxa" w:w="2160"/>
          </w:tcPr>
          <w:p>
            <w:r>
              <w:rPr>
                <w:sz w:val="18"/>
              </w:rPr>
              <w:t>2023年度—2025年度（成立满1年后）</w:t>
            </w:r>
          </w:p>
        </w:tc>
        <w:tc>
          <w:tcPr>
            <w:tcW w:type="dxa" w:w="2160"/>
            <w:shd w:fill="D9E2F3" w:val="clear"/>
          </w:tcPr>
          <w:p>
            <w:r>
              <w:rPr>
                <w:b/>
                <w:sz w:val="18"/>
              </w:rPr>
              <w:t>编制日期</w:t>
            </w:r>
          </w:p>
        </w:tc>
        <w:tc>
          <w:tcPr>
            <w:tcW w:type="dxa" w:w="2160"/>
          </w:tcPr>
          <w:p>
            <w:r>
              <w:rPr>
                <w:sz w:val="18"/>
              </w:rPr>
              <w:t>2026年05月29日</w:t>
            </w:r>
          </w:p>
        </w:tc>
      </w:tr>
    </w:tbl>
    <w:p/>
    <w:p>
      <w:pPr>
        <w:pStyle w:val="Heading1"/>
      </w:pPr>
      <w:r>
        <w:t>一、经营情况分析</w:t>
      </w:r>
    </w:p>
    <w:p>
      <w:pPr>
        <w:pStyle w:val="Heading2"/>
      </w:pPr>
      <w:r>
        <w:t>1.1 公司概况与股东背景</w:t>
      </w:r>
    </w:p>
    <w:p>
      <w:r>
        <w:rPr>
          <w:b/>
        </w:rPr>
        <w:t>欧冶链金（云南）再生资源有限公司（以下简称"云南链金"或"公司"）</w:t>
      </w:r>
      <w:r>
        <w:t>成立于2022年4月20日，注册资本1亿元，注册地址位于云南省昆明市安宁市草铺镇昆钢新区，是</w:t>
      </w:r>
      <w:r>
        <w:rPr>
          <w:b/>
        </w:rPr>
        <w:t>资环链金再生资源有限公司（原"欧冶链金再生资源有限公司"）</w:t>
      </w:r>
      <w:r>
        <w:t>的全资或控股子公司。</w:t>
      </w:r>
    </w:p>
    <w:p>
      <w:r>
        <w:rPr>
          <w:b/>
        </w:rPr>
        <w:t>资环链金再生资源有限公司</w:t>
      </w:r>
      <w:r>
        <w:t>是全球最大钢铁企业——</w:t>
      </w:r>
      <w:r>
        <w:rPr>
          <w:b/>
        </w:rPr>
        <w:t>中国宝武钢铁集团有限公司的一级子公司</w:t>
      </w:r>
      <w:r>
        <w:t>，是中国宝武资源环境业务板块中的支柱企业。中国宝武以资环链金为金属再生资源产业运营平台，全面整合旗下钢铁生产基地废旧金属资源、汽车拆解、轮船拆解、废旧钢铁回收、加工、仓储、配送基地及废钢国际贸易业务，面向全球金属再生资源端和客户端，按照"一总部、多基地"的战略布局稳步推进。</w:t>
      </w:r>
    </w:p>
    <w:p>
      <w:r>
        <w:rPr>
          <w:b/>
        </w:rPr>
        <w:t>信用评级支撑：</w:t>
      </w:r>
      <w:r>
        <w:t>公司实际控制人为国务院国资委直接监管的中国宝武钢铁集团（央企），集团2024年粗钢产量约1.3亿吨，营业收入超1万亿元，位列《财富》世界500强前50位。集团主体信用评级为AAA（国内最高），对子公司形成极强的信用背书效应。</w:t>
      </w:r>
    </w:p>
    <w:p/>
    <w:p>
      <w:pPr>
        <w:pStyle w:val="Heading2"/>
      </w:pPr>
      <w:r>
        <w:t>1.2 业务模式与经营定位</w:t>
      </w:r>
    </w:p>
    <w:p>
      <w:r>
        <w:rPr>
          <w:b/>
        </w:rPr>
        <w:t>云南链金地处安宁市昆钢新区</w:t>
      </w:r>
      <w:r>
        <w:t>，紧邻昆明钢铁集团有限公司（昆钢）生产基地，具有天然的地理区位优势。公司主要围绕昆钢废钢需求开展废钢回收、分拣、加工和配送业务，是昆钢废钢供应链的重要一环。</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业务维度</w:t>
            </w:r>
          </w:p>
        </w:tc>
        <w:tc>
          <w:tcPr>
            <w:tcW w:type="dxa" w:w="2880"/>
            <w:shd w:fill="1F4E79" w:val="clear"/>
          </w:tcPr>
          <w:p>
            <w:pPr>
              <w:jc w:val="center"/>
            </w:pPr>
            <w:r>
              <w:rPr>
                <w:b/>
                <w:color w:val="FFFFFF"/>
                <w:sz w:val="18"/>
              </w:rPr>
              <w:t>具体情况</w:t>
            </w:r>
          </w:p>
        </w:tc>
        <w:tc>
          <w:tcPr>
            <w:tcW w:type="dxa" w:w="2880"/>
            <w:shd w:fill="1F4E79" w:val="clear"/>
          </w:tcPr>
          <w:p>
            <w:pPr>
              <w:jc w:val="center"/>
            </w:pPr>
            <w:r>
              <w:rPr>
                <w:b/>
                <w:color w:val="FFFFFF"/>
                <w:sz w:val="18"/>
              </w:rPr>
              <w:t>分析评价</w:t>
            </w:r>
          </w:p>
        </w:tc>
      </w:tr>
      <w:tr>
        <w:tc>
          <w:tcPr>
            <w:tcW w:type="dxa" w:w="2880"/>
          </w:tcPr>
          <w:p>
            <w:pPr>
              <w:jc w:val="center"/>
            </w:pPr>
            <w:r>
              <w:rPr>
                <w:sz w:val="18"/>
              </w:rPr>
              <w:t>业务模式</w:t>
            </w:r>
          </w:p>
        </w:tc>
        <w:tc>
          <w:tcPr>
            <w:tcW w:type="dxa" w:w="2880"/>
          </w:tcPr>
          <w:p>
            <w:pPr>
              <w:jc w:val="center"/>
            </w:pPr>
            <w:r>
              <w:rPr>
                <w:sz w:val="18"/>
              </w:rPr>
              <w:t>废钢回收—分拣加工—仓储配送一体化</w:t>
            </w:r>
          </w:p>
        </w:tc>
        <w:tc>
          <w:tcPr>
            <w:tcW w:type="dxa" w:w="2880"/>
          </w:tcPr>
          <w:p>
            <w:pPr>
              <w:jc w:val="center"/>
            </w:pPr>
            <w:r>
              <w:rPr>
                <w:sz w:val="18"/>
              </w:rPr>
              <w:t>产业链上下游协同紧密</w:t>
            </w:r>
          </w:p>
        </w:tc>
      </w:tr>
      <w:tr>
        <w:tc>
          <w:tcPr>
            <w:tcW w:type="dxa" w:w="2880"/>
            <w:shd w:fill="D6E4F0" w:val="clear"/>
          </w:tcPr>
          <w:p>
            <w:pPr>
              <w:jc w:val="center"/>
            </w:pPr>
            <w:r>
              <w:rPr>
                <w:sz w:val="18"/>
              </w:rPr>
              <w:t>核心客户</w:t>
            </w:r>
          </w:p>
        </w:tc>
        <w:tc>
          <w:tcPr>
            <w:tcW w:type="dxa" w:w="2880"/>
            <w:shd w:fill="D6E4F0" w:val="clear"/>
          </w:tcPr>
          <w:p>
            <w:pPr>
              <w:jc w:val="center"/>
            </w:pPr>
            <w:r>
              <w:rPr>
                <w:sz w:val="18"/>
              </w:rPr>
              <w:t>昆明钢铁集团有限公司（昆钢，隶属中国宝武）</w:t>
            </w:r>
          </w:p>
        </w:tc>
        <w:tc>
          <w:tcPr>
            <w:tcW w:type="dxa" w:w="2880"/>
            <w:shd w:fill="D6E4F0" w:val="clear"/>
          </w:tcPr>
          <w:p>
            <w:pPr>
              <w:jc w:val="center"/>
            </w:pPr>
            <w:r>
              <w:rPr>
                <w:sz w:val="18"/>
              </w:rPr>
              <w:t>关联方交易，客户集中度高</w:t>
            </w:r>
          </w:p>
        </w:tc>
      </w:tr>
      <w:tr>
        <w:tc>
          <w:tcPr>
            <w:tcW w:type="dxa" w:w="2880"/>
          </w:tcPr>
          <w:p>
            <w:pPr>
              <w:jc w:val="center"/>
            </w:pPr>
            <w:r>
              <w:rPr>
                <w:sz w:val="18"/>
              </w:rPr>
              <w:t>原材料来源</w:t>
            </w:r>
          </w:p>
        </w:tc>
        <w:tc>
          <w:tcPr>
            <w:tcW w:type="dxa" w:w="2880"/>
          </w:tcPr>
          <w:p>
            <w:pPr>
              <w:jc w:val="center"/>
            </w:pPr>
            <w:r>
              <w:rPr>
                <w:sz w:val="18"/>
              </w:rPr>
              <w:t>云南省内及西南地区废钢供应商（2023年昆钢废钢供应商大会吸引160余家供应商）</w:t>
            </w:r>
          </w:p>
        </w:tc>
        <w:tc>
          <w:tcPr>
            <w:tcW w:type="dxa" w:w="2880"/>
          </w:tcPr>
          <w:p>
            <w:pPr>
              <w:jc w:val="center"/>
            </w:pPr>
            <w:r>
              <w:rPr>
                <w:sz w:val="18"/>
              </w:rPr>
              <w:t>上游分散，来源较稳定</w:t>
            </w:r>
          </w:p>
        </w:tc>
      </w:tr>
      <w:tr>
        <w:tc>
          <w:tcPr>
            <w:tcW w:type="dxa" w:w="2880"/>
            <w:shd w:fill="D6E4F0" w:val="clear"/>
          </w:tcPr>
          <w:p>
            <w:pPr>
              <w:jc w:val="center"/>
            </w:pPr>
            <w:r>
              <w:rPr>
                <w:sz w:val="18"/>
              </w:rPr>
              <w:t>加工能力</w:t>
            </w:r>
          </w:p>
        </w:tc>
        <w:tc>
          <w:tcPr>
            <w:tcW w:type="dxa" w:w="2880"/>
            <w:shd w:fill="D6E4F0" w:val="clear"/>
          </w:tcPr>
          <w:p>
            <w:pPr>
              <w:jc w:val="center"/>
            </w:pPr>
            <w:r>
              <w:rPr>
                <w:sz w:val="18"/>
              </w:rPr>
              <w:t>依托安宁基地开展废钢分拣、剪切、破碎和打包</w:t>
            </w:r>
          </w:p>
        </w:tc>
        <w:tc>
          <w:tcPr>
            <w:tcW w:type="dxa" w:w="2880"/>
            <w:shd w:fill="D6E4F0" w:val="clear"/>
          </w:tcPr>
          <w:p>
            <w:pPr>
              <w:jc w:val="center"/>
            </w:pPr>
            <w:r>
              <w:rPr>
                <w:sz w:val="18"/>
              </w:rPr>
              <w:t>具体产能未公开披露</w:t>
            </w:r>
          </w:p>
        </w:tc>
      </w:tr>
      <w:tr>
        <w:tc>
          <w:tcPr>
            <w:tcW w:type="dxa" w:w="2880"/>
          </w:tcPr>
          <w:p>
            <w:pPr>
              <w:jc w:val="center"/>
            </w:pPr>
            <w:r>
              <w:rPr>
                <w:sz w:val="18"/>
              </w:rPr>
              <w:t>行业地位</w:t>
            </w:r>
          </w:p>
        </w:tc>
        <w:tc>
          <w:tcPr>
            <w:tcW w:type="dxa" w:w="2880"/>
          </w:tcPr>
          <w:p>
            <w:pPr>
              <w:jc w:val="center"/>
            </w:pPr>
            <w:r>
              <w:rPr>
                <w:sz w:val="18"/>
              </w:rPr>
              <w:t>中国宝武废钢供应链的云南区域节点</w:t>
            </w:r>
          </w:p>
        </w:tc>
        <w:tc>
          <w:tcPr>
            <w:tcW w:type="dxa" w:w="2880"/>
          </w:tcPr>
          <w:p>
            <w:pPr>
              <w:jc w:val="center"/>
            </w:pPr>
            <w:r>
              <w:rPr>
                <w:sz w:val="18"/>
              </w:rPr>
              <w:t>集团战略布局中的区域执行者</w:t>
            </w:r>
          </w:p>
        </w:tc>
      </w:tr>
      <w:tr>
        <w:tc>
          <w:tcPr>
            <w:tcW w:type="dxa" w:w="2880"/>
            <w:shd w:fill="D6E4F0" w:val="clear"/>
          </w:tcPr>
          <w:p>
            <w:pPr>
              <w:jc w:val="center"/>
            </w:pPr>
            <w:r>
              <w:rPr>
                <w:sz w:val="18"/>
              </w:rPr>
              <w:t>辐射范围</w:t>
            </w:r>
          </w:p>
        </w:tc>
        <w:tc>
          <w:tcPr>
            <w:tcW w:type="dxa" w:w="2880"/>
            <w:shd w:fill="D6E4F0" w:val="clear"/>
          </w:tcPr>
          <w:p>
            <w:pPr>
              <w:jc w:val="center"/>
            </w:pPr>
            <w:r>
              <w:rPr>
                <w:sz w:val="18"/>
              </w:rPr>
              <w:t>云南省，延伸至四川、贵州部分区域</w:t>
            </w:r>
          </w:p>
        </w:tc>
        <w:tc>
          <w:tcPr>
            <w:tcW w:type="dxa" w:w="2880"/>
            <w:shd w:fill="D6E4F0" w:val="clear"/>
          </w:tcPr>
          <w:p>
            <w:pPr>
              <w:jc w:val="center"/>
            </w:pPr>
            <w:r>
              <w:rPr>
                <w:sz w:val="18"/>
              </w:rPr>
              <w:t>区域市场具有一定壁垒</w:t>
            </w:r>
          </w:p>
        </w:tc>
      </w:tr>
    </w:tbl>
    <w:p/>
    <w:p>
      <w:pPr>
        <w:pStyle w:val="Heading2"/>
      </w:pPr>
      <w:r>
        <w:t>1.3 经营趋势研判</w:t>
      </w:r>
    </w:p>
    <w:p>
      <w:r>
        <w:rPr>
          <w:b/>
        </w:rPr>
        <w:t>公司成立仅约三年（2022年4月至今），属于初创期企业。</w:t>
      </w:r>
      <w:r>
        <w:t>结合行业背景与母公司战略，对公司经营趋势研判如下：</w:t>
      </w:r>
    </w:p>
    <w:p>
      <w:r>
        <w:rPr>
          <w:b/>
        </w:rPr>
        <w:t>● 2023年：</w:t>
      </w:r>
      <w:r>
        <w:t>公司成立后首个完整运营年度，主要开展团队组建、设备调试、渠道建设等基础工作。我国废钢回收量约2.6亿吨，行业整体平稳。钢铁行业处于下行周期，昆钢粗钢产量同比下降，废钢采购需求承压。预计公司当年处于盈亏平衡或小幅亏损状态。</w:t>
      </w:r>
    </w:p>
    <w:p>
      <w:r>
        <w:rPr>
          <w:b/>
        </w:rPr>
        <w:t>● 2024年：</w:t>
      </w:r>
      <w:r>
        <w:t>公司运营逐步进入正轨。钢铁行业延续低迷，废钢价格震荡下行（均价同比下降约10%-15%），行业利润空间收窄。但同时，集团层面加大废钢资源整合力度，昆钢废钢采购优先通过云南链金平台，有利于交易量和营收规模的提升。预计营收同比大幅增长，但净利润率较低（行业平均毛利率5%-8%）。</w:t>
      </w:r>
    </w:p>
    <w:p>
      <w:r>
        <w:rPr>
          <w:b/>
        </w:rPr>
        <w:t>● 2025年：</w:t>
      </w:r>
      <w:r>
        <w:t>中国宝武推动"废钢不出厂"和集中采购战略，云南链金作为区域平台地位进一步巩固。钢铁行业触底企稳，废钢价格有所回升。但公司仍受限于：①废钢加工行业利润微薄；②客户高度集中于昆钢，议价空间有限；③成立时间短，内部管理体系和风控能力尚在完善中。</w:t>
      </w:r>
    </w:p>
    <w:p/>
    <w:p>
      <w:pPr>
        <w:pStyle w:val="Heading2"/>
      </w:pPr>
      <w:r>
        <w:t>1.4 集团经营业绩参考</w:t>
      </w:r>
    </w:p>
    <w:p>
      <w:r>
        <w:t>根据资环链金再生资源有限公司官方网站公开的集团级经营数据（不代表云南链金单体数据）：</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指标</w:t>
            </w:r>
          </w:p>
        </w:tc>
        <w:tc>
          <w:tcPr>
            <w:tcW w:type="dxa" w:w="2880"/>
            <w:shd w:fill="1F4E79" w:val="clear"/>
          </w:tcPr>
          <w:p>
            <w:pPr>
              <w:jc w:val="center"/>
            </w:pPr>
            <w:r>
              <w:rPr>
                <w:b/>
                <w:color w:val="FFFFFF"/>
                <w:sz w:val="18"/>
              </w:rPr>
              <w:t>公开数据</w:t>
            </w:r>
          </w:p>
        </w:tc>
        <w:tc>
          <w:tcPr>
            <w:tcW w:type="dxa" w:w="2880"/>
            <w:shd w:fill="1F4E79" w:val="clear"/>
          </w:tcPr>
          <w:p>
            <w:pPr>
              <w:jc w:val="center"/>
            </w:pPr>
            <w:r>
              <w:rPr>
                <w:b/>
                <w:color w:val="FFFFFF"/>
                <w:sz w:val="18"/>
              </w:rPr>
              <w:t>备注</w:t>
            </w:r>
          </w:p>
        </w:tc>
      </w:tr>
      <w:tr>
        <w:tc>
          <w:tcPr>
            <w:tcW w:type="dxa" w:w="2880"/>
          </w:tcPr>
          <w:p>
            <w:pPr>
              <w:jc w:val="center"/>
            </w:pPr>
            <w:r>
              <w:rPr>
                <w:sz w:val="18"/>
              </w:rPr>
              <w:t>经营规模</w:t>
            </w:r>
          </w:p>
        </w:tc>
        <w:tc>
          <w:tcPr>
            <w:tcW w:type="dxa" w:w="2880"/>
          </w:tcPr>
          <w:p>
            <w:pPr>
              <w:jc w:val="center"/>
            </w:pPr>
            <w:r>
              <w:rPr>
                <w:sz w:val="18"/>
              </w:rPr>
              <w:t>5,300万吨</w:t>
            </w:r>
          </w:p>
        </w:tc>
        <w:tc>
          <w:tcPr>
            <w:tcW w:type="dxa" w:w="2880"/>
          </w:tcPr>
          <w:p>
            <w:pPr>
              <w:jc w:val="center"/>
            </w:pPr>
            <w:r>
              <w:rPr>
                <w:sz w:val="18"/>
              </w:rPr>
              <w:t>全国废钢经营总量</w:t>
            </w:r>
          </w:p>
        </w:tc>
      </w:tr>
      <w:tr>
        <w:tc>
          <w:tcPr>
            <w:tcW w:type="dxa" w:w="2880"/>
            <w:shd w:fill="D6E4F0" w:val="clear"/>
          </w:tcPr>
          <w:p>
            <w:pPr>
              <w:jc w:val="center"/>
            </w:pPr>
            <w:r>
              <w:rPr>
                <w:sz w:val="18"/>
              </w:rPr>
              <w:t>营业收入</w:t>
            </w:r>
          </w:p>
        </w:tc>
        <w:tc>
          <w:tcPr>
            <w:tcW w:type="dxa" w:w="2880"/>
            <w:shd w:fill="D6E4F0" w:val="clear"/>
          </w:tcPr>
          <w:p>
            <w:pPr>
              <w:jc w:val="center"/>
            </w:pPr>
            <w:r>
              <w:rPr>
                <w:sz w:val="18"/>
              </w:rPr>
              <w:t>约1,200亿元</w:t>
            </w:r>
          </w:p>
        </w:tc>
        <w:tc>
          <w:tcPr>
            <w:tcW w:type="dxa" w:w="2880"/>
            <w:shd w:fill="D6E4F0" w:val="clear"/>
          </w:tcPr>
          <w:p>
            <w:pPr>
              <w:jc w:val="center"/>
            </w:pPr>
            <w:r>
              <w:rPr>
                <w:sz w:val="18"/>
              </w:rPr>
              <w:t>集团合并口径估算</w:t>
            </w:r>
          </w:p>
        </w:tc>
      </w:tr>
      <w:tr>
        <w:tc>
          <w:tcPr>
            <w:tcW w:type="dxa" w:w="2880"/>
          </w:tcPr>
          <w:p>
            <w:pPr>
              <w:jc w:val="center"/>
            </w:pPr>
            <w:r>
              <w:rPr>
                <w:sz w:val="18"/>
              </w:rPr>
              <w:t>研发投入</w:t>
            </w:r>
          </w:p>
        </w:tc>
        <w:tc>
          <w:tcPr>
            <w:tcW w:type="dxa" w:w="2880"/>
          </w:tcPr>
          <w:p>
            <w:pPr>
              <w:jc w:val="center"/>
            </w:pPr>
            <w:r>
              <w:rPr>
                <w:sz w:val="18"/>
              </w:rPr>
              <w:t>约9,160万元</w:t>
            </w:r>
          </w:p>
        </w:tc>
        <w:tc>
          <w:tcPr>
            <w:tcW w:type="dxa" w:w="2880"/>
          </w:tcPr>
          <w:p>
            <w:pPr>
              <w:jc w:val="center"/>
            </w:pPr>
            <w:r>
              <w:rPr>
                <w:sz w:val="18"/>
              </w:rPr>
              <w:t>集团年度研发投入</w:t>
            </w:r>
          </w:p>
        </w:tc>
      </w:tr>
      <w:tr>
        <w:tc>
          <w:tcPr>
            <w:tcW w:type="dxa" w:w="2880"/>
            <w:shd w:fill="D6E4F0" w:val="clear"/>
          </w:tcPr>
          <w:p>
            <w:pPr>
              <w:jc w:val="center"/>
            </w:pPr>
            <w:r>
              <w:rPr>
                <w:sz w:val="18"/>
              </w:rPr>
              <w:t>研发专利</w:t>
            </w:r>
          </w:p>
        </w:tc>
        <w:tc>
          <w:tcPr>
            <w:tcW w:type="dxa" w:w="2880"/>
            <w:shd w:fill="D6E4F0" w:val="clear"/>
          </w:tcPr>
          <w:p>
            <w:pPr>
              <w:jc w:val="center"/>
            </w:pPr>
            <w:r>
              <w:rPr>
                <w:sz w:val="18"/>
              </w:rPr>
              <w:t>22件</w:t>
            </w:r>
          </w:p>
        </w:tc>
        <w:tc>
          <w:tcPr>
            <w:tcW w:type="dxa" w:w="2880"/>
            <w:shd w:fill="D6E4F0" w:val="clear"/>
          </w:tcPr>
          <w:p>
            <w:pPr>
              <w:jc w:val="center"/>
            </w:pPr>
            <w:r>
              <w:rPr>
                <w:sz w:val="18"/>
              </w:rPr>
              <w:t>累计有效专利数</w:t>
            </w:r>
          </w:p>
        </w:tc>
      </w:tr>
      <w:tr>
        <w:tc>
          <w:tcPr>
            <w:tcW w:type="dxa" w:w="2880"/>
          </w:tcPr>
          <w:p>
            <w:pPr>
              <w:jc w:val="center"/>
            </w:pPr>
            <w:r>
              <w:rPr>
                <w:sz w:val="18"/>
              </w:rPr>
              <w:t>国际业务收入</w:t>
            </w:r>
          </w:p>
        </w:tc>
        <w:tc>
          <w:tcPr>
            <w:tcW w:type="dxa" w:w="2880"/>
          </w:tcPr>
          <w:p>
            <w:pPr>
              <w:jc w:val="center"/>
            </w:pPr>
            <w:r>
              <w:rPr>
                <w:sz w:val="18"/>
              </w:rPr>
              <w:t>约10.27亿元</w:t>
            </w:r>
          </w:p>
        </w:tc>
        <w:tc>
          <w:tcPr>
            <w:tcW w:type="dxa" w:w="2880"/>
          </w:tcPr>
          <w:p>
            <w:pPr>
              <w:jc w:val="center"/>
            </w:pPr>
            <w:r>
              <w:rPr>
                <w:sz w:val="18"/>
              </w:rPr>
              <w:t>集团海外业务</w:t>
            </w:r>
          </w:p>
        </w:tc>
      </w:tr>
      <w:tr>
        <w:tc>
          <w:tcPr>
            <w:tcW w:type="dxa" w:w="2880"/>
            <w:shd w:fill="D6E4F0" w:val="clear"/>
          </w:tcPr>
          <w:p>
            <w:pPr>
              <w:jc w:val="center"/>
            </w:pPr>
            <w:r>
              <w:rPr>
                <w:sz w:val="18"/>
              </w:rPr>
              <w:t>市场占有率</w:t>
            </w:r>
          </w:p>
        </w:tc>
        <w:tc>
          <w:tcPr>
            <w:tcW w:type="dxa" w:w="2880"/>
            <w:shd w:fill="D6E4F0" w:val="clear"/>
          </w:tcPr>
          <w:p>
            <w:pPr>
              <w:jc w:val="center"/>
            </w:pPr>
            <w:r>
              <w:rPr>
                <w:sz w:val="18"/>
              </w:rPr>
              <w:t>约26%</w:t>
            </w:r>
          </w:p>
        </w:tc>
        <w:tc>
          <w:tcPr>
            <w:tcW w:type="dxa" w:w="2880"/>
            <w:shd w:fill="D6E4F0" w:val="clear"/>
          </w:tcPr>
          <w:p>
            <w:pPr>
              <w:jc w:val="center"/>
            </w:pPr>
            <w:r>
              <w:rPr>
                <w:sz w:val="18"/>
              </w:rPr>
              <w:t>全国废钢加工配送市场份额</w:t>
            </w:r>
          </w:p>
        </w:tc>
      </w:tr>
    </w:tbl>
    <w:p>
      <w:r>
        <w:rPr>
          <w:b/>
        </w:rPr>
        <w:t>重要提示：</w:t>
      </w:r>
      <w:r>
        <w:t>上述数据为集团层面口径，云南链金作为区域子公司，单体营收规模预计在数亿元至十亿元级别，远低于集团水平。</w:t>
      </w:r>
    </w:p>
    <w:p/>
    <w:p>
      <w:pPr>
        <w:pStyle w:val="Heading1"/>
      </w:pPr>
      <w:r>
        <w:t>二、负面信息与风险事件排查</w:t>
      </w:r>
    </w:p>
    <w:p>
      <w:pPr>
        <w:pStyle w:val="Heading2"/>
      </w:pPr>
      <w:r>
        <w:t>2.1 企业自身风险</w:t>
      </w:r>
    </w:p>
    <w:p>
      <w:r>
        <w:rPr>
          <w:b/>
        </w:rPr>
        <w:t>根据企业信用信息查询平台（启信宝）数据，截至查询日，欧冶链金（云南）再生资源有限公司涉及：</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风险类别</w:t>
            </w:r>
          </w:p>
        </w:tc>
        <w:tc>
          <w:tcPr>
            <w:tcW w:type="dxa" w:w="2880"/>
            <w:shd w:fill="1F4E79" w:val="clear"/>
          </w:tcPr>
          <w:p>
            <w:pPr>
              <w:jc w:val="center"/>
            </w:pPr>
            <w:r>
              <w:rPr>
                <w:b/>
                <w:color w:val="FFFFFF"/>
                <w:sz w:val="18"/>
              </w:rPr>
              <w:t>数量</w:t>
            </w:r>
          </w:p>
        </w:tc>
        <w:tc>
          <w:tcPr>
            <w:tcW w:type="dxa" w:w="2880"/>
            <w:shd w:fill="1F4E79" w:val="clear"/>
          </w:tcPr>
          <w:p>
            <w:pPr>
              <w:jc w:val="center"/>
            </w:pPr>
            <w:r>
              <w:rPr>
                <w:b/>
                <w:color w:val="FFFFFF"/>
                <w:sz w:val="18"/>
              </w:rPr>
              <w:t>说明</w:t>
            </w:r>
          </w:p>
        </w:tc>
      </w:tr>
      <w:tr>
        <w:tc>
          <w:tcPr>
            <w:tcW w:type="dxa" w:w="2880"/>
          </w:tcPr>
          <w:p>
            <w:pPr>
              <w:jc w:val="center"/>
            </w:pPr>
            <w:r>
              <w:rPr>
                <w:sz w:val="18"/>
              </w:rPr>
              <w:t>自身风险</w:t>
            </w:r>
          </w:p>
        </w:tc>
        <w:tc>
          <w:tcPr>
            <w:tcW w:type="dxa" w:w="2880"/>
          </w:tcPr>
          <w:p>
            <w:pPr>
              <w:jc w:val="center"/>
            </w:pPr>
            <w:r>
              <w:rPr>
                <w:sz w:val="18"/>
              </w:rPr>
              <w:t>2条</w:t>
            </w:r>
          </w:p>
        </w:tc>
        <w:tc>
          <w:tcPr>
            <w:tcW w:type="dxa" w:w="2880"/>
          </w:tcPr>
          <w:p>
            <w:pPr>
              <w:jc w:val="center"/>
            </w:pPr>
            <w:r>
              <w:rPr>
                <w:sz w:val="18"/>
              </w:rPr>
              <w:t>包括工商变更、司法案件等（详见下文）</w:t>
            </w:r>
          </w:p>
        </w:tc>
      </w:tr>
      <w:tr>
        <w:tc>
          <w:tcPr>
            <w:tcW w:type="dxa" w:w="2880"/>
            <w:shd w:fill="D6E4F0" w:val="clear"/>
          </w:tcPr>
          <w:p>
            <w:pPr>
              <w:jc w:val="center"/>
            </w:pPr>
            <w:r>
              <w:rPr>
                <w:sz w:val="18"/>
              </w:rPr>
              <w:t>提示信息</w:t>
            </w:r>
          </w:p>
        </w:tc>
        <w:tc>
          <w:tcPr>
            <w:tcW w:type="dxa" w:w="2880"/>
            <w:shd w:fill="D6E4F0" w:val="clear"/>
          </w:tcPr>
          <w:p>
            <w:pPr>
              <w:jc w:val="center"/>
            </w:pPr>
            <w:r>
              <w:rPr>
                <w:sz w:val="18"/>
              </w:rPr>
              <w:t>11条</w:t>
            </w:r>
          </w:p>
        </w:tc>
        <w:tc>
          <w:tcPr>
            <w:tcW w:type="dxa" w:w="2880"/>
            <w:shd w:fill="D6E4F0" w:val="clear"/>
          </w:tcPr>
          <w:p>
            <w:pPr>
              <w:jc w:val="center"/>
            </w:pPr>
            <w:r>
              <w:rPr>
                <w:sz w:val="18"/>
              </w:rPr>
              <w:t>主要包括股东变更、注册资本变更、法定代表人变更等历史变更记录</w:t>
            </w:r>
          </w:p>
        </w:tc>
      </w:tr>
      <w:tr>
        <w:tc>
          <w:tcPr>
            <w:tcW w:type="dxa" w:w="2880"/>
          </w:tcPr>
          <w:p>
            <w:pPr>
              <w:jc w:val="center"/>
            </w:pPr>
            <w:r>
              <w:rPr>
                <w:sz w:val="18"/>
              </w:rPr>
              <w:t>关联风险</w:t>
            </w:r>
          </w:p>
        </w:tc>
        <w:tc>
          <w:tcPr>
            <w:tcW w:type="dxa" w:w="2880"/>
          </w:tcPr>
          <w:p>
            <w:pPr>
              <w:jc w:val="center"/>
            </w:pPr>
            <w:r>
              <w:rPr>
                <w:sz w:val="18"/>
              </w:rPr>
              <w:t>60条</w:t>
            </w:r>
          </w:p>
        </w:tc>
        <w:tc>
          <w:tcPr>
            <w:tcW w:type="dxa" w:w="2880"/>
          </w:tcPr>
          <w:p>
            <w:pPr>
              <w:jc w:val="center"/>
            </w:pPr>
            <w:r>
              <w:rPr>
                <w:sz w:val="18"/>
              </w:rPr>
              <w:t>主要来自母公司资环链金及关联企业，属集团层面风险传导</w:t>
            </w:r>
          </w:p>
        </w:tc>
      </w:tr>
    </w:tbl>
    <w:p/>
    <w:p>
      <w:pPr>
        <w:pStyle w:val="Heading2"/>
      </w:pPr>
      <w:r>
        <w:t>2.2 母公司/集团层面风险</w:t>
      </w:r>
    </w:p>
    <w:p>
      <w:r>
        <w:rPr>
          <w:b/>
        </w:rPr>
        <w:t>母公司资环链金再生资源有限公司</w:t>
      </w:r>
      <w:r>
        <w:t>自身风险11条，其中值得关注的事项包括：</w:t>
      </w:r>
    </w:p>
    <w:p>
      <w:r>
        <w:t>1. 司法案件风险：母公司涉及若干合同纠纷及买卖合同纠纷案件（具体案件数量及金额未详细公开），可能影响集团整体信用形象。</w:t>
      </w:r>
    </w:p>
    <w:p>
      <w:r>
        <w:t>2. 工商变更频繁：公司名称于近年由"欧冶链金再生资源有限公司"变更为"资环链金再生资源有限公司"，系集团品牌战略调整，非经营异常。</w:t>
      </w:r>
    </w:p>
    <w:p>
      <w:r>
        <w:t>3. 行业周期性风险：废钢行业与钢铁行业景气度高度相关。2023-2025年钢铁行业整体处于下行周期，废钢价格波动较大，行业企业经营效益普遍承压。</w:t>
      </w:r>
    </w:p>
    <w:p>
      <w:r>
        <w:t>4. 环保/安全监管：废钢加工涉及金属切割、破碎、粉尘处理等，属于安全生产和环保监管重点领域。目前未发现云南链金有重大环保或安全事故的公开记录，但该风险持续存在。</w:t>
      </w:r>
    </w:p>
    <w:p/>
    <w:p>
      <w:pPr>
        <w:pStyle w:val="Heading2"/>
      </w:pPr>
      <w:r>
        <w:t>2.3 行业层面的固有风险</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风险类型</w:t>
            </w:r>
          </w:p>
        </w:tc>
        <w:tc>
          <w:tcPr>
            <w:tcW w:type="dxa" w:w="2880"/>
            <w:shd w:fill="1F4E79" w:val="clear"/>
          </w:tcPr>
          <w:p>
            <w:pPr>
              <w:jc w:val="center"/>
            </w:pPr>
            <w:r>
              <w:rPr>
                <w:b/>
                <w:color w:val="FFFFFF"/>
                <w:sz w:val="18"/>
              </w:rPr>
              <w:t>风险描述</w:t>
            </w:r>
          </w:p>
        </w:tc>
        <w:tc>
          <w:tcPr>
            <w:tcW w:type="dxa" w:w="2880"/>
            <w:shd w:fill="1F4E79" w:val="clear"/>
          </w:tcPr>
          <w:p>
            <w:pPr>
              <w:jc w:val="center"/>
            </w:pPr>
            <w:r>
              <w:rPr>
                <w:b/>
                <w:color w:val="FFFFFF"/>
                <w:sz w:val="18"/>
              </w:rPr>
              <w:t>影响程度</w:t>
            </w:r>
          </w:p>
        </w:tc>
      </w:tr>
      <w:tr>
        <w:tc>
          <w:tcPr>
            <w:tcW w:type="dxa" w:w="2880"/>
          </w:tcPr>
          <w:p>
            <w:pPr>
              <w:jc w:val="center"/>
            </w:pPr>
            <w:r>
              <w:rPr>
                <w:sz w:val="18"/>
              </w:rPr>
              <w:t>行业周期性风险</w:t>
            </w:r>
          </w:p>
        </w:tc>
        <w:tc>
          <w:tcPr>
            <w:tcW w:type="dxa" w:w="2880"/>
          </w:tcPr>
          <w:p>
            <w:pPr>
              <w:jc w:val="center"/>
            </w:pPr>
            <w:r>
              <w:rPr>
                <w:sz w:val="18"/>
              </w:rPr>
              <w:t>废钢行业与钢铁行业深度绑定，钢材价格波动直接影响废钢加工利润空间。2023-2025年钢铁行业处于下行周期。</w:t>
            </w:r>
          </w:p>
        </w:tc>
        <w:tc>
          <w:tcPr>
            <w:tcW w:type="dxa" w:w="2880"/>
          </w:tcPr>
          <w:p>
            <w:pPr>
              <w:jc w:val="center"/>
            </w:pPr>
            <w:r>
              <w:rPr>
                <w:sz w:val="18"/>
              </w:rPr>
              <w:t>高</w:t>
            </w:r>
          </w:p>
        </w:tc>
      </w:tr>
      <w:tr>
        <w:tc>
          <w:tcPr>
            <w:tcW w:type="dxa" w:w="2880"/>
            <w:shd w:fill="D6E4F0" w:val="clear"/>
          </w:tcPr>
          <w:p>
            <w:pPr>
              <w:jc w:val="center"/>
            </w:pPr>
            <w:r>
              <w:rPr>
                <w:sz w:val="18"/>
              </w:rPr>
              <w:t>客户集中度风险</w:t>
            </w:r>
          </w:p>
        </w:tc>
        <w:tc>
          <w:tcPr>
            <w:tcW w:type="dxa" w:w="2880"/>
            <w:shd w:fill="D6E4F0" w:val="clear"/>
          </w:tcPr>
          <w:p>
            <w:pPr>
              <w:jc w:val="center"/>
            </w:pPr>
            <w:r>
              <w:rPr>
                <w:sz w:val="18"/>
              </w:rPr>
              <w:t>公司业务高度依赖昆钢（关联方），若昆钢产量波动或调整采购策略，将直接影响公司经营。</w:t>
            </w:r>
          </w:p>
        </w:tc>
        <w:tc>
          <w:tcPr>
            <w:tcW w:type="dxa" w:w="2880"/>
            <w:shd w:fill="D6E4F0" w:val="clear"/>
          </w:tcPr>
          <w:p>
            <w:pPr>
              <w:jc w:val="center"/>
            </w:pPr>
            <w:r>
              <w:rPr>
                <w:sz w:val="18"/>
              </w:rPr>
              <w:t>高</w:t>
            </w:r>
          </w:p>
        </w:tc>
      </w:tr>
      <w:tr>
        <w:tc>
          <w:tcPr>
            <w:tcW w:type="dxa" w:w="2880"/>
          </w:tcPr>
          <w:p>
            <w:pPr>
              <w:jc w:val="center"/>
            </w:pPr>
            <w:r>
              <w:rPr>
                <w:sz w:val="18"/>
              </w:rPr>
              <w:t>资金周转压力</w:t>
            </w:r>
          </w:p>
        </w:tc>
        <w:tc>
          <w:tcPr>
            <w:tcW w:type="dxa" w:w="2880"/>
          </w:tcPr>
          <w:p>
            <w:pPr>
              <w:jc w:val="center"/>
            </w:pPr>
            <w:r>
              <w:rPr>
                <w:sz w:val="18"/>
              </w:rPr>
              <w:t>废钢行业通常需要垫付采购资金，而下游钢厂付款周期较长（通常30-90天），资金占用压力显著。</w:t>
            </w:r>
          </w:p>
        </w:tc>
        <w:tc>
          <w:tcPr>
            <w:tcW w:type="dxa" w:w="2880"/>
          </w:tcPr>
          <w:p>
            <w:pPr>
              <w:jc w:val="center"/>
            </w:pPr>
            <w:r>
              <w:rPr>
                <w:sz w:val="18"/>
              </w:rPr>
              <w:t>中-高</w:t>
            </w:r>
          </w:p>
        </w:tc>
      </w:tr>
      <w:tr>
        <w:tc>
          <w:tcPr>
            <w:tcW w:type="dxa" w:w="2880"/>
            <w:shd w:fill="D6E4F0" w:val="clear"/>
          </w:tcPr>
          <w:p>
            <w:pPr>
              <w:jc w:val="center"/>
            </w:pPr>
            <w:r>
              <w:rPr>
                <w:sz w:val="18"/>
              </w:rPr>
              <w:t>税务合规风险</w:t>
            </w:r>
          </w:p>
        </w:tc>
        <w:tc>
          <w:tcPr>
            <w:tcW w:type="dxa" w:w="2880"/>
            <w:shd w:fill="D6E4F0" w:val="clear"/>
          </w:tcPr>
          <w:p>
            <w:pPr>
              <w:jc w:val="center"/>
            </w:pPr>
            <w:r>
              <w:rPr>
                <w:sz w:val="18"/>
              </w:rPr>
              <w:t>废钢行业历史上存在"虚开增值税发票"等税务风险高发问题。虽在国家税务总局推行再生资源回收简易计税政策后有所改善，仍需重点关注。</w:t>
            </w:r>
          </w:p>
        </w:tc>
        <w:tc>
          <w:tcPr>
            <w:tcW w:type="dxa" w:w="2880"/>
            <w:shd w:fill="D6E4F0" w:val="clear"/>
          </w:tcPr>
          <w:p>
            <w:pPr>
              <w:jc w:val="center"/>
            </w:pPr>
            <w:r>
              <w:rPr>
                <w:sz w:val="18"/>
              </w:rPr>
              <w:t>中</w:t>
            </w:r>
          </w:p>
        </w:tc>
      </w:tr>
      <w:tr>
        <w:tc>
          <w:tcPr>
            <w:tcW w:type="dxa" w:w="2880"/>
          </w:tcPr>
          <w:p>
            <w:pPr>
              <w:jc w:val="center"/>
            </w:pPr>
            <w:r>
              <w:rPr>
                <w:sz w:val="18"/>
              </w:rPr>
              <w:t>竞争加剧风险</w:t>
            </w:r>
          </w:p>
        </w:tc>
        <w:tc>
          <w:tcPr>
            <w:tcW w:type="dxa" w:w="2880"/>
          </w:tcPr>
          <w:p>
            <w:pPr>
              <w:jc w:val="center"/>
            </w:pPr>
            <w:r>
              <w:rPr>
                <w:sz w:val="18"/>
              </w:rPr>
              <w:t>云南省及周边地区废钢回收企业数量众多，市场竞争激烈，低毛利率是行业常态。</w:t>
            </w:r>
          </w:p>
        </w:tc>
        <w:tc>
          <w:tcPr>
            <w:tcW w:type="dxa" w:w="2880"/>
          </w:tcPr>
          <w:p>
            <w:pPr>
              <w:jc w:val="center"/>
            </w:pPr>
            <w:r>
              <w:rPr>
                <w:sz w:val="18"/>
              </w:rPr>
              <w:t>中</w:t>
            </w:r>
          </w:p>
        </w:tc>
      </w:tr>
      <w:tr>
        <w:tc>
          <w:tcPr>
            <w:tcW w:type="dxa" w:w="2880"/>
            <w:shd w:fill="D6E4F0" w:val="clear"/>
          </w:tcPr>
          <w:p>
            <w:pPr>
              <w:jc w:val="center"/>
            </w:pPr>
            <w:r>
              <w:rPr>
                <w:sz w:val="18"/>
              </w:rPr>
              <w:t>政策变动风险</w:t>
            </w:r>
          </w:p>
        </w:tc>
        <w:tc>
          <w:tcPr>
            <w:tcW w:type="dxa" w:w="2880"/>
            <w:shd w:fill="D6E4F0" w:val="clear"/>
          </w:tcPr>
          <w:p>
            <w:pPr>
              <w:jc w:val="center"/>
            </w:pPr>
            <w:r>
              <w:rPr>
                <w:sz w:val="18"/>
              </w:rPr>
              <w:t>废钢进口政策、环保政策、"双碳"政策等变化可能影响行业格局。</w:t>
            </w:r>
          </w:p>
        </w:tc>
        <w:tc>
          <w:tcPr>
            <w:tcW w:type="dxa" w:w="2880"/>
            <w:shd w:fill="D6E4F0" w:val="clear"/>
          </w:tcPr>
          <w:p>
            <w:pPr>
              <w:jc w:val="center"/>
            </w:pPr>
            <w:r>
              <w:rPr>
                <w:sz w:val="18"/>
              </w:rPr>
              <w:t>低-中</w:t>
            </w:r>
          </w:p>
        </w:tc>
      </w:tr>
    </w:tbl>
    <w:p/>
    <w:p>
      <w:pPr>
        <w:pStyle w:val="Heading2"/>
      </w:pPr>
      <w:r>
        <w:t>2.4 负面信息汇总评价</w:t>
      </w:r>
    </w:p>
    <w:p>
      <w:r>
        <w:rPr>
          <w:b/>
        </w:rPr>
        <w:t>综合评价：</w:t>
      </w:r>
      <w:r>
        <w:t>公司与母公司均未发现重大行政处罚、失信被执行、严重司法败诉等严重负面记录。自身风险数量较少，信用基本面较为干净。主要风险集中在行业周期性和客户集中度方面。公司成立仅三年，历史信用记录较短，运营稳定性尚待时间验证。母公司为中国宝武央企子公司，具备极强的集团信用支撑，能够在一定程度上弥补子公司自身信用记录的不足。</w:t>
      </w:r>
    </w:p>
    <w:p/>
    <w:p>
      <w:pPr>
        <w:pStyle w:val="Heading1"/>
      </w:pPr>
      <w:r>
        <w:t>三、融资情况分析</w:t>
      </w:r>
    </w:p>
    <w:p>
      <w:pPr>
        <w:pStyle w:val="Heading2"/>
      </w:pPr>
      <w:r>
        <w:t>3.1 股权融资</w:t>
      </w:r>
    </w:p>
    <w:p>
      <w:r>
        <w:rPr>
          <w:b/>
        </w:rPr>
        <w:t>公司成立于2022年4月，注册资本1亿元。</w:t>
      </w:r>
      <w:r>
        <w:t>作为非上市有限责任公司，近三年未进行公开股权融资（IPO、增发等）。股权结构以中国宝武集团通过资环链金间接全资或控股为主，股东背景清晰单一，股权稳定性强。</w:t>
      </w:r>
    </w:p>
    <w:p/>
    <w:p>
      <w:pPr>
        <w:pStyle w:val="Heading2"/>
      </w:pPr>
      <w:r>
        <w:t>3.2 债券融资</w:t>
      </w:r>
    </w:p>
    <w:p>
      <w:r>
        <w:t>公司单体未发行公司债、中期票据、短期融资券等债务融资工具。融资方式主要依赖银行贷款和集团内部资金调剂。母集团中国宝武具备极强债券市场融资能力，可对子公司形成流动性支持。</w:t>
      </w:r>
    </w:p>
    <w:p/>
    <w:p>
      <w:pPr>
        <w:pStyle w:val="Heading2"/>
      </w:pPr>
      <w:r>
        <w:t>3.3 银行授信与借款评估</w:t>
      </w:r>
    </w:p>
    <w:p>
      <w:r>
        <w:rPr>
          <w:b/>
        </w:rPr>
        <w:t>公司单体授信情况：</w:t>
      </w:r>
      <w:r>
        <w:t>由于为非上市有限责任公司，具体银行授信额度、借款余额等未公开披露。基于行业特征和公司情况推测如下：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融资维度</w:t>
            </w:r>
          </w:p>
        </w:tc>
        <w:tc>
          <w:tcPr>
            <w:tcW w:type="dxa" w:w="2880"/>
            <w:shd w:fill="1F4E79" w:val="clear"/>
          </w:tcPr>
          <w:p>
            <w:pPr>
              <w:jc w:val="center"/>
            </w:pPr>
            <w:r>
              <w:rPr>
                <w:b/>
                <w:color w:val="FFFFFF"/>
                <w:sz w:val="18"/>
              </w:rPr>
              <w:t>推测情况</w:t>
            </w:r>
          </w:p>
        </w:tc>
        <w:tc>
          <w:tcPr>
            <w:tcW w:type="dxa" w:w="2880"/>
            <w:shd w:fill="1F4E79" w:val="clear"/>
          </w:tcPr>
          <w:p>
            <w:pPr>
              <w:jc w:val="center"/>
            </w:pPr>
            <w:r>
              <w:rPr>
                <w:b/>
                <w:color w:val="FFFFFF"/>
                <w:sz w:val="18"/>
              </w:rPr>
              <w:t>分析依据</w:t>
            </w:r>
          </w:p>
        </w:tc>
      </w:tr>
      <w:tr>
        <w:tc>
          <w:tcPr>
            <w:tcW w:type="dxa" w:w="2880"/>
          </w:tcPr>
          <w:p>
            <w:pPr>
              <w:jc w:val="center"/>
            </w:pPr>
            <w:r>
              <w:rPr>
                <w:sz w:val="18"/>
              </w:rPr>
              <w:t>授信额度</w:t>
            </w:r>
          </w:p>
        </w:tc>
        <w:tc>
          <w:tcPr>
            <w:tcW w:type="dxa" w:w="2880"/>
          </w:tcPr>
          <w:p>
            <w:pPr>
              <w:jc w:val="center"/>
            </w:pPr>
            <w:r>
              <w:rPr>
                <w:sz w:val="18"/>
              </w:rPr>
              <w:t>预计在数千万元至1亿元级别</w:t>
            </w:r>
          </w:p>
        </w:tc>
        <w:tc>
          <w:tcPr>
            <w:tcW w:type="dxa" w:w="2880"/>
          </w:tcPr>
          <w:p>
            <w:pPr>
              <w:jc w:val="center"/>
            </w:pPr>
            <w:r>
              <w:rPr>
                <w:sz w:val="18"/>
              </w:rPr>
              <w:t>根据注册资本1亿元及区域子公司的业务规模推测</w:t>
            </w:r>
          </w:p>
        </w:tc>
      </w:tr>
      <w:tr>
        <w:tc>
          <w:tcPr>
            <w:tcW w:type="dxa" w:w="2880"/>
            <w:shd w:fill="D6E4F0" w:val="clear"/>
          </w:tcPr>
          <w:p>
            <w:pPr>
              <w:jc w:val="center"/>
            </w:pPr>
            <w:r>
              <w:rPr>
                <w:sz w:val="18"/>
              </w:rPr>
              <w:t>贷款类型</w:t>
            </w:r>
          </w:p>
        </w:tc>
        <w:tc>
          <w:tcPr>
            <w:tcW w:type="dxa" w:w="2880"/>
            <w:shd w:fill="D6E4F0" w:val="clear"/>
          </w:tcPr>
          <w:p>
            <w:pPr>
              <w:jc w:val="center"/>
            </w:pPr>
            <w:r>
              <w:rPr>
                <w:sz w:val="18"/>
              </w:rPr>
              <w:t>以流动资金贷款为主</w:t>
            </w:r>
          </w:p>
        </w:tc>
        <w:tc>
          <w:tcPr>
            <w:tcW w:type="dxa" w:w="2880"/>
            <w:shd w:fill="D6E4F0" w:val="clear"/>
          </w:tcPr>
          <w:p>
            <w:pPr>
              <w:jc w:val="center"/>
            </w:pPr>
            <w:r>
              <w:rPr>
                <w:sz w:val="18"/>
              </w:rPr>
              <w:t>废钢采购垫资需求大，周转性资金需求高</w:t>
            </w:r>
          </w:p>
        </w:tc>
      </w:tr>
      <w:tr>
        <w:tc>
          <w:tcPr>
            <w:tcW w:type="dxa" w:w="2880"/>
          </w:tcPr>
          <w:p>
            <w:pPr>
              <w:jc w:val="center"/>
            </w:pPr>
            <w:r>
              <w:rPr>
                <w:sz w:val="18"/>
              </w:rPr>
              <w:t>增信方式</w:t>
            </w:r>
          </w:p>
        </w:tc>
        <w:tc>
          <w:tcPr>
            <w:tcW w:type="dxa" w:w="2880"/>
          </w:tcPr>
          <w:p>
            <w:pPr>
              <w:jc w:val="center"/>
            </w:pPr>
            <w:r>
              <w:rPr>
                <w:sz w:val="18"/>
              </w:rPr>
              <w:t>可能以集团担保或关联方担保为主</w:t>
            </w:r>
          </w:p>
        </w:tc>
        <w:tc>
          <w:tcPr>
            <w:tcW w:type="dxa" w:w="2880"/>
          </w:tcPr>
          <w:p>
            <w:pPr>
              <w:jc w:val="center"/>
            </w:pPr>
            <w:r>
              <w:rPr>
                <w:sz w:val="18"/>
              </w:rPr>
              <w:t>央企子公司通常可获得母公司信用支持</w:t>
            </w:r>
          </w:p>
        </w:tc>
      </w:tr>
      <w:tr>
        <w:tc>
          <w:tcPr>
            <w:tcW w:type="dxa" w:w="2880"/>
            <w:shd w:fill="D6E4F0" w:val="clear"/>
          </w:tcPr>
          <w:p>
            <w:pPr>
              <w:jc w:val="center"/>
            </w:pPr>
            <w:r>
              <w:rPr>
                <w:sz w:val="18"/>
              </w:rPr>
              <w:t>借款利率</w:t>
            </w:r>
          </w:p>
        </w:tc>
        <w:tc>
          <w:tcPr>
            <w:tcW w:type="dxa" w:w="2880"/>
            <w:shd w:fill="D6E4F0" w:val="clear"/>
          </w:tcPr>
          <w:p>
            <w:pPr>
              <w:jc w:val="center"/>
            </w:pPr>
            <w:r>
              <w:rPr>
                <w:sz w:val="18"/>
              </w:rPr>
              <w:t>预计低于同等规模民营企业</w:t>
            </w:r>
          </w:p>
        </w:tc>
        <w:tc>
          <w:tcPr>
            <w:tcW w:type="dxa" w:w="2880"/>
            <w:shd w:fill="D6E4F0" w:val="clear"/>
          </w:tcPr>
          <w:p>
            <w:pPr>
              <w:jc w:val="center"/>
            </w:pPr>
            <w:r>
              <w:rPr>
                <w:sz w:val="18"/>
              </w:rPr>
              <w:t>央企背景+集团信用背书降低资金成本</w:t>
            </w:r>
          </w:p>
        </w:tc>
      </w:tr>
      <w:tr>
        <w:tc>
          <w:tcPr>
            <w:tcW w:type="dxa" w:w="2880"/>
          </w:tcPr>
          <w:p>
            <w:pPr>
              <w:jc w:val="center"/>
            </w:pPr>
            <w:r>
              <w:rPr>
                <w:sz w:val="18"/>
              </w:rPr>
              <w:t>偿债来源</w:t>
            </w:r>
          </w:p>
        </w:tc>
        <w:tc>
          <w:tcPr>
            <w:tcW w:type="dxa" w:w="2880"/>
          </w:tcPr>
          <w:p>
            <w:pPr>
              <w:jc w:val="center"/>
            </w:pPr>
            <w:r>
              <w:rPr>
                <w:sz w:val="18"/>
              </w:rPr>
              <w:t>经营现金流 + 昆钢回款</w:t>
            </w:r>
          </w:p>
        </w:tc>
        <w:tc>
          <w:tcPr>
            <w:tcW w:type="dxa" w:w="2880"/>
          </w:tcPr>
          <w:p>
            <w:pPr>
              <w:jc w:val="center"/>
            </w:pPr>
            <w:r>
              <w:rPr>
                <w:sz w:val="18"/>
              </w:rPr>
              <w:t>下游客户昆钢同为宝武系企业，回款风险相对可控</w:t>
            </w:r>
          </w:p>
        </w:tc>
      </w:tr>
      <w:tr>
        <w:tc>
          <w:tcPr>
            <w:tcW w:type="dxa" w:w="2880"/>
            <w:shd w:fill="D6E4F0" w:val="clear"/>
          </w:tcPr>
          <w:p>
            <w:pPr>
              <w:jc w:val="center"/>
            </w:pPr>
            <w:r>
              <w:rPr>
                <w:sz w:val="18"/>
              </w:rPr>
              <w:t>融资渠道</w:t>
            </w:r>
          </w:p>
        </w:tc>
        <w:tc>
          <w:tcPr>
            <w:tcW w:type="dxa" w:w="2880"/>
            <w:shd w:fill="D6E4F0" w:val="clear"/>
          </w:tcPr>
          <w:p>
            <w:pPr>
              <w:jc w:val="center"/>
            </w:pPr>
            <w:r>
              <w:rPr>
                <w:sz w:val="18"/>
              </w:rPr>
              <w:t>银行贷款 + 集团内部调拨</w:t>
            </w:r>
          </w:p>
        </w:tc>
        <w:tc>
          <w:tcPr>
            <w:tcW w:type="dxa" w:w="2880"/>
            <w:shd w:fill="D6E4F0" w:val="clear"/>
          </w:tcPr>
          <w:p>
            <w:pPr>
              <w:jc w:val="center"/>
            </w:pPr>
            <w:r>
              <w:rPr>
                <w:sz w:val="18"/>
              </w:rPr>
              <w:t>央企体系内资金融通渠道较为通畅</w:t>
            </w:r>
          </w:p>
        </w:tc>
      </w:tr>
    </w:tbl>
    <w:p/>
    <w:p>
      <w:pPr>
        <w:pStyle w:val="Heading2"/>
      </w:pPr>
      <w:r>
        <w:t>3.4 母集团融资能力参考</w:t>
      </w:r>
    </w:p>
    <w:p>
      <w:r>
        <w:rPr>
          <w:b/>
        </w:rPr>
        <w:t>中国宝武集团（实际控制人）</w:t>
      </w:r>
      <w:r>
        <w:t>作为全球最大钢铁企业，主体信用评级AAA，债券市场融资渠道极为畅通，银行综合授信额度数千亿元级别。集团可随时通过增资、委托贷款、担保等方式对云南链金提供流动性支持，这是云南链金最重要的信用支撑因素。</w:t>
      </w:r>
    </w:p>
    <w:p/>
    <w:p>
      <w:pPr>
        <w:pStyle w:val="Heading1"/>
      </w:pPr>
      <w:r>
        <w:t>四、偿债能力与信用风险评估</w:t>
      </w:r>
    </w:p>
    <w:p>
      <w:pPr>
        <w:pStyle w:val="Heading2"/>
      </w:pPr>
      <w:r>
        <w:t>4.1 正面因素</w:t>
      </w:r>
    </w:p>
    <w:p>
      <w:r>
        <w:t>1. 央企信用背书：实际控制人为国务院国资委直管的中国宝武钢铁集团（主体评级AAA），集团信用支持能力极强。</w:t>
      </w:r>
    </w:p>
    <w:p>
      <w:r>
        <w:t>2. 产业链协同优势：公司地处昆钢新区，紧邻核心客户，与昆钢同属宝武系，业务协同性和应收账款回收保障性优于市场平均水平。</w:t>
      </w:r>
    </w:p>
    <w:p>
      <w:r>
        <w:t>3. 行业战略地位：废钢回收利用符合国家"双碳"目标、资源循环利用等政策方向，中长期行业前景向好。</w:t>
      </w:r>
    </w:p>
    <w:p>
      <w:r>
        <w:t>4. 自身信用记录相对干净：成立至今未发现重大行政处罚、涉诉或失信记录，信用基础面较好。</w:t>
      </w:r>
    </w:p>
    <w:p>
      <w:r>
        <w:t>5. 集团内部资金支持通道畅通：央企体系内可通过增资、股东借款、担保等方式快速补充流动性。</w:t>
      </w:r>
    </w:p>
    <w:p/>
    <w:p>
      <w:pPr>
        <w:pStyle w:val="Heading2"/>
      </w:pPr>
      <w:r>
        <w:t>4.2 风险与关注点</w:t>
      </w:r>
    </w:p>
    <w:p>
      <w:r>
        <w:t>1. 公司成立时间短：2022年4月成立，运营历史不足4年，财务数据积累有限，经营稳定性尚未得到充分验证。</w:t>
      </w:r>
    </w:p>
    <w:p>
      <w:r>
        <w:t>2. 客户集中度极高：业务高度依赖昆钢单一客户，若昆钢产能调整或废钢自给率提升，将直接冲击公司经营。</w:t>
      </w:r>
    </w:p>
    <w:p>
      <w:r>
        <w:t>3. 行业利润微薄：废钢加工配送行业毛利率通常仅5%-8%，净利率更低，对企业规模效应和运营效率要求高。</w:t>
      </w:r>
    </w:p>
    <w:p>
      <w:r>
        <w:t>4. 财务数据不透明：作为非上市有限责任公司，公司未公开披露财务报表，授信审查中缺乏关键财务数据支撑。</w:t>
      </w:r>
    </w:p>
    <w:p>
      <w:r>
        <w:t>5. 关联方交易占比大：与昆钢及集团内部企业的关联交易占比较高，需要关注关联交易的公允性和资金占用情况。</w:t>
      </w:r>
    </w:p>
    <w:p>
      <w:r>
        <w:t>6. 行业周期性风险：钢铁行业2023-2025年持续低迷，废钢价格下行，中小废钢企业经营普遍承压。</w:t>
      </w:r>
    </w:p>
    <w:p>
      <w:r>
        <w:t>7. 管理层信息有限：法定代表人及核心管理团队的履历、行业经验等公开信息较少，管理能力评估存在盲区。</w:t>
      </w:r>
    </w:p>
    <w:p/>
    <w:p>
      <w:pPr>
        <w:pStyle w:val="Heading2"/>
      </w:pPr>
      <w:r>
        <w:t>4.3 综合信用评级</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评估维度</w:t>
            </w:r>
          </w:p>
        </w:tc>
        <w:tc>
          <w:tcPr>
            <w:tcW w:type="dxa" w:w="2880"/>
            <w:shd w:fill="1F4E79" w:val="clear"/>
          </w:tcPr>
          <w:p>
            <w:pPr>
              <w:jc w:val="center"/>
            </w:pPr>
            <w:r>
              <w:rPr>
                <w:b/>
                <w:color w:val="FFFFFF"/>
                <w:sz w:val="18"/>
              </w:rPr>
              <w:t>评级</w:t>
            </w:r>
          </w:p>
        </w:tc>
        <w:tc>
          <w:tcPr>
            <w:tcW w:type="dxa" w:w="2880"/>
            <w:shd w:fill="1F4E79" w:val="clear"/>
          </w:tcPr>
          <w:p>
            <w:pPr>
              <w:jc w:val="center"/>
            </w:pPr>
            <w:r>
              <w:rPr>
                <w:b/>
                <w:color w:val="FFFFFF"/>
                <w:sz w:val="18"/>
              </w:rPr>
              <w:t>说明</w:t>
            </w:r>
          </w:p>
        </w:tc>
      </w:tr>
      <w:tr>
        <w:tc>
          <w:tcPr>
            <w:tcW w:type="dxa" w:w="2880"/>
          </w:tcPr>
          <w:p>
            <w:pPr>
              <w:jc w:val="center"/>
            </w:pPr>
            <w:r>
              <w:rPr>
                <w:sz w:val="18"/>
              </w:rPr>
              <w:t>股东/集团信用</w:t>
            </w:r>
          </w:p>
        </w:tc>
        <w:tc>
          <w:tcPr>
            <w:tcW w:type="dxa" w:w="2880"/>
          </w:tcPr>
          <w:p>
            <w:pPr>
              <w:jc w:val="center"/>
            </w:pPr>
            <w:r>
              <w:rPr>
                <w:sz w:val="18"/>
              </w:rPr>
              <w:t>AAA</w:t>
            </w:r>
          </w:p>
        </w:tc>
        <w:tc>
          <w:tcPr>
            <w:tcW w:type="dxa" w:w="2880"/>
          </w:tcPr>
          <w:p>
            <w:pPr>
              <w:jc w:val="center"/>
            </w:pPr>
            <w:r>
              <w:rPr>
                <w:sz w:val="18"/>
              </w:rPr>
              <w:t>中国宝武钢铁集团AAA级信用背书</w:t>
            </w:r>
          </w:p>
        </w:tc>
      </w:tr>
      <w:tr>
        <w:tc>
          <w:tcPr>
            <w:tcW w:type="dxa" w:w="2880"/>
            <w:shd w:fill="D6E4F0" w:val="clear"/>
          </w:tcPr>
          <w:p>
            <w:pPr>
              <w:jc w:val="center"/>
            </w:pPr>
            <w:r>
              <w:rPr>
                <w:sz w:val="18"/>
              </w:rPr>
              <w:t>自身经营年限</w:t>
            </w:r>
          </w:p>
        </w:tc>
        <w:tc>
          <w:tcPr>
            <w:tcW w:type="dxa" w:w="2880"/>
            <w:shd w:fill="D6E4F0" w:val="clear"/>
          </w:tcPr>
          <w:p>
            <w:pPr>
              <w:jc w:val="center"/>
            </w:pPr>
            <w:r>
              <w:rPr>
                <w:sz w:val="18"/>
              </w:rPr>
              <w:t>BB</w:t>
            </w:r>
          </w:p>
        </w:tc>
        <w:tc>
          <w:tcPr>
            <w:tcW w:type="dxa" w:w="2880"/>
            <w:shd w:fill="D6E4F0" w:val="clear"/>
          </w:tcPr>
          <w:p>
            <w:pPr>
              <w:jc w:val="center"/>
            </w:pPr>
            <w:r>
              <w:rPr>
                <w:sz w:val="18"/>
              </w:rPr>
              <w:t>成立不足4年，运营稳定性待验证</w:t>
            </w:r>
          </w:p>
        </w:tc>
      </w:tr>
      <w:tr>
        <w:tc>
          <w:tcPr>
            <w:tcW w:type="dxa" w:w="2880"/>
          </w:tcPr>
          <w:p>
            <w:pPr>
              <w:jc w:val="center"/>
            </w:pPr>
            <w:r>
              <w:rPr>
                <w:sz w:val="18"/>
              </w:rPr>
              <w:t>行业地位</w:t>
            </w:r>
          </w:p>
        </w:tc>
        <w:tc>
          <w:tcPr>
            <w:tcW w:type="dxa" w:w="2880"/>
          </w:tcPr>
          <w:p>
            <w:pPr>
              <w:jc w:val="center"/>
            </w:pPr>
            <w:r>
              <w:rPr>
                <w:sz w:val="18"/>
              </w:rPr>
              <w:t>BBB</w:t>
            </w:r>
          </w:p>
        </w:tc>
        <w:tc>
          <w:tcPr>
            <w:tcW w:type="dxa" w:w="2880"/>
          </w:tcPr>
          <w:p>
            <w:pPr>
              <w:jc w:val="center"/>
            </w:pPr>
            <w:r>
              <w:rPr>
                <w:sz w:val="18"/>
              </w:rPr>
              <w:t>央企区域子公司，但单体规模有限</w:t>
            </w:r>
          </w:p>
        </w:tc>
      </w:tr>
      <w:tr>
        <w:tc>
          <w:tcPr>
            <w:tcW w:type="dxa" w:w="2880"/>
            <w:shd w:fill="D6E4F0" w:val="clear"/>
          </w:tcPr>
          <w:p>
            <w:pPr>
              <w:jc w:val="center"/>
            </w:pPr>
            <w:r>
              <w:rPr>
                <w:sz w:val="18"/>
              </w:rPr>
              <w:t>盈利能力</w:t>
            </w:r>
          </w:p>
        </w:tc>
        <w:tc>
          <w:tcPr>
            <w:tcW w:type="dxa" w:w="2880"/>
            <w:shd w:fill="D6E4F0" w:val="clear"/>
          </w:tcPr>
          <w:p>
            <w:pPr>
              <w:jc w:val="center"/>
            </w:pPr>
            <w:r>
              <w:rPr>
                <w:sz w:val="18"/>
              </w:rPr>
              <w:t>BB-</w:t>
            </w:r>
          </w:p>
        </w:tc>
        <w:tc>
          <w:tcPr>
            <w:tcW w:type="dxa" w:w="2880"/>
            <w:shd w:fill="D6E4F0" w:val="clear"/>
          </w:tcPr>
          <w:p>
            <w:pPr>
              <w:jc w:val="center"/>
            </w:pPr>
            <w:r>
              <w:rPr>
                <w:sz w:val="18"/>
              </w:rPr>
              <w:t>废钢行业利润率极低，盈利高度依赖规模</w:t>
            </w:r>
          </w:p>
        </w:tc>
      </w:tr>
      <w:tr>
        <w:tc>
          <w:tcPr>
            <w:tcW w:type="dxa" w:w="2880"/>
          </w:tcPr>
          <w:p>
            <w:pPr>
              <w:jc w:val="center"/>
            </w:pPr>
            <w:r>
              <w:rPr>
                <w:sz w:val="18"/>
              </w:rPr>
              <w:t>财务透明度</w:t>
            </w:r>
          </w:p>
        </w:tc>
        <w:tc>
          <w:tcPr>
            <w:tcW w:type="dxa" w:w="2880"/>
          </w:tcPr>
          <w:p>
            <w:pPr>
              <w:jc w:val="center"/>
            </w:pPr>
            <w:r>
              <w:rPr>
                <w:sz w:val="18"/>
              </w:rPr>
              <w:t>B+</w:t>
            </w:r>
          </w:p>
        </w:tc>
        <w:tc>
          <w:tcPr>
            <w:tcW w:type="dxa" w:w="2880"/>
          </w:tcPr>
          <w:p>
            <w:pPr>
              <w:jc w:val="center"/>
            </w:pPr>
            <w:r>
              <w:rPr>
                <w:sz w:val="18"/>
              </w:rPr>
              <w:t>非上市公司，财务数据未公开披露</w:t>
            </w:r>
          </w:p>
        </w:tc>
      </w:tr>
      <w:tr>
        <w:tc>
          <w:tcPr>
            <w:tcW w:type="dxa" w:w="2880"/>
            <w:shd w:fill="D6E4F0" w:val="clear"/>
          </w:tcPr>
          <w:p>
            <w:pPr>
              <w:jc w:val="center"/>
            </w:pPr>
            <w:r>
              <w:rPr>
                <w:sz w:val="18"/>
              </w:rPr>
              <w:t>客户稳定性</w:t>
            </w:r>
          </w:p>
        </w:tc>
        <w:tc>
          <w:tcPr>
            <w:tcW w:type="dxa" w:w="2880"/>
            <w:shd w:fill="D6E4F0" w:val="clear"/>
          </w:tcPr>
          <w:p>
            <w:pPr>
              <w:jc w:val="center"/>
            </w:pPr>
            <w:r>
              <w:rPr>
                <w:sz w:val="18"/>
              </w:rPr>
              <w:t>A-</w:t>
            </w:r>
          </w:p>
        </w:tc>
        <w:tc>
          <w:tcPr>
            <w:tcW w:type="dxa" w:w="2880"/>
            <w:shd w:fill="D6E4F0" w:val="clear"/>
          </w:tcPr>
          <w:p>
            <w:pPr>
              <w:jc w:val="center"/>
            </w:pPr>
            <w:r>
              <w:rPr>
                <w:sz w:val="18"/>
              </w:rPr>
              <w:t>昆钢同为宝武系，客户关系稳固</w:t>
            </w:r>
          </w:p>
        </w:tc>
      </w:tr>
      <w:tr>
        <w:tc>
          <w:tcPr>
            <w:tcW w:type="dxa" w:w="2880"/>
          </w:tcPr>
          <w:p>
            <w:pPr>
              <w:jc w:val="center"/>
            </w:pPr>
            <w:r>
              <w:rPr>
                <w:sz w:val="18"/>
              </w:rPr>
              <w:t>负面信息</w:t>
            </w:r>
          </w:p>
        </w:tc>
        <w:tc>
          <w:tcPr>
            <w:tcW w:type="dxa" w:w="2880"/>
          </w:tcPr>
          <w:p>
            <w:pPr>
              <w:jc w:val="center"/>
            </w:pPr>
            <w:r>
              <w:rPr>
                <w:sz w:val="18"/>
              </w:rPr>
              <w:t>A-</w:t>
            </w:r>
          </w:p>
        </w:tc>
        <w:tc>
          <w:tcPr>
            <w:tcW w:type="dxa" w:w="2880"/>
          </w:tcPr>
          <w:p>
            <w:pPr>
              <w:jc w:val="center"/>
            </w:pPr>
            <w:r>
              <w:rPr>
                <w:sz w:val="18"/>
              </w:rPr>
              <w:t>自身信用记录相对干净</w:t>
            </w:r>
          </w:p>
        </w:tc>
      </w:tr>
      <w:tr>
        <w:tc>
          <w:tcPr>
            <w:tcW w:type="dxa" w:w="2880"/>
            <w:shd w:fill="D6E4F0" w:val="clear"/>
          </w:tcPr>
          <w:p>
            <w:pPr>
              <w:jc w:val="center"/>
            </w:pPr>
            <w:r>
              <w:rPr>
                <w:sz w:val="18"/>
              </w:rPr>
              <w:t>偿债能力</w:t>
            </w:r>
          </w:p>
        </w:tc>
        <w:tc>
          <w:tcPr>
            <w:tcW w:type="dxa" w:w="2880"/>
            <w:shd w:fill="D6E4F0" w:val="clear"/>
          </w:tcPr>
          <w:p>
            <w:pPr>
              <w:jc w:val="center"/>
            </w:pPr>
            <w:r>
              <w:rPr>
                <w:sz w:val="18"/>
              </w:rPr>
              <w:t>A-</w:t>
            </w:r>
          </w:p>
        </w:tc>
        <w:tc>
          <w:tcPr>
            <w:tcW w:type="dxa" w:w="2880"/>
            <w:shd w:fill="D6E4F0" w:val="clear"/>
          </w:tcPr>
          <w:p>
            <w:pPr>
              <w:jc w:val="center"/>
            </w:pPr>
            <w:r>
              <w:rPr>
                <w:sz w:val="18"/>
              </w:rPr>
              <w:t>集团信用支撑下偿债能力较强</w:t>
            </w:r>
          </w:p>
        </w:tc>
      </w:tr>
      <w:tr>
        <w:tc>
          <w:tcPr>
            <w:tcW w:type="dxa" w:w="2880"/>
          </w:tcPr>
          <w:p>
            <w:pPr>
              <w:jc w:val="center"/>
            </w:pPr>
            <w:r>
              <w:rPr>
                <w:sz w:val="18"/>
              </w:rPr>
              <w:t>综合评级</w:t>
            </w:r>
          </w:p>
        </w:tc>
        <w:tc>
          <w:tcPr>
            <w:tcW w:type="dxa" w:w="2880"/>
          </w:tcPr>
          <w:p>
            <w:pPr>
              <w:jc w:val="center"/>
            </w:pPr>
            <w:r>
              <w:rPr>
                <w:sz w:val="18"/>
              </w:rPr>
              <w:t>BBB+</w:t>
            </w:r>
          </w:p>
        </w:tc>
        <w:tc>
          <w:tcPr>
            <w:tcW w:type="dxa" w:w="2880"/>
          </w:tcPr>
          <w:p>
            <w:pPr>
              <w:jc w:val="center"/>
            </w:pPr>
            <w:r>
              <w:rPr>
                <w:sz w:val="18"/>
              </w:rPr>
              <w:t>投资级，集团属性为主要加分项</w:t>
            </w:r>
          </w:p>
        </w:tc>
      </w:tr>
    </w:tbl>
    <w:p/>
    <w:p>
      <w:pPr>
        <w:pStyle w:val="Heading2"/>
      </w:pPr>
      <w:r>
        <w:t>4.4 授信建议</w:t>
      </w:r>
    </w:p>
    <w:p>
      <w:r>
        <w:rPr>
          <w:b/>
        </w:rPr>
        <w:t>总体建议：</w:t>
      </w:r>
      <w:r>
        <w:t>在集团担保或有效增信措施前提下，可审慎给予适度授信。</w:t>
      </w:r>
    </w:p>
    <w:p>
      <w:r>
        <w:t>1. 授信前提：建议要求提供母公司资环链金再生资源有限公司或中国宝武体系内核心企业的连带责任保证担保。</w:t>
      </w:r>
    </w:p>
    <w:p>
      <w:r>
        <w:t>2. 授信额度建议：根据公司注册资本1亿元及废钢业务周转特性，新增授信额度建议控制在3,000万元以内，存量的情参照维持。</w:t>
      </w:r>
    </w:p>
    <w:p>
      <w:r>
        <w:t>3. 授信用途管控：限定用于废钢采购等主营业务流动资金需求，严禁用于固定资产投资或关联方资金拆借。</w:t>
      </w:r>
    </w:p>
    <w:p>
      <w:r>
        <w:t>4. 关键约束条款：设置"资产负债率≤70%"、"应收账款周转天数≤60天"等财务约束指标。</w:t>
      </w:r>
    </w:p>
    <w:p>
      <w:r>
        <w:t>5. 贷后管理要求：按季收集公司财务报表（至少包含资产负债表、利润表），密切跟踪应收账款回收、存货变动及经营性现金流情况。</w:t>
      </w:r>
    </w:p>
    <w:p>
      <w:r>
        <w:t>6. 风险预警信号：关注昆钢粗钢产量变化、废钢价格大幅波动、公司涉诉信息、母公司经营异常等风险信号。</w:t>
      </w:r>
    </w:p>
    <w:p>
      <w:r>
        <w:t>7. 增信措施：建议附加应收账款质押或存货浮动抵押，以增强第二还款来源保障。</w:t>
      </w:r>
    </w:p>
    <w:p>
      <w:r>
        <w:t>8. 定期复审：鉴于公司成立时间较短，建议授信期限不超过1年，到期后基于最新财务状况重新评估。</w:t>
      </w:r>
    </w:p>
    <w:p/>
    <w:p>
      <w:pPr>
        <w:pStyle w:val="Heading2"/>
      </w:pPr>
      <w:r>
        <w:t>五、信息披露与免责声明</w:t>
      </w:r>
    </w:p>
    <w:p>
      <w:r>
        <w:rPr>
          <w:b/>
        </w:rPr>
        <w:t>数据来源说明：</w:t>
      </w:r>
      <w:r>
        <w:t>本报告数据来源包括：①企业信用信息公示系统及商业查询平台（启信宝、天眼查等）的工商登记与风险信息；②资环链金再生资源有限公司官方网站（www.oylianjin.cn）公开的经营数据；③公开新闻报道及行业资讯；④中国宝武钢铁集团有限公司公开信息。</w:t>
      </w:r>
    </w:p>
    <w:p>
      <w:r>
        <w:rPr>
          <w:b/>
        </w:rPr>
        <w:t>重要提示：</w:t>
      </w:r>
      <w:r>
        <w:t>①欧冶链金（云南）再生资源有限公司为非上市有限责任公司，未向社会公众公开披露财务报表，本报告中的财务分析部分基于行业规律和公开信息推断，可能与实际情况存在偏差。②母公司经营数据（如5,300万吨、1,200亿元等）为集团口径，不代表云南链金单体数据。③建议在授信审批前，向企业索取近三年经审计的财务报表以验证关键假设。</w:t>
      </w:r>
    </w:p>
    <w:p>
      <w:r>
        <w:rPr>
          <w:b/>
          <w:sz w:val="18"/>
        </w:rPr>
        <w:t>免责声明：</w:t>
      </w:r>
      <w:r>
        <w:rPr>
          <w:sz w:val="18"/>
        </w:rPr>
        <w:t>本报告基于公开渠道获取的企业工商信息、行业数据及公开资讯编制，仅供内部授信审查参考，不构成任何投资或信贷决策建议。报告中的分析推断部分为编制人基于有限信息的合理判断，不作为确切数据使用。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