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  <w:sz w:val="44"/>
        </w:rPr>
        <w:t>云南贝泰妮生物科技集团股份有限公司</w:t>
        <w:br/>
        <w:t>近三年授信审查参考报告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公司全称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云南贝泰妮生物科技集团股份有限公司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股票代码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300957.SZ（深交所创业板）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成立日期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2010年5月13日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上市日期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2021年3月25日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法定代表人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郭振宇（GUO ZHENYU）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注册地址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云南省昆明市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注册资本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42,360万元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所属行业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化妆品/护肤行业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主营业务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功能性护肤品研发、生产和销售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核心品牌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薇诺娜（Winona）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控股股东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昆明诺纳科技有限公司（持股45.97%）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二股东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天津红杉聚业（持股约7.62%）</w:t>
            </w:r>
          </w:p>
        </w:tc>
      </w:tr>
      <w:tr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报告期间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2023年度—2025年度</w:t>
            </w:r>
          </w:p>
        </w:tc>
        <w:tc>
          <w:tcPr>
            <w:tcW w:type="dxa" w:w="2160"/>
            <w:shd w:fill="D9E2F3" w:val="clear"/>
          </w:tcPr>
          <w:p>
            <w:r>
              <w:rPr>
                <w:b/>
                <w:sz w:val="18"/>
              </w:rPr>
              <w:t>编制日期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2026年05月28日</w:t>
            </w:r>
          </w:p>
        </w:tc>
      </w:tr>
    </w:tbl>
    <w:p/>
    <w:p>
      <w:pPr>
        <w:pStyle w:val="Heading1"/>
      </w:pPr>
      <w:r>
        <w:t>一、经营情况分析</w:t>
      </w:r>
    </w:p>
    <w:p>
      <w:pPr>
        <w:pStyle w:val="Heading2"/>
      </w:pPr>
      <w:r>
        <w:t>1.1 近三年总体经营概况</w:t>
      </w:r>
    </w:p>
    <w:p>
      <w:r>
        <w:rPr>
          <w:b/>
        </w:rPr>
        <w:t>贝泰妮近三年经营呈现"增收乏力、利润承压"的态势。</w:t>
      </w:r>
      <w:r>
        <w:t>2023年公司实现营业收入55.22亿元（同比+10.14%），但归母净利润大幅下滑至7.57亿元（同比-28.02%）；2024年营收微增至57.36亿元（+3.87%），归母净利润进一步降至5.03亿元（-33.53%），扣非净利润仅2.40亿元（-61.12%）；2025年营收拐头向下至53.59亿元（-6.58%），归母净利润微升至5.06亿元（+0.53%），扣非净利润回升至3.56亿元（+48.22%），但整体盈利水平较2022年高峰仍有较大差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财务指标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趋势判断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营业收入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55.22亿元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57.36亿元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53.59亿元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先增后降，2025年负增长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营收同比增速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+10.14%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+3.87%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-6.58%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增速持续放缓转负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归母净利润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7.57亿元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5.03亿元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5.06亿元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大幅下滑后企稳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净利润同比增速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-28.02%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-33.53%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+0.53%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连续两年下滑后微回正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扣非净利润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6.18亿元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2.40亿元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3.56亿元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先大幅下滑后回升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基本每股收益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1.79元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1.20元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1.20元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下降后持平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销售毛利率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73.90%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73.74%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74.46%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基本稳定，略有回升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销售净利率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13.75%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8.63%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9.64%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大幅下降后小幅回升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净资产收益率（ROE）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13.21%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8.53%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8.20%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持续下降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每股净资产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13.84元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14.28元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14.92元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逐年增长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每股经营现金流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1.44元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1.64元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2.31元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现金流持续改善</w:t>
            </w:r>
          </w:p>
        </w:tc>
      </w:tr>
    </w:tbl>
    <w:p/>
    <w:p>
      <w:pPr>
        <w:pStyle w:val="Heading2"/>
      </w:pPr>
      <w:r>
        <w:t>1.2 核心品牌与收入结构分析</w:t>
      </w:r>
    </w:p>
    <w:p>
      <w:r>
        <w:rPr>
          <w:b/>
        </w:rPr>
        <w:t>薇诺娜（Winona）</w:t>
      </w:r>
      <w:r>
        <w:t>仍为绝对核心品牌，贡献绝大部分营收（约90%以上）。子品牌包括「薇诺娜宝贝」（婴幼儿护肤）、「AOXMED」（高端抗衰）、「BeautyAnswers」（大众护肤）等尚处培育期。线上渠道占比约八成，过度依赖天猫、抖音等电商平台。</w:t>
      </w:r>
    </w:p>
    <w:p>
      <w:r>
        <w:rPr>
          <w:b/>
        </w:rPr>
        <w:t>品牌集中度风险：</w:t>
      </w:r>
      <w:r>
        <w:t>对薇诺娜单一品牌的过度依赖是公司最突出的经营风险。2024年营收增速仅为3.87%，2025年甚至出现负增长，表明薇诺娜品牌增长已触及天花板。功能护肤品赛道竞争加剧，华熙生物（润百颜）、上海家化（玉泽）等品牌分流效应明显。</w:t>
      </w:r>
    </w:p>
    <w:p>
      <w:pPr>
        <w:pStyle w:val="Heading2"/>
      </w:pPr>
      <w:r>
        <w:t>1.3 费用结构与研发投入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费用项目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变动分析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销售费用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26.10亿元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28.66亿元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26.76亿元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先增后降，销售费用率约50%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管理费用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4.13亿元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5.13亿元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4.95亿元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2024年增幅明显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研发费用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2.99亿元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2.95亿元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2.37亿元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逐年缩减，2025年下滑明显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财务费用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-0.21亿元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-0.01亿元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0.11亿元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由负转正，因借款增加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销售费用率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约47.3%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约50.0%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约49.9%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维持在较高水平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研发费用率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约5.4%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约5.1%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约4.4%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逐年下降，需关注</w:t>
            </w:r>
          </w:p>
        </w:tc>
      </w:tr>
    </w:tbl>
    <w:p>
      <w:r>
        <w:rPr>
          <w:b/>
        </w:rPr>
        <w:t>分析要点：</w:t>
      </w:r>
      <w:r>
        <w:t>公司销售费用率常年维持50%左右，远高于行业平均水平（化妆品行业约30%-40%），渠道驱动型增长特征显著。研发费用率从5.4%逐年降至4.4%，在行业竞争加剧、消费者对功效成分关注度日益提升的背景下，研发投入缩减可能削弱产品竞争力与护城河。</w:t>
      </w:r>
    </w:p>
    <w:p>
      <w:pPr>
        <w:pStyle w:val="Heading1"/>
      </w:pPr>
      <w:r>
        <w:t>二、资产负债与偿债能力分析</w:t>
      </w:r>
    </w:p>
    <w:p>
      <w:pPr>
        <w:pStyle w:val="Heading2"/>
      </w:pPr>
      <w:r>
        <w:t>2.1 资产负债概况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资产负债项目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2023年末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2024年末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2025年末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变动趋势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总资产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75.07亿元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83.04亿元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83.41亿元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逐年增长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总负债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14.91亿元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21.16亿元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20.37亿元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2024年跳升，2025年微降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归属母公司权益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58.61亿元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60.50亿元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61.57亿元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稳定增长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资产负债率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19.86%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25.48%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24.42%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整体仍处较低水平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货币资金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20.91亿元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18.10亿元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24.58亿元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充裕，2025年大幅回升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交易性金融资产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12.38亿元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24.28亿元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18.50亿元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理财资产较充裕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流动资产合计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55.23亿元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61.33亿元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58.68亿元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先增后降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存货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9.04亿元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6.12亿元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5.28亿元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持续优化去库存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应收账款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5.62亿元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6.91亿元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5.59亿元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2024年增长后回落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短期借款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1.04亿元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3.15亿元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4.81亿元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逐年大幅增加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长期借款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0.05亿元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3.22亿元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2.07亿元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2024年大幅增加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有息负债合计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约1.09亿元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约6.37亿元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约6.88亿元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增长明显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商誉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4.14亿元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3.23亿元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2.93亿元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逐年减值/摊销</w:t>
            </w:r>
          </w:p>
        </w:tc>
      </w:tr>
    </w:tbl>
    <w:p/>
    <w:p>
      <w:pPr>
        <w:pStyle w:val="Heading2"/>
      </w:pPr>
      <w:r>
        <w:t>2.2 偿债能力评估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偿债指标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2025年度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评价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流动比率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4.28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4.04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3.77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良好，但仍高于2.0安全线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速动比率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3.18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3.51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3.27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良好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产权比率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0.33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低杠杆，财务结构稳健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经营现金流/流动负债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约45%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约36%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约55%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持续改善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货币资金/短期借款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20.1倍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5.7倍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5.1倍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覆盖充足但倍数下降中</w:t>
            </w:r>
          </w:p>
        </w:tc>
      </w:tr>
    </w:tbl>
    <w:p>
      <w:r>
        <w:rPr>
          <w:b/>
        </w:rPr>
        <w:t>偿债能力综合评价：</w:t>
      </w:r>
      <w:r>
        <w:t>公司整体偿债能力较强。资产负债率仅24.42%（2025年末），财务杠杆极低；流动比率3.77、速动比率3.27，流动性充裕；货币资金（24.58亿元）远超有息负债（约6.88亿元）。但需注意：①短期借款从1.04亿元增至4.81亿元，有息负债率明显上升；②2025年营收出现负增长，盈利能力下滑可能拖累内源性偿债资金来源；③经营现金流改善（2025年达9.77亿元）为偿债提供良好支撑。整体看，短期偿债风险较低，中期需关注盈利修复进度。</w:t>
      </w:r>
    </w:p>
    <w:p>
      <w:pPr>
        <w:pStyle w:val="Heading1"/>
      </w:pPr>
      <w:r>
        <w:t>三、负面信息与风险事件汇总</w:t>
      </w:r>
    </w:p>
    <w:p>
      <w:pPr>
        <w:pStyle w:val="Heading2"/>
      </w:pPr>
      <w:r>
        <w:t>3.1 产品与合规风险</w:t>
      </w:r>
    </w:p>
    <w:p>
      <w:r>
        <w:rPr>
          <w:b/>
        </w:rPr>
        <w:t>（1）2024年9月 — 薇诺娜清透防晒乳抽检不合格</w:t>
      </w:r>
      <w:r>
        <w:br/>
        <w:t xml:space="preserve">    详情：国家药监局/地方监管部门抽检中发现薇诺娜清透防晒乳标识不合格。贝泰妮随后声明称系假冒产品，非其正品，已启动打假维权。</w:t>
        <w:br/>
        <w:t xml:space="preserve">    风险等级：中 | 影响评估：虽然公司称系假货，但品牌声誉受到一定冲击。消费者对品牌信任度可能下降。</w:t>
      </w:r>
    </w:p>
    <w:p>
      <w:r>
        <w:rPr>
          <w:b/>
        </w:rPr>
        <w:t>（2）2025年5月 — 消费者投诉产品质量问题</w:t>
      </w:r>
      <w:r>
        <w:br/>
        <w:t xml:space="preserve">    详情：有消费者反映薇诺娜产品在保质期内出现变质现象，客服回应不当引发舆情，公司随后公告回应。</w:t>
        <w:br/>
        <w:t xml:space="preserve">    风险等级：中 | 影响评估：暴露了品控和售后服务体系的薄弱环节，可能影响复购率与品牌忠诚度。</w:t>
      </w:r>
    </w:p>
    <w:p>
      <w:r>
        <w:rPr>
          <w:b/>
        </w:rPr>
        <w:t>（3）2023-2025年 — 功能护肤品成分争议</w:t>
      </w:r>
      <w:r>
        <w:br/>
        <w:t xml:space="preserve">    详情：社会各界关于功效性护肤品成分安全性的讨论持续升温，监管部门加强了对"医美级"概念营销的审查。</w:t>
        <w:br/>
        <w:t xml:space="preserve">    风险等级：低-中 | 影响评估：行业系统性风险，可能影响全行业营销策略和产品合规成本。</w:t>
      </w:r>
    </w:p>
    <w:p/>
    <w:p>
      <w:pPr>
        <w:pStyle w:val="Heading2"/>
      </w:pPr>
      <w:r>
        <w:t>3.2 公司治理与高管风险</w:t>
      </w:r>
    </w:p>
    <w:p>
      <w:r>
        <w:rPr>
          <w:b/>
        </w:rPr>
        <w:t>（1）2024年5月 — 联合创始人董俊姿被刑事拘留</w:t>
      </w:r>
      <w:r>
        <w:br/>
        <w:t xml:space="preserve">    详情：贝泰妮联合创始人、前副总经理董俊姿因涉嫌犯罪被上海市有关部门刑事拘留。董俊姿曾主管公司电商业务，是公司线上渠道的核心操盘人。</w:t>
        <w:br/>
        <w:t xml:space="preserve">    风险等级：高 | 影响评估：核心高管涉刑对品牌和资本市场信心造成重大冲击。公司渠道运营稳定性面临考验。</w:t>
      </w:r>
    </w:p>
    <w:p>
      <w:r>
        <w:rPr>
          <w:b/>
        </w:rPr>
        <w:t>（2）2026年5月-6月 — 董俊姿与贝泰妮互诉公堂</w:t>
      </w:r>
      <w:r>
        <w:br/>
        <w:t xml:space="preserve">    详情：董俊姿以合同纠纷为由，将贝泰妮、上海贝泰妮及创始人郭振宇一并诉至上海市第一中级人民法院（案号未知），案件将于2026年6月3日开庭。</w:t>
        <w:br/>
        <w:t xml:space="preserve">    风险等级：高 | 影响评估：内斗公开化，可能揭露更多内部治理问题。诉讼结果不确定，潜在赔偿风险。</w:t>
      </w:r>
    </w:p>
    <w:p>
      <w:r>
        <w:rPr>
          <w:b/>
        </w:rPr>
        <w:t>（3）2023-2025年 — 大股东红杉聚业频繁减持</w:t>
      </w:r>
      <w:r>
        <w:br/>
        <w:t xml:space="preserve">    详情：二股东红杉聚业自2022年起连续五轮减持，累计套现约59亿元。2025年7月公告拟再减持不超过总股本2%。2026年4月15日单日减持1109万股（占总股本2.62%），套现4.12亿元。</w:t>
        <w:br/>
        <w:t xml:space="preserve">    风险等级：中-高 | 影响评估：重要股东的持续减持传递了负面信号，压制股价表现，也引发市场对公司前景的担忧。</w:t>
      </w:r>
    </w:p>
    <w:p/>
    <w:p>
      <w:pPr>
        <w:pStyle w:val="Heading2"/>
      </w:pPr>
      <w:r>
        <w:t>3.3 负面信息汇总评级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风险类别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风险事件数量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严重程度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对信用评估的影响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产品/合规风险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3起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中等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品牌声誉受损，品控体系需关注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高管/治理风险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3起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高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核心管理层动荡，内斗公开化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业绩风险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连续下滑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中-高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营收与利润双降，基本面走弱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股东行为风险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多轮减持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中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重要股东持续减持</w:t>
            </w:r>
          </w:p>
        </w:tc>
      </w:tr>
    </w:tbl>
    <w:p/>
    <w:p>
      <w:r>
        <w:rPr>
          <w:b/>
        </w:rPr>
        <w:t>负面信息综合评价：</w:t>
      </w:r>
      <w:r>
        <w:t>近三年贝泰妮负面信息呈增多趋势，尤其是2024-2025年间集中爆发。联合创始人刑拘与诉讼案为公司治理层面的重大负面事件，可能影响经营稳定性与商业合作信心。大股东红杉持续减持进一步压缩市场估值。负面信息密集度较高，信用审查中应给予充分关注。</w:t>
      </w:r>
    </w:p>
    <w:p>
      <w:pPr>
        <w:pStyle w:val="Heading1"/>
      </w:pPr>
      <w:r>
        <w:t>四、融资情况分析</w:t>
      </w:r>
    </w:p>
    <w:p>
      <w:pPr>
        <w:pStyle w:val="Heading2"/>
      </w:pPr>
      <w:r>
        <w:t>4.1 股权融资</w:t>
      </w:r>
    </w:p>
    <w:p>
      <w:r>
        <w:rPr>
          <w:b/>
        </w:rPr>
        <w:t>① IPO融资：</w:t>
      </w:r>
      <w:r>
        <w:t>公司于2021年3月25日在深交所创业板上市，发行价47.33元/股，募集资金净额约30亿元，用于中央工厂新基地建设、营销渠道及品牌建设等项目。</w:t>
      </w:r>
    </w:p>
    <w:p>
      <w:r>
        <w:rPr>
          <w:b/>
        </w:rPr>
        <w:t>② 再融资：</w:t>
      </w:r>
      <w:r>
        <w:t>近三年（2023-2025年）公司未进行增发、配股等股权再融资。</w:t>
      </w:r>
    </w:p>
    <w:p>
      <w:r>
        <w:rPr>
          <w:b/>
        </w:rPr>
        <w:t>③ 股份回购：</w:t>
      </w:r>
      <w:r>
        <w:t>2026年4月，董事会决议通过1亿-2亿元股份回购计划，用于股权激励。截至2026年4月末，暂未实施回购。</w:t>
      </w:r>
    </w:p>
    <w:p/>
    <w:p>
      <w:pPr>
        <w:pStyle w:val="Heading2"/>
      </w:pPr>
      <w:r>
        <w:t>4.2 债券融资</w:t>
      </w:r>
    </w:p>
    <w:p>
      <w:r>
        <w:t>近三年公司未发行公司债、可转债或中期票据等债务融资工具。公司长期依赖银行借款和经营性现金流满足资金需求，融资方式较为单一。</w:t>
      </w:r>
    </w:p>
    <w:p/>
    <w:p>
      <w:pPr>
        <w:pStyle w:val="Heading2"/>
      </w:pPr>
      <w:r>
        <w:t>4.3 银行授信与借款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借款项目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2023年末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2024年末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2025年末</w:t>
            </w:r>
          </w:p>
        </w:tc>
        <w:tc>
          <w:tcPr>
            <w:tcW w:type="dxa" w:w="1728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变化趋势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短期借款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1.04亿元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3.15亿元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4.81亿元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大幅增长（+362%）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长期借款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0.05亿元（470万）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3.22亿元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2.07亿元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先增后降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有息负债合计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约1.09亿元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约6.37亿元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约6.88亿元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大幅增长（+531%）</w:t>
            </w:r>
          </w:p>
        </w:tc>
      </w:tr>
      <w:tr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货币资金覆盖倍数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约19倍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约2.8倍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约3.6倍</w:t>
            </w:r>
          </w:p>
        </w:tc>
        <w:tc>
          <w:tcPr>
            <w:tcW w:type="dxa" w:w="1728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覆盖充足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利息费用（利润表）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约0.21亿元（财务收入）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约0.01亿元（财务收入）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约0.11亿元（财务支出）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财务费用转正</w:t>
            </w:r>
          </w:p>
        </w:tc>
      </w:tr>
    </w:tbl>
    <w:p>
      <w:r>
        <w:rPr>
          <w:b/>
        </w:rPr>
        <w:t>银行授信方面：</w:t>
      </w:r>
      <w:r>
        <w:t>2026年5月公司股东大会审议通过《关于公司2026年度向银行申请综合授信额度的议案》，获99.96%表决权同意通过。公开信息显示公司银行授信额度充足，但具体授信银行及额度未详细披露。从财务结构看，公司资产负债率极低（25%以下），财务弹性大，银行融资渠道通畅。</w:t>
      </w:r>
    </w:p>
    <w:p/>
    <w:p>
      <w:pPr>
        <w:pStyle w:val="Heading2"/>
      </w:pPr>
      <w:r>
        <w:t>4.4 股利分配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分红年度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分红方案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分红总额（估算）</w:t>
            </w:r>
          </w:p>
        </w:tc>
        <w:tc>
          <w:tcPr>
            <w:tcW w:type="dxa" w:w="216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分红率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2022年度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10派8.0元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约3.39亿元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约32.2%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2023年度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10派6.0元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约2.54亿元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约33.6%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2024年度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10派6.0元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约2.54亿元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sz w:val="18"/>
              </w:rPr>
              <w:t>约50.5%</w:t>
            </w:r>
          </w:p>
        </w:tc>
      </w:tr>
      <w:tr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2025年度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10派3.5元（中期）+3.0元（年度）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约2.75亿元</w:t>
            </w:r>
          </w:p>
        </w:tc>
        <w:tc>
          <w:tcPr>
            <w:tcW w:type="dxa" w:w="216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约54.3%</w:t>
            </w:r>
          </w:p>
        </w:tc>
      </w:tr>
    </w:tbl>
    <w:p>
      <w:r>
        <w:rPr>
          <w:b/>
        </w:rPr>
        <w:t>分析：</w:t>
      </w:r>
      <w:r>
        <w:t>公司持续保持较高分红比例，2025年度合计每10股派发现金6.5元。在利润下行背景下分红仍在持续，反映出公司现金流管理较好，对股东回馈意愿较强。但高分红率（2025年约54%）也可能影响内源性资本积累。</w:t>
      </w:r>
    </w:p>
    <w:p>
      <w:pPr>
        <w:pStyle w:val="Heading1"/>
      </w:pPr>
      <w:r>
        <w:t>五、授信审查综合评价</w:t>
      </w:r>
    </w:p>
    <w:p>
      <w:pPr>
        <w:pStyle w:val="Heading2"/>
      </w:pPr>
      <w:r>
        <w:t>5.1 优势与正面因素</w:t>
      </w:r>
    </w:p>
    <w:p>
      <w:r>
        <w:t>1. 资产质量优异：资产负债率仅24.42%，财务杠杆极低，货币资金充裕（24.58亿元）远高于有息负债。</w:t>
      </w:r>
    </w:p>
    <w:p>
      <w:r>
        <w:t>2. 现金流强劲：2025年经营活动现金流净额达9.77亿元，为偿债提供充足的内源性资金保障。</w:t>
      </w:r>
    </w:p>
    <w:p>
      <w:r>
        <w:t>3. 品牌基础扎实：薇诺娜在敏感肌赛道心智占有率高，毛利率稳定在74%左右，品牌护城河尚在。</w:t>
      </w:r>
    </w:p>
    <w:p>
      <w:r>
        <w:t>4. 偿付能力充足：流动比率3.77、速动比率3.27，短期偿债风险极低；财务结构以权益融资为主，银行融资空间大。</w:t>
      </w:r>
    </w:p>
    <w:p>
      <w:r>
        <w:t>5. 监管合规良好：除个别产品争议外，未出现系统性、重大监管处罚事件。</w:t>
      </w:r>
    </w:p>
    <w:p/>
    <w:p>
      <w:pPr>
        <w:pStyle w:val="Heading2"/>
      </w:pPr>
      <w:r>
        <w:t>5.2 风险与关注点</w:t>
      </w:r>
    </w:p>
    <w:p>
      <w:r>
        <w:t>1. 盈利能力恶化：归母净利润从7.57亿元（2023）降至5.06亿元（2025），ROE从13.21%降至8.20%，盈利质量明显下滑。</w:t>
      </w:r>
    </w:p>
    <w:p>
      <w:r>
        <w:t>2. 营收增长放缓甚至转负：2025年营收同比-6.58%，品牌增长天花板显现。</w:t>
      </w:r>
    </w:p>
    <w:p>
      <w:r>
        <w:t>3. 品牌集中度过高：对薇诺娜单一品牌依赖度超90%，多元化战略成效不明显。</w:t>
      </w:r>
    </w:p>
    <w:p>
      <w:r>
        <w:t>4. 高管治理风险突出：联合创始人刑拘并与公司对簿公堂，核心管理层稳定性存疑，此为最重要的非财务风险。</w:t>
      </w:r>
    </w:p>
    <w:p>
      <w:r>
        <w:t>5. 大股东持续减持：红杉聚业五轮减持累计套现约59亿元，释放负面信号。</w:t>
      </w:r>
    </w:p>
    <w:p>
      <w:r>
        <w:t>6. 有息负债增长较快：短期借款从1.04亿元增至4.81亿元（+362%），虽整体负债率仍低，但杠杆率上升趋势值得关注。</w:t>
      </w:r>
    </w:p>
    <w:p>
      <w:r>
        <w:t>7. 研发投入收缩：研发费用率从5.4%降至4.4%，在功效护肤赛道可能削弱长期竞争力。</w:t>
      </w:r>
    </w:p>
    <w:p>
      <w:r>
        <w:t>8. 商誉减值风险：账上商誉2.93亿元，随被收购标的业绩波动存在进一步减值可能。</w:t>
      </w:r>
    </w:p>
    <w:p/>
    <w:p>
      <w:pPr>
        <w:pStyle w:val="Heading2"/>
      </w:pPr>
      <w:r>
        <w:t>5.3 综合信用评级与建议</w:t>
      </w:r>
    </w:p>
    <w:p>
      <w:r>
        <w:rPr>
          <w:b/>
        </w:rPr>
        <w:t>综合信用评级：BBB+（投资级，但展望为"负面"）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评估维度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评级</w:t>
            </w:r>
          </w:p>
        </w:tc>
        <w:tc>
          <w:tcPr>
            <w:tcW w:type="dxa" w:w="2880"/>
            <w:shd w:fill="1F4E79" w:val="clear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财务实力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低杠杆、高流动性、充足现金储备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盈利能力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BBB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毛利率稳定但净利率下行，盈利能力弱化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成长性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BB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营收负增长，品牌增长乏力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公司治理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BB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高管动荡、股东减持，治理风险显著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行业地位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敏感肌护肤赛道龙头地位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负面信息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BB-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密集负面事件，需持续关注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偿债能力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AA-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短期偿债能力极强，中期取决于盈利修复</w:t>
            </w:r>
          </w:p>
        </w:tc>
      </w:tr>
      <w:tr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综合评级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BBB+</w:t>
            </w:r>
          </w:p>
        </w:tc>
        <w:tc>
          <w:tcPr>
            <w:tcW w:type="dxa" w:w="2880"/>
            <w:shd w:fill="D6E4F0" w:val="clear"/>
          </w:tcPr>
          <w:p>
            <w:pPr>
              <w:jc w:val="center"/>
            </w:pPr>
            <w:r>
              <w:rPr>
                <w:sz w:val="18"/>
              </w:rPr>
              <w:t>投资级但展望负面</w:t>
            </w:r>
          </w:p>
        </w:tc>
      </w:tr>
    </w:tbl>
    <w:p/>
    <w:p>
      <w:r>
        <w:rPr>
          <w:b/>
        </w:rPr>
        <w:t>授信建议：</w:t>
      </w:r>
    </w:p>
    <w:p>
      <w:r>
        <w:t>1. 可维持存量授信额度，但建议审慎评估增量授信需求。</w:t>
      </w:r>
    </w:p>
    <w:p>
      <w:r>
        <w:t>2. 建议授信期限控制在1年以内，设置财务约束指标（如资产负债率≤35%、流动比率≥2.5等）。</w:t>
      </w:r>
    </w:p>
    <w:p>
      <w:r>
        <w:t>3. 密切关注高管诉讼案件进展（2026年6月3日开庭），若出现重大不利判决，应重新评估授信风险。</w:t>
      </w:r>
    </w:p>
    <w:p>
      <w:r>
        <w:t>4. 关注大股东红杉聚业后续减持计划及持股比例变化。</w:t>
      </w:r>
    </w:p>
    <w:p>
      <w:r>
        <w:t>5. 建议要求企业提供控股股东担保或关键资产抵质押作为增信措施。</w:t>
      </w:r>
    </w:p>
    <w:p>
      <w:r>
        <w:t>6. 定期（季度）跟踪营收增速、毛利率及经营现金流变化，设置预警机制。</w:t>
      </w:r>
    </w:p>
    <w:p>
      <w:r>
        <w:t>7. 关注品牌多元化进展及研发投入变化，以评估中长期竞争力。</w:t>
      </w:r>
    </w:p>
    <w:p/>
    <w:p>
      <w:r>
        <w:rPr>
          <w:b/>
          <w:sz w:val="18"/>
        </w:rPr>
        <w:t>免责声明：</w:t>
      </w:r>
      <w:r>
        <w:rPr>
          <w:sz w:val="18"/>
        </w:rPr>
        <w:t>本报告基于公开渠道获取的财务数据、新闻资讯及行业分析编制，数据来源包括但不限于东方财富Choice数据、同花顺iFinD、新浪财经、巨潮资讯网、公司年度报告摘要等。所有引用数据已力求准确，但不排除与公司实际数据存在偏差的可能。本报告仅供内部授信审查参考，不构成任何投资或信贷决策建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