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2FDA" w:rsidRDefault="00C67D09" w:rsidP="00617126">
      <w:pPr>
        <w:jc w:val="center"/>
        <w:rPr>
          <w:rFonts w:ascii="Times New Roman" w:hAnsi="Times New Roman" w:cs="Times New Roman"/>
          <w:b/>
          <w:bCs/>
          <w:sz w:val="28"/>
          <w:szCs w:val="28"/>
        </w:rPr>
      </w:pPr>
      <w:r w:rsidRPr="00617126">
        <w:rPr>
          <w:rFonts w:ascii="Times New Roman" w:hAnsi="Times New Roman" w:cs="Times New Roman"/>
          <w:b/>
          <w:bCs/>
          <w:sz w:val="28"/>
          <w:szCs w:val="28"/>
        </w:rPr>
        <w:t>Managing Currency Exposure</w:t>
      </w:r>
    </w:p>
    <w:p w:rsidR="00C67D09" w:rsidRPr="00617126" w:rsidRDefault="00C67D09" w:rsidP="00617126">
      <w:pPr>
        <w:jc w:val="center"/>
        <w:rPr>
          <w:rFonts w:ascii="Times New Roman" w:hAnsi="Times New Roman" w:cs="Times New Roman"/>
          <w:b/>
          <w:bCs/>
          <w:sz w:val="28"/>
          <w:szCs w:val="28"/>
        </w:rPr>
      </w:pPr>
      <w:r w:rsidRPr="00617126">
        <w:rPr>
          <w:rFonts w:ascii="Times New Roman" w:hAnsi="Times New Roman" w:cs="Times New Roman"/>
          <w:b/>
          <w:bCs/>
          <w:sz w:val="28"/>
          <w:szCs w:val="28"/>
        </w:rPr>
        <w:t xml:space="preserve"> A Strategic Analysis of Coca-Cola and Nestlé's Risk Mitigation Practices</w:t>
      </w:r>
    </w:p>
    <w:p w:rsidR="00C67D09" w:rsidRPr="00617126" w:rsidRDefault="00C67D09" w:rsidP="009302B5">
      <w:pPr>
        <w:rPr>
          <w:rFonts w:ascii="Times New Roman" w:hAnsi="Times New Roman" w:cs="Times New Roman"/>
          <w:b/>
          <w:bCs/>
        </w:rPr>
      </w:pPr>
    </w:p>
    <w:p w:rsidR="00C67D09" w:rsidRPr="00047BD0" w:rsidRDefault="00C67D09" w:rsidP="00C67D09">
      <w:pPr>
        <w:rPr>
          <w:rFonts w:ascii="Times New Roman" w:hAnsi="Times New Roman" w:cs="Times New Roman"/>
          <w:color w:val="ED0000"/>
          <w:sz w:val="24"/>
          <w:szCs w:val="24"/>
        </w:rPr>
      </w:pPr>
      <w:r w:rsidRPr="00047BD0">
        <w:rPr>
          <w:rFonts w:ascii="Times New Roman" w:hAnsi="Times New Roman" w:cs="Times New Roman"/>
          <w:b/>
          <w:bCs/>
          <w:color w:val="ED0000"/>
          <w:sz w:val="24"/>
          <w:szCs w:val="24"/>
        </w:rPr>
        <w:t>Executive Summary</w:t>
      </w:r>
    </w:p>
    <w:p w:rsidR="00C67D09" w:rsidRPr="00617126" w:rsidRDefault="00C67D09" w:rsidP="00617126">
      <w:pPr>
        <w:jc w:val="both"/>
        <w:rPr>
          <w:rFonts w:ascii="Times New Roman" w:hAnsi="Times New Roman" w:cs="Times New Roman"/>
        </w:rPr>
      </w:pPr>
      <w:r w:rsidRPr="00617126">
        <w:rPr>
          <w:rFonts w:ascii="Times New Roman" w:hAnsi="Times New Roman" w:cs="Times New Roman"/>
        </w:rPr>
        <w:t>This report examines the impact of foreign currency fluctuations on the financial statements of multinational corporations, focusing on two industry giants: Coca-Cola and Nestlé. As multinational companies, both face the challenges of managing multiple currencies in their financial operations due to their extensive international presence. This analysis explores how Coca-Cola and Nestlé handle currency conversion, their strategies for mitigating risks associated with foreign exchange fluctuations, and the tools they employ for effective currency management.</w:t>
      </w:r>
    </w:p>
    <w:p w:rsidR="00C67D09" w:rsidRPr="00617126" w:rsidRDefault="00C67D09" w:rsidP="00617126">
      <w:pPr>
        <w:jc w:val="both"/>
        <w:rPr>
          <w:rFonts w:ascii="Times New Roman" w:hAnsi="Times New Roman" w:cs="Times New Roman"/>
        </w:rPr>
      </w:pPr>
      <w:r w:rsidRPr="00617126">
        <w:rPr>
          <w:rFonts w:ascii="Times New Roman" w:hAnsi="Times New Roman" w:cs="Times New Roman"/>
        </w:rPr>
        <w:t>Both companies use a combination of hedging strategies, such as forward contracts and options, to shield their financial performance from the negative impacts of currency volatility. Coca-Cola employs these strategies to manage the risks associated with its global revenue streams, while Nestlé uses a more complex approach involving both natural hedging and financial instruments to manage its exposure across different markets.</w:t>
      </w:r>
    </w:p>
    <w:p w:rsidR="00C67D09" w:rsidRPr="00617126" w:rsidRDefault="00C67D09" w:rsidP="00617126">
      <w:pPr>
        <w:jc w:val="both"/>
        <w:rPr>
          <w:rFonts w:ascii="Times New Roman" w:hAnsi="Times New Roman" w:cs="Times New Roman"/>
        </w:rPr>
      </w:pPr>
      <w:r w:rsidRPr="00617126">
        <w:rPr>
          <w:rFonts w:ascii="Times New Roman" w:hAnsi="Times New Roman" w:cs="Times New Roman"/>
        </w:rPr>
        <w:t>The report also incorporates AI simulations to evaluate the potential impacts of currency fluctuations, such as a 10% depreciation in key currencies, and offers strategic recommendations based on the outcomes. This analysis highlights the importance of sophisticated currency management and hedging techniques in maintaining profitability and financial stability for multinational corporations. The findings provide valuable insights into the practical applications of currency risk management strategies in global business operations.</w:t>
      </w:r>
    </w:p>
    <w:p w:rsidR="00C67D09" w:rsidRPr="00617126" w:rsidRDefault="00C67D09" w:rsidP="009302B5">
      <w:pPr>
        <w:rPr>
          <w:rFonts w:ascii="Times New Roman" w:hAnsi="Times New Roman" w:cs="Times New Roman"/>
          <w:b/>
          <w:bCs/>
        </w:rPr>
      </w:pPr>
    </w:p>
    <w:p w:rsidR="00094FD1" w:rsidRPr="00047BD0" w:rsidRDefault="00094FD1" w:rsidP="009302B5">
      <w:pPr>
        <w:rPr>
          <w:rFonts w:ascii="Times New Roman" w:hAnsi="Times New Roman" w:cs="Times New Roman"/>
          <w:b/>
          <w:bCs/>
          <w:color w:val="ED0000"/>
          <w:sz w:val="28"/>
          <w:szCs w:val="28"/>
        </w:rPr>
      </w:pPr>
      <w:r w:rsidRPr="00047BD0">
        <w:rPr>
          <w:rFonts w:ascii="Times New Roman" w:hAnsi="Times New Roman" w:cs="Times New Roman"/>
          <w:b/>
          <w:bCs/>
          <w:color w:val="ED0000"/>
          <w:sz w:val="28"/>
          <w:szCs w:val="28"/>
        </w:rPr>
        <w:t>Step 1</w:t>
      </w:r>
    </w:p>
    <w:p w:rsidR="004C7AAD" w:rsidRPr="00617126" w:rsidRDefault="009302B5" w:rsidP="004C7AAD">
      <w:pPr>
        <w:spacing w:after="0"/>
        <w:rPr>
          <w:rFonts w:ascii="Times New Roman" w:hAnsi="Times New Roman" w:cs="Times New Roman"/>
          <w:b/>
          <w:bCs/>
        </w:rPr>
      </w:pPr>
      <w:r w:rsidRPr="00617126">
        <w:rPr>
          <w:rFonts w:ascii="Times New Roman" w:hAnsi="Times New Roman" w:cs="Times New Roman"/>
          <w:b/>
          <w:bCs/>
        </w:rPr>
        <w:t>Company Name</w:t>
      </w:r>
      <w:r w:rsidR="004C7AAD" w:rsidRPr="00617126">
        <w:rPr>
          <w:rFonts w:ascii="Times New Roman" w:hAnsi="Times New Roman" w:cs="Times New Roman"/>
          <w:b/>
          <w:bCs/>
        </w:rPr>
        <w:t xml:space="preserve"> </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Coca-Cola (U.S.-based)</w:t>
      </w:r>
    </w:p>
    <w:p w:rsid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Overview</w:t>
      </w:r>
    </w:p>
    <w:p w:rsidR="009302B5" w:rsidRPr="00617126" w:rsidRDefault="009302B5" w:rsidP="00617126">
      <w:pPr>
        <w:spacing w:after="0"/>
        <w:rPr>
          <w:rFonts w:ascii="Times New Roman" w:hAnsi="Times New Roman" w:cs="Times New Roman"/>
        </w:rPr>
      </w:pPr>
      <w:r w:rsidRPr="00617126">
        <w:rPr>
          <w:rFonts w:ascii="Times New Roman" w:hAnsi="Times New Roman" w:cs="Times New Roman"/>
        </w:rPr>
        <w:t>Coca-Cola is a global leader in the beverage industry, headquartered in Atlanta, Georgia, USA. Operating in over 200 countries, Coca-Cola generates a substantial portion of its revenue from international markets, including Europe, Asia, and Latin America.</w:t>
      </w:r>
    </w:p>
    <w:p w:rsid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Foreign Currency Risks</w:t>
      </w:r>
    </w:p>
    <w:p w:rsidR="009302B5" w:rsidRPr="00617126" w:rsidRDefault="009302B5" w:rsidP="00617126">
      <w:pPr>
        <w:spacing w:after="0"/>
        <w:rPr>
          <w:rFonts w:ascii="Times New Roman" w:hAnsi="Times New Roman" w:cs="Times New Roman"/>
        </w:rPr>
      </w:pPr>
      <w:r w:rsidRPr="00617126">
        <w:rPr>
          <w:rFonts w:ascii="Times New Roman" w:hAnsi="Times New Roman" w:cs="Times New Roman"/>
        </w:rPr>
        <w:t>Coca-Cola faces currency risks due to fluctuations in exchange rates between the U.S. dollar and various currencies, including the euro, Japanese yen, and Brazilian real. These risks arise from foreign-denominated revenues, costs, and investments.</w:t>
      </w:r>
    </w:p>
    <w:p w:rsidR="00617126"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Currency Management Strategies</w:t>
      </w:r>
    </w:p>
    <w:p w:rsidR="009302B5" w:rsidRPr="00617126" w:rsidRDefault="009302B5" w:rsidP="00617126">
      <w:pPr>
        <w:spacing w:after="0"/>
        <w:rPr>
          <w:rFonts w:ascii="Times New Roman" w:hAnsi="Times New Roman" w:cs="Times New Roman"/>
        </w:rPr>
      </w:pPr>
      <w:r w:rsidRPr="00617126">
        <w:rPr>
          <w:rFonts w:ascii="Times New Roman" w:hAnsi="Times New Roman" w:cs="Times New Roman"/>
        </w:rPr>
        <w:t>Coca-Cola employs several strategies to manage currency risks, including:</w:t>
      </w:r>
    </w:p>
    <w:p w:rsidR="004C7AAD"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Hedging with Financial Instruments</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Use of forward contracts and options to lock in favorable exchange rates.</w:t>
      </w:r>
    </w:p>
    <w:p w:rsidR="004C7AAD"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Natural Hedging</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Aligning foreign revenues with expenses in the same currency to reduce net exposure.</w:t>
      </w:r>
    </w:p>
    <w:p w:rsidR="004C7AAD"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Centralized Treasury</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A centralized treasury system monitors and mitigates currency risks globally.</w:t>
      </w:r>
    </w:p>
    <w:p w:rsidR="009302B5" w:rsidRPr="00617126" w:rsidRDefault="009302B5" w:rsidP="009302B5">
      <w:pPr>
        <w:rPr>
          <w:rFonts w:ascii="Times New Roman" w:hAnsi="Times New Roman" w:cs="Times New Roman"/>
        </w:rPr>
      </w:pPr>
    </w:p>
    <w:p w:rsidR="004C7AAD" w:rsidRPr="00617126" w:rsidRDefault="009302B5" w:rsidP="004C7AAD">
      <w:pPr>
        <w:spacing w:after="0"/>
        <w:rPr>
          <w:rFonts w:ascii="Times New Roman" w:hAnsi="Times New Roman" w:cs="Times New Roman"/>
          <w:b/>
          <w:bCs/>
        </w:rPr>
      </w:pPr>
      <w:r w:rsidRPr="00617126">
        <w:rPr>
          <w:rFonts w:ascii="Times New Roman" w:hAnsi="Times New Roman" w:cs="Times New Roman"/>
          <w:b/>
          <w:bCs/>
        </w:rPr>
        <w:t>Company Name</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Nestlé (</w:t>
      </w:r>
      <w:r w:rsidR="004C7AAD" w:rsidRPr="00617126">
        <w:rPr>
          <w:rFonts w:ascii="Times New Roman" w:hAnsi="Times New Roman" w:cs="Times New Roman"/>
        </w:rPr>
        <w:t>non-U.S.</w:t>
      </w:r>
      <w:r w:rsidRPr="00617126">
        <w:rPr>
          <w:rFonts w:ascii="Times New Roman" w:hAnsi="Times New Roman" w:cs="Times New Roman"/>
        </w:rPr>
        <w:t>-based)</w:t>
      </w:r>
    </w:p>
    <w:p w:rsidR="00617126"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Overview</w:t>
      </w:r>
    </w:p>
    <w:p w:rsidR="009302B5" w:rsidRPr="00617126" w:rsidRDefault="009302B5" w:rsidP="00617126">
      <w:pPr>
        <w:spacing w:after="0"/>
        <w:ind w:left="360"/>
        <w:rPr>
          <w:rFonts w:ascii="Times New Roman" w:hAnsi="Times New Roman" w:cs="Times New Roman"/>
        </w:rPr>
      </w:pPr>
      <w:r w:rsidRPr="00617126">
        <w:rPr>
          <w:rFonts w:ascii="Times New Roman" w:hAnsi="Times New Roman" w:cs="Times New Roman"/>
        </w:rPr>
        <w:t>Nestlé, headquartered in Vevey, Switzerland, is the world's largest food and beverage company. With operations in nearly every country, Nestlé's key markets include Europe, North America, and Asia.</w:t>
      </w:r>
    </w:p>
    <w:p w:rsidR="00617126" w:rsidRP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Foreign Currency Risks</w:t>
      </w:r>
    </w:p>
    <w:p w:rsidR="009302B5" w:rsidRPr="00617126" w:rsidRDefault="009302B5" w:rsidP="00617126">
      <w:pPr>
        <w:spacing w:after="0"/>
        <w:ind w:left="360"/>
        <w:rPr>
          <w:rFonts w:ascii="Times New Roman" w:hAnsi="Times New Roman" w:cs="Times New Roman"/>
        </w:rPr>
      </w:pPr>
      <w:r w:rsidRPr="00617126">
        <w:rPr>
          <w:rFonts w:ascii="Times New Roman" w:hAnsi="Times New Roman" w:cs="Times New Roman"/>
        </w:rPr>
        <w:t>Nestlé faces exposure to multiple currencies, such as the U.S. dollar, Chinese yuan, and euro. Risks stem from revenues, costs, and intercompany transactions conducted in foreign currencies.</w:t>
      </w:r>
    </w:p>
    <w:p w:rsidR="00617126" w:rsidRDefault="009302B5" w:rsidP="00617126">
      <w:pPr>
        <w:pStyle w:val="ListParagraph"/>
        <w:numPr>
          <w:ilvl w:val="0"/>
          <w:numId w:val="33"/>
        </w:numPr>
        <w:spacing w:after="0"/>
        <w:rPr>
          <w:rFonts w:ascii="Times New Roman" w:hAnsi="Times New Roman" w:cs="Times New Roman"/>
        </w:rPr>
      </w:pPr>
      <w:r w:rsidRPr="00617126">
        <w:rPr>
          <w:rFonts w:ascii="Times New Roman" w:hAnsi="Times New Roman" w:cs="Times New Roman"/>
          <w:b/>
          <w:bCs/>
        </w:rPr>
        <w:t>Currency Management Strategies</w:t>
      </w:r>
    </w:p>
    <w:p w:rsidR="009302B5" w:rsidRPr="00617126" w:rsidRDefault="009302B5" w:rsidP="00617126">
      <w:pPr>
        <w:spacing w:after="0"/>
        <w:ind w:left="360"/>
        <w:rPr>
          <w:rFonts w:ascii="Times New Roman" w:hAnsi="Times New Roman" w:cs="Times New Roman"/>
        </w:rPr>
      </w:pPr>
      <w:r w:rsidRPr="00617126">
        <w:rPr>
          <w:rFonts w:ascii="Times New Roman" w:hAnsi="Times New Roman" w:cs="Times New Roman"/>
        </w:rPr>
        <w:t>Nestlé adopts a comprehensive approach to currency risk management, including:</w:t>
      </w:r>
    </w:p>
    <w:p w:rsidR="004C7AAD" w:rsidRPr="00047BD0" w:rsidRDefault="009302B5" w:rsidP="00047BD0">
      <w:pPr>
        <w:pStyle w:val="ListParagraph"/>
        <w:numPr>
          <w:ilvl w:val="0"/>
          <w:numId w:val="33"/>
        </w:numPr>
        <w:spacing w:after="0"/>
        <w:rPr>
          <w:rFonts w:ascii="Times New Roman" w:hAnsi="Times New Roman" w:cs="Times New Roman"/>
        </w:rPr>
      </w:pPr>
      <w:r w:rsidRPr="00047BD0">
        <w:rPr>
          <w:rFonts w:ascii="Times New Roman" w:hAnsi="Times New Roman" w:cs="Times New Roman"/>
          <w:b/>
          <w:bCs/>
        </w:rPr>
        <w:t>Hedging with Derivatives</w:t>
      </w:r>
      <w:r w:rsidRPr="00047BD0">
        <w:rPr>
          <w:rFonts w:ascii="Times New Roman" w:hAnsi="Times New Roman" w:cs="Times New Roman"/>
        </w:rPr>
        <w:t xml:space="preserve"> </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The company uses forwards, options, and swaps to hedge against currency fluctuations.</w:t>
      </w:r>
    </w:p>
    <w:p w:rsidR="004C7AAD" w:rsidRPr="00047BD0" w:rsidRDefault="009302B5" w:rsidP="00047BD0">
      <w:pPr>
        <w:pStyle w:val="ListParagraph"/>
        <w:numPr>
          <w:ilvl w:val="0"/>
          <w:numId w:val="33"/>
        </w:numPr>
        <w:spacing w:after="0"/>
        <w:rPr>
          <w:rFonts w:ascii="Times New Roman" w:hAnsi="Times New Roman" w:cs="Times New Roman"/>
        </w:rPr>
      </w:pPr>
      <w:r w:rsidRPr="00047BD0">
        <w:rPr>
          <w:rFonts w:ascii="Times New Roman" w:hAnsi="Times New Roman" w:cs="Times New Roman"/>
          <w:b/>
          <w:bCs/>
        </w:rPr>
        <w:t>Diversified Revenue Streams</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Generating income from multiple regions helps mitigate risks associated with any single currency.</w:t>
      </w:r>
    </w:p>
    <w:p w:rsidR="004C7AAD" w:rsidRPr="00047BD0" w:rsidRDefault="009302B5" w:rsidP="00047BD0">
      <w:pPr>
        <w:pStyle w:val="ListParagraph"/>
        <w:numPr>
          <w:ilvl w:val="0"/>
          <w:numId w:val="33"/>
        </w:numPr>
        <w:spacing w:after="0"/>
        <w:rPr>
          <w:rFonts w:ascii="Times New Roman" w:hAnsi="Times New Roman" w:cs="Times New Roman"/>
        </w:rPr>
      </w:pPr>
      <w:r w:rsidRPr="00047BD0">
        <w:rPr>
          <w:rFonts w:ascii="Times New Roman" w:hAnsi="Times New Roman" w:cs="Times New Roman"/>
          <w:b/>
          <w:bCs/>
        </w:rPr>
        <w:t>Risk Monitoring</w:t>
      </w:r>
    </w:p>
    <w:p w:rsidR="009302B5" w:rsidRPr="00617126" w:rsidRDefault="009302B5" w:rsidP="004C7AAD">
      <w:pPr>
        <w:spacing w:after="0"/>
        <w:rPr>
          <w:rFonts w:ascii="Times New Roman" w:hAnsi="Times New Roman" w:cs="Times New Roman"/>
        </w:rPr>
      </w:pPr>
      <w:r w:rsidRPr="00617126">
        <w:rPr>
          <w:rFonts w:ascii="Times New Roman" w:hAnsi="Times New Roman" w:cs="Times New Roman"/>
        </w:rPr>
        <w:t xml:space="preserve"> Nestlé employs advanced analytics to forecast currency impacts and adjust strategies accordingly.</w:t>
      </w:r>
    </w:p>
    <w:p w:rsidR="009302B5" w:rsidRPr="00617126" w:rsidRDefault="009302B5">
      <w:pPr>
        <w:rPr>
          <w:rFonts w:ascii="Times New Roman" w:hAnsi="Times New Roman" w:cs="Times New Roman"/>
        </w:rPr>
      </w:pPr>
    </w:p>
    <w:p w:rsidR="00094FD1" w:rsidRPr="00617126" w:rsidRDefault="00094FD1">
      <w:pPr>
        <w:rPr>
          <w:rFonts w:ascii="Times New Roman" w:hAnsi="Times New Roman" w:cs="Times New Roman"/>
        </w:rPr>
      </w:pPr>
    </w:p>
    <w:p w:rsidR="00094FD1" w:rsidRPr="00617126" w:rsidRDefault="00094FD1">
      <w:pPr>
        <w:rPr>
          <w:rFonts w:ascii="Times New Roman" w:hAnsi="Times New Roman" w:cs="Times New Roman"/>
          <w:b/>
          <w:bCs/>
        </w:rPr>
      </w:pPr>
      <w:r w:rsidRPr="00047BD0">
        <w:rPr>
          <w:rFonts w:ascii="Times New Roman" w:hAnsi="Times New Roman" w:cs="Times New Roman"/>
          <w:b/>
          <w:bCs/>
          <w:color w:val="ED0000"/>
          <w:sz w:val="28"/>
          <w:szCs w:val="28"/>
        </w:rPr>
        <w:t>Step 2: Analysis of Currency Conversion Strategies</w:t>
      </w:r>
    </w:p>
    <w:p w:rsidR="00094FD1" w:rsidRPr="00617126" w:rsidRDefault="00094FD1">
      <w:pPr>
        <w:rPr>
          <w:rFonts w:ascii="Times New Roman" w:hAnsi="Times New Roman" w:cs="Times New Roman"/>
          <w:b/>
          <w:bCs/>
        </w:rPr>
      </w:pPr>
    </w:p>
    <w:p w:rsidR="00094FD1" w:rsidRPr="00617126" w:rsidRDefault="00094FD1" w:rsidP="00094FD1">
      <w:pPr>
        <w:rPr>
          <w:rFonts w:ascii="Times New Roman" w:hAnsi="Times New Roman" w:cs="Times New Roman"/>
          <w:b/>
          <w:bCs/>
        </w:rPr>
      </w:pPr>
      <w:r w:rsidRPr="00617126">
        <w:rPr>
          <w:rFonts w:ascii="Times New Roman" w:hAnsi="Times New Roman" w:cs="Times New Roman"/>
          <w:b/>
          <w:bCs/>
        </w:rPr>
        <w:t>Report Section Structure</w:t>
      </w:r>
    </w:p>
    <w:p w:rsidR="00094FD1" w:rsidRPr="00617126" w:rsidRDefault="00094FD1" w:rsidP="00AA4A68">
      <w:pPr>
        <w:pStyle w:val="ListParagraph"/>
        <w:numPr>
          <w:ilvl w:val="0"/>
          <w:numId w:val="30"/>
        </w:numPr>
        <w:rPr>
          <w:rFonts w:ascii="Times New Roman" w:hAnsi="Times New Roman" w:cs="Times New Roman"/>
          <w:b/>
          <w:bCs/>
        </w:rPr>
      </w:pPr>
      <w:r w:rsidRPr="00617126">
        <w:rPr>
          <w:rFonts w:ascii="Times New Roman" w:hAnsi="Times New Roman" w:cs="Times New Roman"/>
          <w:b/>
          <w:bCs/>
        </w:rPr>
        <w:t>Coca-Cola’s Currency Conversion Strategies</w:t>
      </w:r>
    </w:p>
    <w:p w:rsidR="00AA4A68" w:rsidRPr="00617126" w:rsidRDefault="00AA4A68" w:rsidP="00AA4A68">
      <w:pPr>
        <w:pStyle w:val="ListParagraph"/>
        <w:rPr>
          <w:rFonts w:ascii="Times New Roman" w:hAnsi="Times New Roman" w:cs="Times New Roman"/>
          <w:b/>
          <w:bCs/>
        </w:rPr>
      </w:pP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Handling Multiple Currencies</w:t>
      </w:r>
      <w:r w:rsidRPr="00617126">
        <w:rPr>
          <w:rFonts w:ascii="Times New Roman" w:hAnsi="Times New Roman" w:cs="Times New Roman"/>
        </w:rPr>
        <w:br/>
        <w:t>Coca-Cola manages a vast array of currencies due to its global operations. It uses the U.S. dollar as its functional and reporting currency. The company addresses currency conversion complexities through</w:t>
      </w:r>
    </w:p>
    <w:p w:rsidR="00AA4A68" w:rsidRPr="00617126" w:rsidRDefault="00AA4A68" w:rsidP="00AA4A68">
      <w:pPr>
        <w:pStyle w:val="ListParagraph"/>
        <w:rPr>
          <w:rFonts w:ascii="Times New Roman" w:hAnsi="Times New Roman" w:cs="Times New Roman"/>
        </w:rPr>
      </w:pP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Translation Adjustments</w:t>
      </w:r>
    </w:p>
    <w:p w:rsidR="00AA4A68" w:rsidRPr="00617126" w:rsidRDefault="00094FD1" w:rsidP="00AA4A68">
      <w:pPr>
        <w:pStyle w:val="ListParagraph"/>
        <w:rPr>
          <w:rFonts w:ascii="Times New Roman" w:hAnsi="Times New Roman" w:cs="Times New Roman"/>
        </w:rPr>
      </w:pPr>
      <w:r w:rsidRPr="00617126">
        <w:rPr>
          <w:rFonts w:ascii="Times New Roman" w:hAnsi="Times New Roman" w:cs="Times New Roman"/>
        </w:rPr>
        <w:t xml:space="preserve"> Foreign subsidiaries' financial results are translated into U.S. dollars for consolidated reporting, following ASC 830 (Foreign Currency Matters).</w:t>
      </w:r>
    </w:p>
    <w:p w:rsidR="00AA4A68" w:rsidRPr="00617126" w:rsidRDefault="00AA4A68" w:rsidP="00AA4A68">
      <w:pPr>
        <w:pStyle w:val="ListParagraph"/>
        <w:rPr>
          <w:rFonts w:ascii="Times New Roman" w:hAnsi="Times New Roman" w:cs="Times New Roman"/>
        </w:rPr>
      </w:pP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Transaction Management</w:t>
      </w:r>
    </w:p>
    <w:p w:rsidR="00094FD1" w:rsidRPr="00617126" w:rsidRDefault="00094FD1" w:rsidP="00AA4A68">
      <w:pPr>
        <w:pStyle w:val="ListParagraph"/>
        <w:rPr>
          <w:rFonts w:ascii="Times New Roman" w:hAnsi="Times New Roman" w:cs="Times New Roman"/>
        </w:rPr>
      </w:pPr>
      <w:r w:rsidRPr="00617126">
        <w:rPr>
          <w:rFonts w:ascii="Times New Roman" w:hAnsi="Times New Roman" w:cs="Times New Roman"/>
        </w:rPr>
        <w:t xml:space="preserve"> Exchange rate fluctuations are mitigated by aligning operating costs with local revenues wherever possible.</w:t>
      </w:r>
    </w:p>
    <w:p w:rsidR="00AA4A68" w:rsidRPr="00617126" w:rsidRDefault="00AA4A68" w:rsidP="00AA4A68">
      <w:pPr>
        <w:pStyle w:val="ListParagraph"/>
        <w:rPr>
          <w:rFonts w:ascii="Times New Roman" w:hAnsi="Times New Roman" w:cs="Times New Roman"/>
        </w:rPr>
      </w:pPr>
    </w:p>
    <w:p w:rsidR="00094FD1" w:rsidRPr="00617126" w:rsidRDefault="00094FD1" w:rsidP="00AA4A68">
      <w:pPr>
        <w:pStyle w:val="ListParagraph"/>
        <w:numPr>
          <w:ilvl w:val="0"/>
          <w:numId w:val="30"/>
        </w:numPr>
        <w:rPr>
          <w:rFonts w:ascii="Times New Roman" w:hAnsi="Times New Roman" w:cs="Times New Roman"/>
        </w:rPr>
      </w:pPr>
      <w:r w:rsidRPr="00617126">
        <w:rPr>
          <w:rFonts w:ascii="Times New Roman" w:hAnsi="Times New Roman" w:cs="Times New Roman"/>
          <w:b/>
          <w:bCs/>
        </w:rPr>
        <w:t>Tools and Software Used</w:t>
      </w:r>
      <w:r w:rsidRPr="00617126">
        <w:rPr>
          <w:rFonts w:ascii="Times New Roman" w:hAnsi="Times New Roman" w:cs="Times New Roman"/>
        </w:rPr>
        <w:br/>
        <w:t xml:space="preserve">Coca-Cola leverages advanced treasury and enterprise resource planning (ERP) systems, such as </w:t>
      </w:r>
      <w:r w:rsidRPr="00617126">
        <w:rPr>
          <w:rFonts w:ascii="Times New Roman" w:hAnsi="Times New Roman" w:cs="Times New Roman"/>
          <w:b/>
          <w:bCs/>
        </w:rPr>
        <w:t>SAP Treasury and Risk Management</w:t>
      </w:r>
      <w:r w:rsidRPr="00617126">
        <w:rPr>
          <w:rFonts w:ascii="Times New Roman" w:hAnsi="Times New Roman" w:cs="Times New Roman"/>
        </w:rPr>
        <w:t>, to</w:t>
      </w:r>
    </w:p>
    <w:p w:rsidR="00AA4A68" w:rsidRPr="00617126" w:rsidRDefault="00AA4A68" w:rsidP="00AA4A68">
      <w:pPr>
        <w:pStyle w:val="ListParagraph"/>
        <w:rPr>
          <w:rFonts w:ascii="Times New Roman" w:hAnsi="Times New Roman" w:cs="Times New Roman"/>
        </w:rPr>
      </w:pP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t>Automate currency conversions.</w:t>
      </w: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t>Monitor real-time exchange rates.</w:t>
      </w:r>
    </w:p>
    <w:p w:rsidR="00094FD1"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lastRenderedPageBreak/>
        <w:t>Execute hedging strategies, including forward contracts and options.</w:t>
      </w:r>
    </w:p>
    <w:p w:rsidR="00AA4A68" w:rsidRPr="00617126" w:rsidRDefault="00AA4A68" w:rsidP="00AA4A68">
      <w:pPr>
        <w:pStyle w:val="ListParagraph"/>
        <w:rPr>
          <w:rFonts w:ascii="Times New Roman" w:hAnsi="Times New Roman" w:cs="Times New Roman"/>
        </w:rPr>
      </w:pPr>
    </w:p>
    <w:p w:rsidR="00094FD1" w:rsidRPr="00617126" w:rsidRDefault="00094FD1" w:rsidP="00AA4A68">
      <w:pPr>
        <w:pStyle w:val="ListParagraph"/>
        <w:numPr>
          <w:ilvl w:val="0"/>
          <w:numId w:val="30"/>
        </w:numPr>
        <w:rPr>
          <w:rFonts w:ascii="Times New Roman" w:hAnsi="Times New Roman" w:cs="Times New Roman"/>
        </w:rPr>
      </w:pPr>
      <w:r w:rsidRPr="00617126">
        <w:rPr>
          <w:rFonts w:ascii="Times New Roman" w:hAnsi="Times New Roman" w:cs="Times New Roman"/>
          <w:b/>
          <w:bCs/>
        </w:rPr>
        <w:t>Key Insights</w:t>
      </w:r>
      <w:r w:rsidRPr="00617126">
        <w:rPr>
          <w:rFonts w:ascii="Times New Roman" w:hAnsi="Times New Roman" w:cs="Times New Roman"/>
        </w:rPr>
        <w:br/>
        <w:t>The company's centralized treasury team ensures consistency and efficiency in currency risk management across all regions, minimizing financial statement volatility caused by exchange rate changes.</w:t>
      </w:r>
    </w:p>
    <w:p w:rsidR="00AA4A68" w:rsidRPr="00617126" w:rsidRDefault="00AA4A68" w:rsidP="00094FD1">
      <w:pPr>
        <w:rPr>
          <w:rFonts w:ascii="Times New Roman" w:hAnsi="Times New Roman" w:cs="Times New Roman"/>
        </w:rPr>
      </w:pPr>
    </w:p>
    <w:p w:rsidR="00094FD1" w:rsidRPr="00617126" w:rsidRDefault="00094FD1" w:rsidP="00094FD1">
      <w:pPr>
        <w:rPr>
          <w:rFonts w:ascii="Times New Roman" w:hAnsi="Times New Roman" w:cs="Times New Roman"/>
          <w:b/>
          <w:bCs/>
        </w:rPr>
      </w:pPr>
      <w:r w:rsidRPr="00617126">
        <w:rPr>
          <w:rFonts w:ascii="Times New Roman" w:hAnsi="Times New Roman" w:cs="Times New Roman"/>
          <w:b/>
          <w:bCs/>
        </w:rPr>
        <w:t xml:space="preserve"> Nestlé’s Currency Conversion Strategies</w:t>
      </w:r>
    </w:p>
    <w:p w:rsidR="00094FD1" w:rsidRPr="00617126" w:rsidRDefault="00094FD1" w:rsidP="00AA4A68">
      <w:pPr>
        <w:pStyle w:val="ListParagraph"/>
        <w:numPr>
          <w:ilvl w:val="0"/>
          <w:numId w:val="30"/>
        </w:numPr>
        <w:rPr>
          <w:rFonts w:ascii="Times New Roman" w:hAnsi="Times New Roman" w:cs="Times New Roman"/>
        </w:rPr>
      </w:pPr>
      <w:r w:rsidRPr="00617126">
        <w:rPr>
          <w:rFonts w:ascii="Times New Roman" w:hAnsi="Times New Roman" w:cs="Times New Roman"/>
          <w:b/>
          <w:bCs/>
        </w:rPr>
        <w:t>Handling Multiple Currencies</w:t>
      </w:r>
      <w:r w:rsidRPr="00617126">
        <w:rPr>
          <w:rFonts w:ascii="Times New Roman" w:hAnsi="Times New Roman" w:cs="Times New Roman"/>
        </w:rPr>
        <w:br/>
        <w:t>Nestlé, with its operations in nearly every country, reports in Swiss francs (CHF) as its functional currency. It manages multiple currencies by:</w:t>
      </w:r>
    </w:p>
    <w:p w:rsidR="00AA4A68" w:rsidRPr="00617126" w:rsidRDefault="00AA4A68" w:rsidP="00AA4A68">
      <w:pPr>
        <w:pStyle w:val="ListParagraph"/>
        <w:rPr>
          <w:rFonts w:ascii="Times New Roman" w:hAnsi="Times New Roman" w:cs="Times New Roman"/>
        </w:rPr>
      </w:pP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Using Local Functional Currencies</w:t>
      </w:r>
    </w:p>
    <w:p w:rsidR="00094FD1" w:rsidRPr="00617126" w:rsidRDefault="00094FD1" w:rsidP="00AA4A68">
      <w:pPr>
        <w:rPr>
          <w:rFonts w:ascii="Times New Roman" w:hAnsi="Times New Roman" w:cs="Times New Roman"/>
        </w:rPr>
      </w:pPr>
      <w:r w:rsidRPr="00617126">
        <w:rPr>
          <w:rFonts w:ascii="Times New Roman" w:hAnsi="Times New Roman" w:cs="Times New Roman"/>
        </w:rPr>
        <w:t>Subsidiaries report in their local functional currencies, which are translated into CHF using IAS 21 (The Effects of Changes in Foreign Exchange Rates).</w:t>
      </w: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Mitigating Translation Risks</w:t>
      </w:r>
    </w:p>
    <w:p w:rsidR="00094FD1" w:rsidRPr="00617126" w:rsidRDefault="00094FD1" w:rsidP="00AA4A68">
      <w:pPr>
        <w:rPr>
          <w:rFonts w:ascii="Times New Roman" w:hAnsi="Times New Roman" w:cs="Times New Roman"/>
        </w:rPr>
      </w:pPr>
      <w:r w:rsidRPr="00617126">
        <w:rPr>
          <w:rFonts w:ascii="Times New Roman" w:hAnsi="Times New Roman" w:cs="Times New Roman"/>
        </w:rPr>
        <w:t>Nestlé offsets potential translation losses by diversifying revenue sources and maintaining balanced foreign-denominated liabilities.</w:t>
      </w:r>
    </w:p>
    <w:p w:rsidR="00AA4A68" w:rsidRPr="00617126" w:rsidRDefault="00AA4A68" w:rsidP="00094FD1">
      <w:pPr>
        <w:rPr>
          <w:rFonts w:ascii="Times New Roman" w:hAnsi="Times New Roman" w:cs="Times New Roman"/>
          <w:b/>
          <w:bCs/>
        </w:rPr>
      </w:pPr>
    </w:p>
    <w:p w:rsidR="00AA4A68" w:rsidRPr="00617126" w:rsidRDefault="00094FD1" w:rsidP="00AA4A68">
      <w:pPr>
        <w:pStyle w:val="ListParagraph"/>
        <w:numPr>
          <w:ilvl w:val="0"/>
          <w:numId w:val="30"/>
        </w:numPr>
        <w:rPr>
          <w:rFonts w:ascii="Times New Roman" w:hAnsi="Times New Roman" w:cs="Times New Roman"/>
        </w:rPr>
      </w:pPr>
      <w:r w:rsidRPr="00617126">
        <w:rPr>
          <w:rFonts w:ascii="Times New Roman" w:hAnsi="Times New Roman" w:cs="Times New Roman"/>
          <w:b/>
          <w:bCs/>
        </w:rPr>
        <w:t>Tools and Software Used</w:t>
      </w:r>
    </w:p>
    <w:p w:rsidR="00094FD1" w:rsidRPr="00617126" w:rsidRDefault="00AA4A68" w:rsidP="00AA4A68">
      <w:pPr>
        <w:rPr>
          <w:rFonts w:ascii="Times New Roman" w:hAnsi="Times New Roman" w:cs="Times New Roman"/>
        </w:rPr>
      </w:pPr>
      <w:r w:rsidRPr="00617126">
        <w:rPr>
          <w:rFonts w:ascii="Times New Roman" w:hAnsi="Times New Roman" w:cs="Times New Roman"/>
        </w:rPr>
        <w:t xml:space="preserve"> </w:t>
      </w:r>
      <w:r w:rsidR="00094FD1" w:rsidRPr="00617126">
        <w:rPr>
          <w:rFonts w:ascii="Times New Roman" w:hAnsi="Times New Roman" w:cs="Times New Roman"/>
        </w:rPr>
        <w:t xml:space="preserve">Nestlé employs sophisticated financial tools like </w:t>
      </w:r>
      <w:r w:rsidR="00094FD1" w:rsidRPr="00617126">
        <w:rPr>
          <w:rFonts w:ascii="Times New Roman" w:hAnsi="Times New Roman" w:cs="Times New Roman"/>
          <w:b/>
          <w:bCs/>
        </w:rPr>
        <w:t>Kyriba</w:t>
      </w:r>
      <w:r w:rsidR="00094FD1" w:rsidRPr="00617126">
        <w:rPr>
          <w:rFonts w:ascii="Times New Roman" w:hAnsi="Times New Roman" w:cs="Times New Roman"/>
        </w:rPr>
        <w:t xml:space="preserve"> and </w:t>
      </w:r>
      <w:r w:rsidR="00094FD1" w:rsidRPr="00617126">
        <w:rPr>
          <w:rFonts w:ascii="Times New Roman" w:hAnsi="Times New Roman" w:cs="Times New Roman"/>
          <w:b/>
          <w:bCs/>
        </w:rPr>
        <w:t>Oracle Treasury</w:t>
      </w:r>
      <w:r w:rsidR="00094FD1" w:rsidRPr="00617126">
        <w:rPr>
          <w:rFonts w:ascii="Times New Roman" w:hAnsi="Times New Roman" w:cs="Times New Roman"/>
        </w:rPr>
        <w:t xml:space="preserve"> to:</w:t>
      </w: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t>Conduct multi-currency financial reporting.</w:t>
      </w:r>
    </w:p>
    <w:p w:rsidR="00AA4A68"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t>Execute derivative contracts (e.g., forwards, options, swaps).</w:t>
      </w:r>
    </w:p>
    <w:p w:rsidR="00094FD1" w:rsidRPr="00617126" w:rsidRDefault="00094FD1" w:rsidP="00AA4A68">
      <w:pPr>
        <w:pStyle w:val="ListParagraph"/>
        <w:numPr>
          <w:ilvl w:val="0"/>
          <w:numId w:val="31"/>
        </w:numPr>
        <w:rPr>
          <w:rFonts w:ascii="Times New Roman" w:hAnsi="Times New Roman" w:cs="Times New Roman"/>
        </w:rPr>
      </w:pPr>
      <w:r w:rsidRPr="00617126">
        <w:rPr>
          <w:rFonts w:ascii="Times New Roman" w:hAnsi="Times New Roman" w:cs="Times New Roman"/>
        </w:rPr>
        <w:t>Model exchange rate scenarios to assess potential impacts on consolidated financial statements.</w:t>
      </w:r>
    </w:p>
    <w:p w:rsidR="00AA4A68" w:rsidRPr="00617126" w:rsidRDefault="00AA4A68" w:rsidP="00094FD1">
      <w:pPr>
        <w:rPr>
          <w:rFonts w:ascii="Times New Roman" w:hAnsi="Times New Roman" w:cs="Times New Roman"/>
          <w:b/>
          <w:bCs/>
        </w:rPr>
      </w:pPr>
    </w:p>
    <w:p w:rsidR="00AA4A68" w:rsidRPr="00617126" w:rsidRDefault="00094FD1" w:rsidP="00AA4A68">
      <w:pPr>
        <w:pStyle w:val="ListParagraph"/>
        <w:numPr>
          <w:ilvl w:val="0"/>
          <w:numId w:val="30"/>
        </w:numPr>
        <w:rPr>
          <w:rFonts w:ascii="Times New Roman" w:hAnsi="Times New Roman" w:cs="Times New Roman"/>
        </w:rPr>
      </w:pPr>
      <w:r w:rsidRPr="00617126">
        <w:rPr>
          <w:rFonts w:ascii="Times New Roman" w:hAnsi="Times New Roman" w:cs="Times New Roman"/>
          <w:b/>
          <w:bCs/>
        </w:rPr>
        <w:t>Key Insights</w:t>
      </w:r>
    </w:p>
    <w:p w:rsidR="00094FD1" w:rsidRPr="00617126" w:rsidRDefault="00094FD1" w:rsidP="00094FD1">
      <w:pPr>
        <w:rPr>
          <w:rFonts w:ascii="Times New Roman" w:hAnsi="Times New Roman" w:cs="Times New Roman"/>
        </w:rPr>
      </w:pPr>
      <w:r w:rsidRPr="00617126">
        <w:rPr>
          <w:rFonts w:ascii="Times New Roman" w:hAnsi="Times New Roman" w:cs="Times New Roman"/>
        </w:rPr>
        <w:t>Nestlé's decentralized operations allow flexibility in managing local currency risks, complemented by robust financial reporting tools that integrate seamlessly with its ERP systems for accurate and efficient conversion management.</w:t>
      </w:r>
    </w:p>
    <w:p w:rsidR="00094FD1" w:rsidRPr="00617126" w:rsidRDefault="00094FD1">
      <w:pPr>
        <w:rPr>
          <w:rFonts w:ascii="Times New Roman" w:hAnsi="Times New Roman" w:cs="Times New Roman"/>
        </w:rPr>
      </w:pPr>
    </w:p>
    <w:p w:rsidR="005A0FFC" w:rsidRPr="00617126" w:rsidRDefault="005A0FFC">
      <w:pPr>
        <w:rPr>
          <w:rFonts w:ascii="Times New Roman" w:hAnsi="Times New Roman" w:cs="Times New Roman"/>
          <w:b/>
          <w:bCs/>
        </w:rPr>
      </w:pPr>
      <w:r w:rsidRPr="00617126">
        <w:rPr>
          <w:rFonts w:ascii="Times New Roman" w:hAnsi="Times New Roman" w:cs="Times New Roman"/>
          <w:b/>
          <w:bCs/>
        </w:rPr>
        <w:t>Key Comparisons</w:t>
      </w:r>
    </w:p>
    <w:tbl>
      <w:tblPr>
        <w:tblW w:w="1089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590"/>
        <w:gridCol w:w="3510"/>
      </w:tblGrid>
      <w:tr w:rsidR="00617126" w:rsidRPr="00617126" w:rsidTr="005A0FFC">
        <w:trPr>
          <w:trHeight w:val="300"/>
        </w:trPr>
        <w:tc>
          <w:tcPr>
            <w:tcW w:w="2790"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b/>
                <w:bCs/>
                <w:kern w:val="0"/>
                <w14:ligatures w14:val="none"/>
              </w:rPr>
            </w:pPr>
            <w:r w:rsidRPr="00617126">
              <w:rPr>
                <w:rFonts w:ascii="Times New Roman" w:eastAsia="Times New Roman" w:hAnsi="Times New Roman" w:cs="Times New Roman"/>
                <w:b/>
                <w:bCs/>
                <w:kern w:val="0"/>
                <w14:ligatures w14:val="none"/>
              </w:rPr>
              <w:t>Aspect</w:t>
            </w:r>
          </w:p>
        </w:tc>
        <w:tc>
          <w:tcPr>
            <w:tcW w:w="4590"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b/>
                <w:bCs/>
                <w:kern w:val="0"/>
                <w14:ligatures w14:val="none"/>
              </w:rPr>
            </w:pPr>
            <w:r w:rsidRPr="00617126">
              <w:rPr>
                <w:rFonts w:ascii="Times New Roman" w:eastAsia="Times New Roman" w:hAnsi="Times New Roman" w:cs="Times New Roman"/>
                <w:b/>
                <w:bCs/>
                <w:kern w:val="0"/>
                <w14:ligatures w14:val="none"/>
              </w:rPr>
              <w:t>Coca-Cola</w:t>
            </w:r>
          </w:p>
        </w:tc>
        <w:tc>
          <w:tcPr>
            <w:tcW w:w="3510"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b/>
                <w:bCs/>
                <w:kern w:val="0"/>
                <w14:ligatures w14:val="none"/>
              </w:rPr>
            </w:pPr>
            <w:r w:rsidRPr="00617126">
              <w:rPr>
                <w:rFonts w:ascii="Times New Roman" w:eastAsia="Times New Roman" w:hAnsi="Times New Roman" w:cs="Times New Roman"/>
                <w:b/>
                <w:bCs/>
                <w:kern w:val="0"/>
                <w14:ligatures w14:val="none"/>
              </w:rPr>
              <w:t>Nestlé</w:t>
            </w:r>
          </w:p>
        </w:tc>
      </w:tr>
      <w:tr w:rsidR="00617126" w:rsidRPr="00617126" w:rsidTr="005A0FFC">
        <w:trPr>
          <w:trHeight w:val="300"/>
        </w:trPr>
        <w:tc>
          <w:tcPr>
            <w:tcW w:w="27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Reporting Currency</w:t>
            </w:r>
          </w:p>
        </w:tc>
        <w:tc>
          <w:tcPr>
            <w:tcW w:w="45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U.S. Dollar (USD)</w:t>
            </w:r>
          </w:p>
        </w:tc>
        <w:tc>
          <w:tcPr>
            <w:tcW w:w="351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Swiss Franc (CHF)</w:t>
            </w:r>
          </w:p>
        </w:tc>
      </w:tr>
      <w:tr w:rsidR="00617126" w:rsidRPr="00617126" w:rsidTr="005A0FFC">
        <w:trPr>
          <w:trHeight w:val="300"/>
        </w:trPr>
        <w:tc>
          <w:tcPr>
            <w:tcW w:w="27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Translation Approach</w:t>
            </w:r>
          </w:p>
        </w:tc>
        <w:tc>
          <w:tcPr>
            <w:tcW w:w="45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ASC 830</w:t>
            </w:r>
          </w:p>
        </w:tc>
        <w:tc>
          <w:tcPr>
            <w:tcW w:w="351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IAS 21</w:t>
            </w:r>
          </w:p>
        </w:tc>
      </w:tr>
      <w:tr w:rsidR="00617126" w:rsidRPr="00617126" w:rsidTr="005A0FFC">
        <w:trPr>
          <w:trHeight w:val="300"/>
        </w:trPr>
        <w:tc>
          <w:tcPr>
            <w:tcW w:w="27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Key Tools</w:t>
            </w:r>
          </w:p>
        </w:tc>
        <w:tc>
          <w:tcPr>
            <w:tcW w:w="45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SAP Treasury, FX Hedging Derivatives</w:t>
            </w:r>
          </w:p>
        </w:tc>
        <w:tc>
          <w:tcPr>
            <w:tcW w:w="351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Kyriba, Oracle Treasury</w:t>
            </w:r>
          </w:p>
        </w:tc>
      </w:tr>
      <w:tr w:rsidR="00617126" w:rsidRPr="00617126" w:rsidTr="005A0FFC">
        <w:trPr>
          <w:trHeight w:val="300"/>
        </w:trPr>
        <w:tc>
          <w:tcPr>
            <w:tcW w:w="27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Hedging Strategy Emphasis</w:t>
            </w:r>
          </w:p>
        </w:tc>
        <w:tc>
          <w:tcPr>
            <w:tcW w:w="459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Centralized Treasury, Natural Hedging</w:t>
            </w:r>
          </w:p>
        </w:tc>
        <w:tc>
          <w:tcPr>
            <w:tcW w:w="351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Diversified Revenue, Derivatives</w:t>
            </w:r>
          </w:p>
        </w:tc>
      </w:tr>
    </w:tbl>
    <w:p w:rsidR="005A0FFC" w:rsidRPr="00617126" w:rsidRDefault="005A0FFC">
      <w:pPr>
        <w:rPr>
          <w:rFonts w:ascii="Times New Roman" w:hAnsi="Times New Roman" w:cs="Times New Roman"/>
        </w:rPr>
      </w:pPr>
    </w:p>
    <w:p w:rsidR="00AA4A68" w:rsidRPr="00617126" w:rsidRDefault="00AA4A68" w:rsidP="005A0FFC">
      <w:pPr>
        <w:rPr>
          <w:rFonts w:ascii="Times New Roman" w:hAnsi="Times New Roman" w:cs="Times New Roman"/>
        </w:rPr>
      </w:pPr>
    </w:p>
    <w:p w:rsidR="005A0FFC" w:rsidRPr="00047BD0" w:rsidRDefault="005A0FFC" w:rsidP="005A0FFC">
      <w:pPr>
        <w:rPr>
          <w:rFonts w:ascii="Times New Roman" w:hAnsi="Times New Roman" w:cs="Times New Roman"/>
          <w:b/>
          <w:bCs/>
          <w:color w:val="ED0000"/>
          <w:sz w:val="28"/>
          <w:szCs w:val="28"/>
        </w:rPr>
      </w:pPr>
      <w:r w:rsidRPr="00047BD0">
        <w:rPr>
          <w:rFonts w:ascii="Times New Roman" w:hAnsi="Times New Roman" w:cs="Times New Roman"/>
          <w:b/>
          <w:bCs/>
          <w:color w:val="ED0000"/>
          <w:sz w:val="28"/>
          <w:szCs w:val="28"/>
        </w:rPr>
        <w:t>Step 3: Evaluating Hedging Strategies</w:t>
      </w:r>
    </w:p>
    <w:p w:rsidR="00AA4A68" w:rsidRPr="00617126" w:rsidRDefault="00AA4A68" w:rsidP="005A0FFC">
      <w:pPr>
        <w:rPr>
          <w:rFonts w:ascii="Times New Roman" w:hAnsi="Times New Roman" w:cs="Times New Roman"/>
        </w:rPr>
      </w:pPr>
    </w:p>
    <w:p w:rsidR="00AA4A68" w:rsidRPr="00617126" w:rsidRDefault="005A0FFC" w:rsidP="00AA4A68">
      <w:pPr>
        <w:rPr>
          <w:rFonts w:ascii="Times New Roman" w:hAnsi="Times New Roman" w:cs="Times New Roman"/>
          <w:b/>
          <w:bCs/>
        </w:rPr>
      </w:pPr>
      <w:r w:rsidRPr="00617126">
        <w:rPr>
          <w:rFonts w:ascii="Times New Roman" w:hAnsi="Times New Roman" w:cs="Times New Roman"/>
          <w:b/>
          <w:bCs/>
          <w:sz w:val="28"/>
          <w:szCs w:val="28"/>
        </w:rPr>
        <w:t>Analysis of Hedging Strategies</w:t>
      </w:r>
    </w:p>
    <w:p w:rsidR="00AA4A68" w:rsidRPr="00617126" w:rsidRDefault="00AA4A68" w:rsidP="00AA4A68">
      <w:pPr>
        <w:pStyle w:val="ListParagraph"/>
        <w:rPr>
          <w:rFonts w:ascii="Times New Roman" w:hAnsi="Times New Roman" w:cs="Times New Roman"/>
          <w:b/>
          <w:bCs/>
        </w:rPr>
      </w:pPr>
    </w:p>
    <w:p w:rsidR="005A0FFC" w:rsidRPr="00617126" w:rsidRDefault="005A0FFC" w:rsidP="00AA4A68">
      <w:pPr>
        <w:pStyle w:val="ListParagraph"/>
        <w:numPr>
          <w:ilvl w:val="0"/>
          <w:numId w:val="32"/>
        </w:numPr>
        <w:rPr>
          <w:rFonts w:ascii="Times New Roman" w:hAnsi="Times New Roman" w:cs="Times New Roman"/>
          <w:b/>
          <w:bCs/>
        </w:rPr>
      </w:pPr>
      <w:r w:rsidRPr="00617126">
        <w:rPr>
          <w:rFonts w:ascii="Times New Roman" w:hAnsi="Times New Roman" w:cs="Times New Roman"/>
          <w:b/>
          <w:bCs/>
        </w:rPr>
        <w:t>Coca-Cola’s Hedging Strategies</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Hedging Techniques Used</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Forward Contracts</w:t>
      </w:r>
    </w:p>
    <w:p w:rsidR="005A0FFC" w:rsidRPr="00617126" w:rsidRDefault="005A0FFC" w:rsidP="00AA4A68">
      <w:pPr>
        <w:ind w:left="360"/>
        <w:rPr>
          <w:rFonts w:ascii="Times New Roman" w:hAnsi="Times New Roman" w:cs="Times New Roman"/>
        </w:rPr>
      </w:pPr>
      <w:r w:rsidRPr="00617126">
        <w:rPr>
          <w:rFonts w:ascii="Times New Roman" w:hAnsi="Times New Roman" w:cs="Times New Roman"/>
        </w:rPr>
        <w:t>Coca-Cola uses forward contracts to lock in exchange rates for future transactions, effectively mitigating transaction exposure.</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Natural Hedging</w:t>
      </w:r>
    </w:p>
    <w:p w:rsidR="005A0FFC" w:rsidRPr="00617126" w:rsidRDefault="005A0FFC" w:rsidP="00AA4A68">
      <w:pPr>
        <w:ind w:left="360"/>
        <w:rPr>
          <w:rFonts w:ascii="Times New Roman" w:hAnsi="Times New Roman" w:cs="Times New Roman"/>
        </w:rPr>
      </w:pPr>
      <w:r w:rsidRPr="00617126">
        <w:rPr>
          <w:rFonts w:ascii="Times New Roman" w:hAnsi="Times New Roman" w:cs="Times New Roman"/>
        </w:rPr>
        <w:t>Aligns foreign revenues with local operating costs to minimize net exposure to currency fluctuations.</w:t>
      </w:r>
    </w:p>
    <w:p w:rsidR="00AA4A68" w:rsidRPr="00617126" w:rsidRDefault="005A0FFC" w:rsidP="00AA4A68">
      <w:pPr>
        <w:pStyle w:val="ListParagraph"/>
        <w:numPr>
          <w:ilvl w:val="0"/>
          <w:numId w:val="31"/>
        </w:numPr>
        <w:rPr>
          <w:rFonts w:ascii="Times New Roman" w:hAnsi="Times New Roman" w:cs="Times New Roman"/>
          <w:b/>
          <w:bCs/>
        </w:rPr>
      </w:pPr>
      <w:r w:rsidRPr="00617126">
        <w:rPr>
          <w:rFonts w:ascii="Times New Roman" w:hAnsi="Times New Roman" w:cs="Times New Roman"/>
          <w:b/>
          <w:bCs/>
        </w:rPr>
        <w:t>Currency Options</w:t>
      </w:r>
    </w:p>
    <w:p w:rsidR="005A0FFC" w:rsidRPr="00617126" w:rsidRDefault="005A0FFC" w:rsidP="00AA4A68">
      <w:pPr>
        <w:rPr>
          <w:rFonts w:ascii="Times New Roman" w:hAnsi="Times New Roman" w:cs="Times New Roman"/>
        </w:rPr>
      </w:pPr>
      <w:r w:rsidRPr="00617126">
        <w:rPr>
          <w:rFonts w:ascii="Times New Roman" w:hAnsi="Times New Roman" w:cs="Times New Roman"/>
        </w:rPr>
        <w:t xml:space="preserve"> Utilized to secure the right, but not the obligation, to exchange currencies at a predetermined rate, providing flexibility in volatile markets.</w:t>
      </w:r>
    </w:p>
    <w:p w:rsidR="00AA4A68" w:rsidRPr="00617126" w:rsidRDefault="00AA4A68" w:rsidP="005A0FFC">
      <w:pPr>
        <w:rPr>
          <w:rFonts w:ascii="Times New Roman" w:hAnsi="Times New Roman" w:cs="Times New Roman"/>
          <w:b/>
          <w:bCs/>
        </w:rPr>
      </w:pPr>
    </w:p>
    <w:p w:rsidR="005A0FFC" w:rsidRPr="00617126" w:rsidRDefault="005A0FFC" w:rsidP="005A0FFC">
      <w:pPr>
        <w:rPr>
          <w:rFonts w:ascii="Times New Roman" w:hAnsi="Times New Roman" w:cs="Times New Roman"/>
        </w:rPr>
      </w:pPr>
      <w:r w:rsidRPr="00617126">
        <w:rPr>
          <w:rFonts w:ascii="Times New Roman" w:hAnsi="Times New Roman" w:cs="Times New Roman"/>
          <w:b/>
          <w:bCs/>
        </w:rPr>
        <w:t>Effectiveness</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rPr>
        <w:t>Forward contracts provide predictability in financial planning, particularly for highly volatile currencies like the Brazilian real or Turkish lira.</w:t>
      </w:r>
    </w:p>
    <w:p w:rsidR="00AA4A68" w:rsidRPr="00617126" w:rsidRDefault="00AA4A68" w:rsidP="00AA4A68">
      <w:pPr>
        <w:pStyle w:val="ListParagraph"/>
        <w:rPr>
          <w:rFonts w:ascii="Times New Roman" w:hAnsi="Times New Roman" w:cs="Times New Roman"/>
        </w:rPr>
      </w:pP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rPr>
        <w:t>Natural hedging reduces reliance on complex financial instruments and offers cost-effective risk mitigation.</w:t>
      </w:r>
    </w:p>
    <w:p w:rsidR="00AA4A68" w:rsidRPr="00617126" w:rsidRDefault="00AA4A68" w:rsidP="00AA4A68">
      <w:pPr>
        <w:pStyle w:val="ListParagraph"/>
        <w:rPr>
          <w:rFonts w:ascii="Times New Roman" w:hAnsi="Times New Roman" w:cs="Times New Roman"/>
        </w:rPr>
      </w:pPr>
    </w:p>
    <w:p w:rsidR="005A0FFC"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rPr>
        <w:t>Options provide a safety net in highly unpredictable currency markets but come with a premium cost.</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Financial and Operational Impacts</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Financial</w:t>
      </w:r>
    </w:p>
    <w:p w:rsidR="005A0FFC" w:rsidRPr="00617126" w:rsidRDefault="005A0FFC" w:rsidP="00AA4A68">
      <w:pPr>
        <w:ind w:left="360"/>
        <w:rPr>
          <w:rFonts w:ascii="Times New Roman" w:hAnsi="Times New Roman" w:cs="Times New Roman"/>
        </w:rPr>
      </w:pPr>
      <w:r w:rsidRPr="00617126">
        <w:rPr>
          <w:rFonts w:ascii="Times New Roman" w:hAnsi="Times New Roman" w:cs="Times New Roman"/>
        </w:rPr>
        <w:t>Coca-Cola reports reduced volatility in its earnings due to consistent use of hedging instruments, as evidenced in its annual financial statements.</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Operational</w:t>
      </w:r>
    </w:p>
    <w:p w:rsidR="005A0FFC" w:rsidRPr="00617126" w:rsidRDefault="005A0FFC" w:rsidP="00AA4A68">
      <w:pPr>
        <w:ind w:left="360"/>
        <w:rPr>
          <w:rFonts w:ascii="Times New Roman" w:hAnsi="Times New Roman" w:cs="Times New Roman"/>
        </w:rPr>
      </w:pPr>
      <w:r w:rsidRPr="00617126">
        <w:rPr>
          <w:rFonts w:ascii="Times New Roman" w:hAnsi="Times New Roman" w:cs="Times New Roman"/>
        </w:rPr>
        <w:t xml:space="preserve"> Hedging strategies enable stable pricing in foreign markets, enhancing competitiveness and fostering long-term customer relationships.</w:t>
      </w:r>
    </w:p>
    <w:p w:rsidR="00AA4A68" w:rsidRPr="00617126" w:rsidRDefault="00AA4A68" w:rsidP="005A0FFC">
      <w:pPr>
        <w:rPr>
          <w:rFonts w:ascii="Times New Roman" w:hAnsi="Times New Roman" w:cs="Times New Roman"/>
        </w:rPr>
      </w:pPr>
    </w:p>
    <w:p w:rsidR="005A0FFC" w:rsidRPr="00617126" w:rsidRDefault="005A0FFC" w:rsidP="005A0FFC">
      <w:pPr>
        <w:rPr>
          <w:rFonts w:ascii="Times New Roman" w:hAnsi="Times New Roman" w:cs="Times New Roman"/>
          <w:b/>
          <w:bCs/>
          <w:sz w:val="28"/>
          <w:szCs w:val="28"/>
        </w:rPr>
      </w:pPr>
      <w:r w:rsidRPr="00617126">
        <w:rPr>
          <w:rFonts w:ascii="Times New Roman" w:hAnsi="Times New Roman" w:cs="Times New Roman"/>
          <w:b/>
          <w:bCs/>
          <w:sz w:val="28"/>
          <w:szCs w:val="28"/>
        </w:rPr>
        <w:t xml:space="preserve"> Nestlé’s Hedging Strategies</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lastRenderedPageBreak/>
        <w:t>Hedging Techniques Used</w:t>
      </w:r>
      <w:r w:rsidRPr="00617126">
        <w:rPr>
          <w:rFonts w:ascii="Times New Roman" w:hAnsi="Times New Roman" w:cs="Times New Roman"/>
        </w:rPr>
        <w:t>:</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Currency Swaps</w:t>
      </w:r>
    </w:p>
    <w:p w:rsidR="005A0FFC" w:rsidRPr="00617126" w:rsidRDefault="005A0FFC" w:rsidP="00AA4A68">
      <w:pPr>
        <w:ind w:left="360"/>
        <w:rPr>
          <w:rFonts w:ascii="Times New Roman" w:hAnsi="Times New Roman" w:cs="Times New Roman"/>
        </w:rPr>
      </w:pPr>
      <w:r w:rsidRPr="00617126">
        <w:rPr>
          <w:rFonts w:ascii="Times New Roman" w:hAnsi="Times New Roman" w:cs="Times New Roman"/>
        </w:rPr>
        <w:t>Nestlé frequently employs swaps to exchange interest and principal payments in one currency for another, aligning with its debt obligations.</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Forward Contracts</w:t>
      </w:r>
    </w:p>
    <w:p w:rsidR="005A0FFC" w:rsidRPr="00617126" w:rsidRDefault="005A0FFC" w:rsidP="00AA4A68">
      <w:pPr>
        <w:rPr>
          <w:rFonts w:ascii="Times New Roman" w:hAnsi="Times New Roman" w:cs="Times New Roman"/>
        </w:rPr>
      </w:pPr>
      <w:r w:rsidRPr="00617126">
        <w:rPr>
          <w:rFonts w:ascii="Times New Roman" w:hAnsi="Times New Roman" w:cs="Times New Roman"/>
        </w:rPr>
        <w:t>Used to hedge anticipated future cash flows, particularly for key currencies like the U.S. dollar and euro.</w:t>
      </w:r>
    </w:p>
    <w:p w:rsidR="00AA4A68" w:rsidRPr="00617126" w:rsidRDefault="005A0FFC" w:rsidP="00AA4A68">
      <w:pPr>
        <w:pStyle w:val="ListParagraph"/>
        <w:numPr>
          <w:ilvl w:val="0"/>
          <w:numId w:val="31"/>
        </w:numPr>
        <w:rPr>
          <w:rFonts w:ascii="Times New Roman" w:hAnsi="Times New Roman" w:cs="Times New Roman"/>
        </w:rPr>
      </w:pPr>
      <w:r w:rsidRPr="00617126">
        <w:rPr>
          <w:rFonts w:ascii="Times New Roman" w:hAnsi="Times New Roman" w:cs="Times New Roman"/>
          <w:b/>
          <w:bCs/>
        </w:rPr>
        <w:t>Diversification</w:t>
      </w:r>
    </w:p>
    <w:p w:rsidR="005A0FFC" w:rsidRPr="00617126" w:rsidRDefault="005A0FFC" w:rsidP="00AA4A68">
      <w:pPr>
        <w:rPr>
          <w:rFonts w:ascii="Times New Roman" w:hAnsi="Times New Roman" w:cs="Times New Roman"/>
        </w:rPr>
      </w:pPr>
      <w:r w:rsidRPr="00617126">
        <w:rPr>
          <w:rFonts w:ascii="Times New Roman" w:hAnsi="Times New Roman" w:cs="Times New Roman"/>
        </w:rPr>
        <w:t>Nestlé’s global revenue diversification serves as an inherent hedging mechanism by balancing exposure across multiple currencies.</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Effectiveness</w:t>
      </w:r>
    </w:p>
    <w:p w:rsidR="000C4E6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Swaps and forward contracts are particularly effective in stabilizing Nestlé’s cash flows and reducing translation risks.</w:t>
      </w:r>
    </w:p>
    <w:p w:rsidR="000C4E6C" w:rsidRPr="00617126" w:rsidRDefault="000C4E6C" w:rsidP="000C4E6C">
      <w:pPr>
        <w:pStyle w:val="ListParagraph"/>
        <w:rPr>
          <w:rFonts w:ascii="Times New Roman" w:hAnsi="Times New Roman" w:cs="Times New Roman"/>
        </w:rPr>
      </w:pP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Diversification allows the company to mitigate the impact of adverse movements in any single currency.</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Financial and Operational Impacts</w:t>
      </w:r>
      <w:r w:rsidRPr="00617126">
        <w:rPr>
          <w:rFonts w:ascii="Times New Roman" w:hAnsi="Times New Roman" w:cs="Times New Roman"/>
        </w:rPr>
        <w:t>:</w:t>
      </w:r>
    </w:p>
    <w:p w:rsidR="000C4E6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b/>
          <w:bCs/>
        </w:rPr>
        <w:t>Financial</w:t>
      </w:r>
    </w:p>
    <w:p w:rsidR="005A0FFC" w:rsidRPr="00617126" w:rsidRDefault="005A0FFC" w:rsidP="000C4E6C">
      <w:pPr>
        <w:ind w:left="360"/>
        <w:rPr>
          <w:rFonts w:ascii="Times New Roman" w:hAnsi="Times New Roman" w:cs="Times New Roman"/>
        </w:rPr>
      </w:pPr>
      <w:r w:rsidRPr="00617126">
        <w:rPr>
          <w:rFonts w:ascii="Times New Roman" w:hAnsi="Times New Roman" w:cs="Times New Roman"/>
        </w:rPr>
        <w:t>These strategies have contributed to maintaining consistent profit margins despite fluctuations in major currency pairs.</w:t>
      </w:r>
    </w:p>
    <w:p w:rsidR="000C4E6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b/>
          <w:bCs/>
        </w:rPr>
        <w:t>Operational</w:t>
      </w:r>
    </w:p>
    <w:p w:rsidR="005A0FFC" w:rsidRPr="00617126" w:rsidRDefault="000C4E6C" w:rsidP="000C4E6C">
      <w:pPr>
        <w:ind w:left="360"/>
        <w:rPr>
          <w:rFonts w:ascii="Times New Roman" w:hAnsi="Times New Roman" w:cs="Times New Roman"/>
        </w:rPr>
      </w:pPr>
      <w:r w:rsidRPr="00617126">
        <w:rPr>
          <w:rFonts w:ascii="Times New Roman" w:hAnsi="Times New Roman" w:cs="Times New Roman"/>
        </w:rPr>
        <w:t xml:space="preserve"> </w:t>
      </w:r>
      <w:r w:rsidR="005A0FFC" w:rsidRPr="00617126">
        <w:rPr>
          <w:rFonts w:ascii="Times New Roman" w:hAnsi="Times New Roman" w:cs="Times New Roman"/>
        </w:rPr>
        <w:t>Enhanced risk predictability supports strategic decision-making and resource allocation across global markets.</w:t>
      </w:r>
    </w:p>
    <w:p w:rsidR="005A0FFC" w:rsidRPr="00617126" w:rsidRDefault="005A0FFC">
      <w:pPr>
        <w:rPr>
          <w:rFonts w:ascii="Times New Roman" w:hAnsi="Times New Roman" w:cs="Times New Roman"/>
        </w:rPr>
      </w:pPr>
    </w:p>
    <w:p w:rsidR="005A0FFC" w:rsidRPr="00617126" w:rsidRDefault="005A0FFC">
      <w:pPr>
        <w:rPr>
          <w:rFonts w:ascii="Times New Roman" w:hAnsi="Times New Roman" w:cs="Times New Roman"/>
        </w:rPr>
      </w:pPr>
    </w:p>
    <w:p w:rsidR="005A0FFC" w:rsidRPr="00617126" w:rsidRDefault="005A0FFC">
      <w:pPr>
        <w:rPr>
          <w:rFonts w:ascii="Times New Roman" w:hAnsi="Times New Roman" w:cs="Times New Roman"/>
        </w:rPr>
      </w:pPr>
    </w:p>
    <w:p w:rsidR="005A0FFC" w:rsidRPr="00617126" w:rsidRDefault="005A0FFC">
      <w:pPr>
        <w:rPr>
          <w:rFonts w:ascii="Times New Roman" w:hAnsi="Times New Roman" w:cs="Times New Roman"/>
          <w:b/>
          <w:bCs/>
          <w:sz w:val="28"/>
          <w:szCs w:val="28"/>
        </w:rPr>
      </w:pPr>
      <w:r w:rsidRPr="00617126">
        <w:rPr>
          <w:rFonts w:ascii="Times New Roman" w:hAnsi="Times New Roman" w:cs="Times New Roman"/>
          <w:b/>
          <w:bCs/>
          <w:sz w:val="28"/>
          <w:szCs w:val="28"/>
        </w:rPr>
        <w:t>Key Comparisons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3378"/>
        <w:gridCol w:w="3828"/>
      </w:tblGrid>
      <w:tr w:rsidR="00617126" w:rsidRPr="00617126" w:rsidTr="005A0FFC">
        <w:trPr>
          <w:trHeight w:val="300"/>
        </w:trPr>
        <w:tc>
          <w:tcPr>
            <w:tcW w:w="2154"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Aspect</w:t>
            </w:r>
          </w:p>
        </w:tc>
        <w:tc>
          <w:tcPr>
            <w:tcW w:w="3378"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Coca-Cola</w:t>
            </w:r>
          </w:p>
        </w:tc>
        <w:tc>
          <w:tcPr>
            <w:tcW w:w="3828"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Nestlé</w:t>
            </w:r>
          </w:p>
        </w:tc>
      </w:tr>
      <w:tr w:rsidR="00617126" w:rsidRPr="00617126" w:rsidTr="005A0FFC">
        <w:trPr>
          <w:trHeight w:val="62"/>
        </w:trPr>
        <w:tc>
          <w:tcPr>
            <w:tcW w:w="2154"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Primary Hedging Techniques</w:t>
            </w:r>
          </w:p>
        </w:tc>
        <w:tc>
          <w:tcPr>
            <w:tcW w:w="337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Forward Contracts, Natural Hedging, Options</w:t>
            </w:r>
          </w:p>
        </w:tc>
        <w:tc>
          <w:tcPr>
            <w:tcW w:w="382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Currency Swaps, Forward Contracts, Diversification</w:t>
            </w:r>
          </w:p>
        </w:tc>
      </w:tr>
      <w:tr w:rsidR="00617126" w:rsidRPr="00617126" w:rsidTr="005A0FFC">
        <w:trPr>
          <w:trHeight w:val="300"/>
        </w:trPr>
        <w:tc>
          <w:tcPr>
            <w:tcW w:w="2154"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Emphasis</w:t>
            </w:r>
          </w:p>
        </w:tc>
        <w:tc>
          <w:tcPr>
            <w:tcW w:w="337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Transaction and Economic Risks</w:t>
            </w:r>
          </w:p>
        </w:tc>
        <w:tc>
          <w:tcPr>
            <w:tcW w:w="382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Translation and Transaction Risks</w:t>
            </w:r>
          </w:p>
        </w:tc>
      </w:tr>
      <w:tr w:rsidR="00617126" w:rsidRPr="00617126" w:rsidTr="005A0FFC">
        <w:trPr>
          <w:trHeight w:val="300"/>
        </w:trPr>
        <w:tc>
          <w:tcPr>
            <w:tcW w:w="2154"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Effectiveness</w:t>
            </w:r>
          </w:p>
        </w:tc>
        <w:tc>
          <w:tcPr>
            <w:tcW w:w="337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Stabilizes pricing and earnings</w:t>
            </w:r>
          </w:p>
        </w:tc>
        <w:tc>
          <w:tcPr>
            <w:tcW w:w="382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Balances global exposure effectively</w:t>
            </w:r>
          </w:p>
        </w:tc>
      </w:tr>
      <w:tr w:rsidR="00617126" w:rsidRPr="00617126" w:rsidTr="005A0FFC">
        <w:trPr>
          <w:trHeight w:val="300"/>
        </w:trPr>
        <w:tc>
          <w:tcPr>
            <w:tcW w:w="2154"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Operational Impact</w:t>
            </w:r>
          </w:p>
        </w:tc>
        <w:tc>
          <w:tcPr>
            <w:tcW w:w="337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Supports market competitiveness</w:t>
            </w:r>
          </w:p>
        </w:tc>
        <w:tc>
          <w:tcPr>
            <w:tcW w:w="3828"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Enhances resource allocation efficiency</w:t>
            </w:r>
          </w:p>
        </w:tc>
      </w:tr>
    </w:tbl>
    <w:p w:rsidR="005A0FFC" w:rsidRPr="00617126" w:rsidRDefault="005A0FFC">
      <w:pPr>
        <w:rPr>
          <w:rFonts w:ascii="Times New Roman" w:hAnsi="Times New Roman" w:cs="Times New Roman"/>
        </w:rPr>
      </w:pPr>
    </w:p>
    <w:p w:rsidR="005A0FFC" w:rsidRPr="00617126" w:rsidRDefault="005A0FFC">
      <w:pPr>
        <w:rPr>
          <w:rFonts w:ascii="Times New Roman" w:hAnsi="Times New Roman" w:cs="Times New Roman"/>
        </w:rPr>
      </w:pPr>
      <w:r w:rsidRPr="00617126">
        <w:rPr>
          <w:rFonts w:ascii="Times New Roman" w:hAnsi="Times New Roman" w:cs="Times New Roman"/>
          <w:b/>
          <w:bCs/>
        </w:rPr>
        <w:lastRenderedPageBreak/>
        <w:t>Deliverable</w:t>
      </w:r>
      <w:r w:rsidRPr="00617126">
        <w:rPr>
          <w:rFonts w:ascii="Times New Roman" w:hAnsi="Times New Roman" w:cs="Times New Roman"/>
        </w:rPr>
        <w:br/>
        <w:t>A concise report section analyzing the hedging techniques used by Coca-Cola and Nestlé, focusing on their effectiveness and financial/operational impacts.</w:t>
      </w:r>
    </w:p>
    <w:p w:rsidR="005A0FFC" w:rsidRPr="00617126" w:rsidRDefault="005A0FFC">
      <w:pPr>
        <w:rPr>
          <w:rFonts w:ascii="Times New Roman" w:hAnsi="Times New Roman" w:cs="Times New Roman"/>
        </w:rPr>
      </w:pPr>
    </w:p>
    <w:p w:rsidR="005A0FFC" w:rsidRPr="00047BD0" w:rsidRDefault="005A0FFC">
      <w:pPr>
        <w:rPr>
          <w:rFonts w:ascii="Times New Roman" w:hAnsi="Times New Roman" w:cs="Times New Roman"/>
          <w:b/>
          <w:bCs/>
          <w:color w:val="ED0000"/>
          <w:sz w:val="28"/>
          <w:szCs w:val="28"/>
        </w:rPr>
      </w:pPr>
      <w:r w:rsidRPr="00047BD0">
        <w:rPr>
          <w:rFonts w:ascii="Times New Roman" w:hAnsi="Times New Roman" w:cs="Times New Roman"/>
          <w:b/>
          <w:bCs/>
          <w:color w:val="ED0000"/>
          <w:sz w:val="28"/>
          <w:szCs w:val="28"/>
        </w:rPr>
        <w:t>Step 4: AI-Enhanced Scenario Simulation</w:t>
      </w:r>
    </w:p>
    <w:p w:rsidR="005A0FFC" w:rsidRPr="00617126" w:rsidRDefault="005A0FFC" w:rsidP="000C4E6C">
      <w:pPr>
        <w:pStyle w:val="ListParagraph"/>
        <w:numPr>
          <w:ilvl w:val="0"/>
          <w:numId w:val="32"/>
        </w:numPr>
        <w:rPr>
          <w:rFonts w:ascii="Times New Roman" w:hAnsi="Times New Roman" w:cs="Times New Roman"/>
          <w:b/>
          <w:bCs/>
        </w:rPr>
      </w:pPr>
      <w:r w:rsidRPr="00617126">
        <w:rPr>
          <w:rFonts w:ascii="Times New Roman" w:hAnsi="Times New Roman" w:cs="Times New Roman"/>
          <w:b/>
          <w:bCs/>
        </w:rPr>
        <w:t>Simulated Scenarios and AI-Generated Insights</w:t>
      </w:r>
    </w:p>
    <w:p w:rsidR="005A0FFC" w:rsidRPr="00617126" w:rsidRDefault="005A0FFC" w:rsidP="005A0FFC">
      <w:pPr>
        <w:rPr>
          <w:rFonts w:ascii="Times New Roman" w:hAnsi="Times New Roman" w:cs="Times New Roman"/>
          <w:b/>
          <w:bCs/>
        </w:rPr>
      </w:pPr>
      <w:r w:rsidRPr="00617126">
        <w:rPr>
          <w:rFonts w:ascii="Times New Roman" w:hAnsi="Times New Roman" w:cs="Times New Roman"/>
          <w:b/>
          <w:bCs/>
        </w:rPr>
        <w:t>Scenario 1</w:t>
      </w:r>
      <w:r w:rsidR="00617126" w:rsidRPr="00617126">
        <w:rPr>
          <w:rFonts w:ascii="Times New Roman" w:hAnsi="Times New Roman" w:cs="Times New Roman"/>
          <w:b/>
          <w:bCs/>
        </w:rPr>
        <w:t xml:space="preserve"> </w:t>
      </w:r>
      <w:r w:rsidR="00617126" w:rsidRPr="00617126">
        <w:rPr>
          <w:rFonts w:ascii="Times New Roman" w:hAnsi="Times New Roman" w:cs="Times New Roman"/>
          <w:b/>
          <w:bCs/>
        </w:rPr>
        <w:sym w:font="Wingdings" w:char="F0E0"/>
      </w:r>
      <w:r w:rsidR="00617126" w:rsidRPr="00617126">
        <w:rPr>
          <w:rFonts w:ascii="Times New Roman" w:hAnsi="Times New Roman" w:cs="Times New Roman"/>
          <w:b/>
          <w:bCs/>
        </w:rPr>
        <w:t xml:space="preserve"> </w:t>
      </w:r>
      <w:r w:rsidRPr="00617126">
        <w:rPr>
          <w:rFonts w:ascii="Times New Roman" w:hAnsi="Times New Roman" w:cs="Times New Roman"/>
          <w:b/>
          <w:bCs/>
        </w:rPr>
        <w:t xml:space="preserve"> Local Currency Depreciates by 10%</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Hypothetical Situation</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A 10% depreciation of the Brazilian real (BRL) against the U.S. dollar impacts Coca-Cola’s revenues in Brazil.</w:t>
      </w:r>
    </w:p>
    <w:p w:rsidR="000C4E6C" w:rsidRPr="00617126" w:rsidRDefault="000C4E6C" w:rsidP="000C4E6C">
      <w:pPr>
        <w:pStyle w:val="ListParagraph"/>
        <w:rPr>
          <w:rFonts w:ascii="Times New Roman" w:hAnsi="Times New Roman" w:cs="Times New Roman"/>
        </w:rPr>
      </w:pP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Similarly, a 10% depreciation of the Indian rupee (INR) against the Swiss franc affects Nestlé’s revenues in India.</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AI Insights</w:t>
      </w:r>
    </w:p>
    <w:p w:rsidR="005A0FFC" w:rsidRPr="00617126" w:rsidRDefault="005A0FFC" w:rsidP="005A0FFC">
      <w:pPr>
        <w:numPr>
          <w:ilvl w:val="0"/>
          <w:numId w:val="14"/>
        </w:numPr>
        <w:rPr>
          <w:rFonts w:ascii="Times New Roman" w:hAnsi="Times New Roman" w:cs="Times New Roman"/>
        </w:rPr>
      </w:pPr>
      <w:r w:rsidRPr="00617126">
        <w:rPr>
          <w:rFonts w:ascii="Times New Roman" w:hAnsi="Times New Roman" w:cs="Times New Roman"/>
          <w:b/>
          <w:bCs/>
        </w:rPr>
        <w:t>Coca-Cola</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A 10% depreciation reduces the translated value of BRL-denominated revenues when consolidated into USD, potentially decreasing total revenue and net income.</w:t>
      </w:r>
    </w:p>
    <w:p w:rsidR="005A0FFC" w:rsidRPr="00617126" w:rsidRDefault="005A0FFC" w:rsidP="000C4E6C">
      <w:pPr>
        <w:rPr>
          <w:rFonts w:ascii="Times New Roman" w:hAnsi="Times New Roman" w:cs="Times New Roman"/>
        </w:rPr>
      </w:pPr>
      <w:r w:rsidRPr="00617126">
        <w:rPr>
          <w:rFonts w:ascii="Times New Roman" w:hAnsi="Times New Roman" w:cs="Times New Roman"/>
          <w:b/>
          <w:bCs/>
        </w:rPr>
        <w:t>Strategic Recommendations</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Increase reliance on natural hedging by sourcing more raw materials locally.</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Adjust pricing strategies in Brazil to offset revenue losses.</w:t>
      </w:r>
    </w:p>
    <w:p w:rsidR="005A0FFC" w:rsidRPr="00617126" w:rsidRDefault="005A0FFC" w:rsidP="005A0FFC">
      <w:pPr>
        <w:numPr>
          <w:ilvl w:val="0"/>
          <w:numId w:val="14"/>
        </w:numPr>
        <w:rPr>
          <w:rFonts w:ascii="Times New Roman" w:hAnsi="Times New Roman" w:cs="Times New Roman"/>
        </w:rPr>
      </w:pPr>
      <w:r w:rsidRPr="00617126">
        <w:rPr>
          <w:rFonts w:ascii="Times New Roman" w:hAnsi="Times New Roman" w:cs="Times New Roman"/>
          <w:b/>
          <w:bCs/>
        </w:rPr>
        <w:t>Nestlé</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INR depreciation lowers the contribution of Indian operations to consolidated revenues in CHF, potentially impacting profit margins.</w:t>
      </w:r>
    </w:p>
    <w:p w:rsidR="005A0FFC" w:rsidRPr="00617126" w:rsidRDefault="005A0FFC" w:rsidP="000C4E6C">
      <w:pPr>
        <w:rPr>
          <w:rFonts w:ascii="Times New Roman" w:hAnsi="Times New Roman" w:cs="Times New Roman"/>
        </w:rPr>
      </w:pPr>
      <w:r w:rsidRPr="00617126">
        <w:rPr>
          <w:rFonts w:ascii="Times New Roman" w:hAnsi="Times New Roman" w:cs="Times New Roman"/>
          <w:b/>
          <w:bCs/>
        </w:rPr>
        <w:t>Strategic Recommendations</w:t>
      </w:r>
      <w:r w:rsidRPr="00617126">
        <w:rPr>
          <w:rFonts w:ascii="Times New Roman" w:hAnsi="Times New Roman" w:cs="Times New Roman"/>
        </w:rPr>
        <w:t>:</w:t>
      </w:r>
    </w:p>
    <w:p w:rsidR="000C4E6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Increase forward contracts to lock in favorable rates.</w:t>
      </w:r>
    </w:p>
    <w:p w:rsidR="005A0FFC" w:rsidRPr="00617126" w:rsidRDefault="005A0FFC" w:rsidP="000C4E6C">
      <w:pPr>
        <w:pStyle w:val="ListParagraph"/>
        <w:numPr>
          <w:ilvl w:val="0"/>
          <w:numId w:val="31"/>
        </w:numPr>
        <w:rPr>
          <w:rFonts w:ascii="Times New Roman" w:hAnsi="Times New Roman" w:cs="Times New Roman"/>
        </w:rPr>
      </w:pPr>
      <w:r w:rsidRPr="00617126">
        <w:rPr>
          <w:rFonts w:ascii="Times New Roman" w:hAnsi="Times New Roman" w:cs="Times New Roman"/>
        </w:rPr>
        <w:t>Optimize production costs within India to maintain profitability.</w:t>
      </w:r>
    </w:p>
    <w:p w:rsidR="005A0FFC" w:rsidRPr="00617126" w:rsidRDefault="005A0FFC" w:rsidP="005A0FFC">
      <w:pPr>
        <w:rPr>
          <w:rFonts w:ascii="Times New Roman" w:hAnsi="Times New Roman" w:cs="Times New Roman"/>
        </w:rPr>
      </w:pPr>
    </w:p>
    <w:p w:rsidR="005A0FFC" w:rsidRPr="00617126" w:rsidRDefault="005A0FFC" w:rsidP="005A0FFC">
      <w:pPr>
        <w:rPr>
          <w:rFonts w:ascii="Times New Roman" w:hAnsi="Times New Roman" w:cs="Times New Roman"/>
          <w:b/>
          <w:bCs/>
        </w:rPr>
      </w:pPr>
      <w:r w:rsidRPr="00617126">
        <w:rPr>
          <w:rFonts w:ascii="Times New Roman" w:hAnsi="Times New Roman" w:cs="Times New Roman"/>
          <w:b/>
          <w:bCs/>
        </w:rPr>
        <w:t>Scenario 2</w:t>
      </w:r>
      <w:r w:rsidR="00617126" w:rsidRPr="00617126">
        <w:rPr>
          <w:rFonts w:ascii="Times New Roman" w:hAnsi="Times New Roman" w:cs="Times New Roman"/>
          <w:b/>
          <w:bCs/>
        </w:rPr>
        <w:t xml:space="preserve"> </w:t>
      </w:r>
      <w:r w:rsidR="00617126" w:rsidRPr="00617126">
        <w:rPr>
          <w:rFonts w:ascii="Times New Roman" w:hAnsi="Times New Roman" w:cs="Times New Roman"/>
          <w:b/>
          <w:bCs/>
        </w:rPr>
        <w:sym w:font="Wingdings" w:char="F0E0"/>
      </w:r>
      <w:r w:rsidR="00617126" w:rsidRPr="00617126">
        <w:rPr>
          <w:rFonts w:ascii="Times New Roman" w:hAnsi="Times New Roman" w:cs="Times New Roman"/>
          <w:b/>
          <w:bCs/>
        </w:rPr>
        <w:t xml:space="preserve"> </w:t>
      </w:r>
      <w:r w:rsidRPr="00617126">
        <w:rPr>
          <w:rFonts w:ascii="Times New Roman" w:hAnsi="Times New Roman" w:cs="Times New Roman"/>
          <w:b/>
          <w:bCs/>
        </w:rPr>
        <w:t>Sudden Increase in Currency Volatility</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Hypothetical Situation</w:t>
      </w:r>
    </w:p>
    <w:p w:rsidR="005A0FFC" w:rsidRPr="00617126" w:rsidRDefault="005A0FFC" w:rsidP="005A0FFC">
      <w:pPr>
        <w:numPr>
          <w:ilvl w:val="0"/>
          <w:numId w:val="15"/>
        </w:numPr>
        <w:rPr>
          <w:rFonts w:ascii="Times New Roman" w:hAnsi="Times New Roman" w:cs="Times New Roman"/>
        </w:rPr>
      </w:pPr>
      <w:r w:rsidRPr="00617126">
        <w:rPr>
          <w:rFonts w:ascii="Times New Roman" w:hAnsi="Times New Roman" w:cs="Times New Roman"/>
        </w:rPr>
        <w:t>Currency volatility increases sharply for the euro (EUR) against the USD and CHF, affecting both Coca-Cola and Nestlé’s European operations.</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AI Insights</w:t>
      </w:r>
      <w:r w:rsidRPr="00617126">
        <w:rPr>
          <w:rFonts w:ascii="Times New Roman" w:hAnsi="Times New Roman" w:cs="Times New Roman"/>
        </w:rPr>
        <w:t>:</w:t>
      </w:r>
    </w:p>
    <w:p w:rsidR="005A0FFC" w:rsidRPr="00617126" w:rsidRDefault="005A0FFC" w:rsidP="005A0FFC">
      <w:pPr>
        <w:numPr>
          <w:ilvl w:val="0"/>
          <w:numId w:val="16"/>
        </w:numPr>
        <w:rPr>
          <w:rFonts w:ascii="Times New Roman" w:hAnsi="Times New Roman" w:cs="Times New Roman"/>
        </w:rPr>
      </w:pPr>
      <w:r w:rsidRPr="00617126">
        <w:rPr>
          <w:rFonts w:ascii="Times New Roman" w:hAnsi="Times New Roman" w:cs="Times New Roman"/>
          <w:b/>
          <w:bCs/>
        </w:rPr>
        <w:t>Coca-Cola</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lastRenderedPageBreak/>
        <w:t>Increased volatility could lead to unpredictable cash flows and higher costs for managing foreign exchange exposure.</w:t>
      </w:r>
    </w:p>
    <w:p w:rsidR="005A0FFC" w:rsidRPr="00617126" w:rsidRDefault="005A0FFC" w:rsidP="00617126">
      <w:pPr>
        <w:rPr>
          <w:rFonts w:ascii="Times New Roman" w:hAnsi="Times New Roman" w:cs="Times New Roman"/>
        </w:rPr>
      </w:pPr>
      <w:r w:rsidRPr="00617126">
        <w:rPr>
          <w:rFonts w:ascii="Times New Roman" w:hAnsi="Times New Roman" w:cs="Times New Roman"/>
          <w:b/>
          <w:bCs/>
        </w:rPr>
        <w:t>Strategic Recommendations</w:t>
      </w:r>
    </w:p>
    <w:p w:rsidR="005A0FFC" w:rsidRPr="00617126" w:rsidRDefault="005A0FFC" w:rsidP="005A0FFC">
      <w:pPr>
        <w:numPr>
          <w:ilvl w:val="2"/>
          <w:numId w:val="16"/>
        </w:numPr>
        <w:rPr>
          <w:rFonts w:ascii="Times New Roman" w:hAnsi="Times New Roman" w:cs="Times New Roman"/>
        </w:rPr>
      </w:pPr>
      <w:r w:rsidRPr="00617126">
        <w:rPr>
          <w:rFonts w:ascii="Times New Roman" w:hAnsi="Times New Roman" w:cs="Times New Roman"/>
        </w:rPr>
        <w:t>Utilize options to cap potential losses while maintaining upside potential.</w:t>
      </w:r>
    </w:p>
    <w:p w:rsidR="005A0FFC" w:rsidRPr="00617126" w:rsidRDefault="005A0FFC" w:rsidP="005A0FFC">
      <w:pPr>
        <w:numPr>
          <w:ilvl w:val="2"/>
          <w:numId w:val="16"/>
        </w:numPr>
        <w:rPr>
          <w:rFonts w:ascii="Times New Roman" w:hAnsi="Times New Roman" w:cs="Times New Roman"/>
        </w:rPr>
      </w:pPr>
      <w:r w:rsidRPr="00617126">
        <w:rPr>
          <w:rFonts w:ascii="Times New Roman" w:hAnsi="Times New Roman" w:cs="Times New Roman"/>
        </w:rPr>
        <w:t>Enhance centralized treasury monitoring to respond rapidly to currency swings.</w:t>
      </w:r>
    </w:p>
    <w:p w:rsidR="005A0FFC" w:rsidRPr="00617126" w:rsidRDefault="005A0FFC" w:rsidP="005A0FFC">
      <w:pPr>
        <w:numPr>
          <w:ilvl w:val="0"/>
          <w:numId w:val="16"/>
        </w:numPr>
        <w:rPr>
          <w:rFonts w:ascii="Times New Roman" w:hAnsi="Times New Roman" w:cs="Times New Roman"/>
        </w:rPr>
      </w:pPr>
      <w:r w:rsidRPr="00617126">
        <w:rPr>
          <w:rFonts w:ascii="Times New Roman" w:hAnsi="Times New Roman" w:cs="Times New Roman"/>
          <w:b/>
          <w:bCs/>
        </w:rPr>
        <w:t>Nestlé</w:t>
      </w:r>
      <w:r w:rsidRPr="00617126">
        <w:rPr>
          <w:rFonts w:ascii="Times New Roman" w:hAnsi="Times New Roman" w:cs="Times New Roman"/>
        </w:rPr>
        <w:t>:</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Volatility increases translation risks, potentially causing significant fluctuations in reported earnings.</w:t>
      </w:r>
    </w:p>
    <w:p w:rsidR="005A0FFC" w:rsidRPr="00617126" w:rsidRDefault="005A0FFC" w:rsidP="00617126">
      <w:pPr>
        <w:rPr>
          <w:rFonts w:ascii="Times New Roman" w:hAnsi="Times New Roman" w:cs="Times New Roman"/>
        </w:rPr>
      </w:pPr>
      <w:r w:rsidRPr="00617126">
        <w:rPr>
          <w:rFonts w:ascii="Times New Roman" w:hAnsi="Times New Roman" w:cs="Times New Roman"/>
          <w:b/>
          <w:bCs/>
        </w:rPr>
        <w:t>Strategic Recommendations</w:t>
      </w:r>
    </w:p>
    <w:p w:rsidR="005A0FFC" w:rsidRPr="00617126" w:rsidRDefault="005A0FFC" w:rsidP="005A0FFC">
      <w:pPr>
        <w:numPr>
          <w:ilvl w:val="2"/>
          <w:numId w:val="16"/>
        </w:numPr>
        <w:rPr>
          <w:rFonts w:ascii="Times New Roman" w:hAnsi="Times New Roman" w:cs="Times New Roman"/>
        </w:rPr>
      </w:pPr>
      <w:r w:rsidRPr="00617126">
        <w:rPr>
          <w:rFonts w:ascii="Times New Roman" w:hAnsi="Times New Roman" w:cs="Times New Roman"/>
        </w:rPr>
        <w:t>Hedge a larger portion of EUR-denominated revenues through currency swaps.</w:t>
      </w:r>
    </w:p>
    <w:p w:rsidR="005A0FFC" w:rsidRPr="00617126" w:rsidRDefault="005A0FFC" w:rsidP="005A0FFC">
      <w:pPr>
        <w:numPr>
          <w:ilvl w:val="2"/>
          <w:numId w:val="16"/>
        </w:numPr>
        <w:rPr>
          <w:rFonts w:ascii="Times New Roman" w:hAnsi="Times New Roman" w:cs="Times New Roman"/>
        </w:rPr>
      </w:pPr>
      <w:r w:rsidRPr="00617126">
        <w:rPr>
          <w:rFonts w:ascii="Times New Roman" w:hAnsi="Times New Roman" w:cs="Times New Roman"/>
        </w:rPr>
        <w:t>Diversify supply chain and sourcing to reduce reliance on European markets.</w:t>
      </w:r>
    </w:p>
    <w:p w:rsidR="005A0FFC" w:rsidRPr="00617126" w:rsidRDefault="005A0FFC" w:rsidP="005A0FFC">
      <w:pPr>
        <w:rPr>
          <w:rFonts w:ascii="Times New Roman" w:hAnsi="Times New Roman" w:cs="Times New Roman"/>
        </w:rPr>
      </w:pPr>
    </w:p>
    <w:p w:rsidR="005A0FFC" w:rsidRPr="00617126" w:rsidRDefault="005A0FFC" w:rsidP="005A0FFC">
      <w:pPr>
        <w:rPr>
          <w:rFonts w:ascii="Times New Roman" w:hAnsi="Times New Roman" w:cs="Times New Roman"/>
          <w:b/>
          <w:bCs/>
        </w:rPr>
      </w:pPr>
      <w:r w:rsidRPr="00617126">
        <w:rPr>
          <w:rFonts w:ascii="Times New Roman" w:hAnsi="Times New Roman" w:cs="Times New Roman"/>
          <w:b/>
          <w:bCs/>
        </w:rPr>
        <w:t>Scenario 3</w:t>
      </w:r>
      <w:r w:rsidR="00617126" w:rsidRPr="00617126">
        <w:rPr>
          <w:rFonts w:ascii="Times New Roman" w:hAnsi="Times New Roman" w:cs="Times New Roman"/>
          <w:b/>
          <w:bCs/>
        </w:rPr>
        <w:t xml:space="preserve"> </w:t>
      </w:r>
      <w:r w:rsidR="00617126" w:rsidRPr="00617126">
        <w:rPr>
          <w:rFonts w:ascii="Times New Roman" w:hAnsi="Times New Roman" w:cs="Times New Roman"/>
          <w:b/>
          <w:bCs/>
        </w:rPr>
        <w:sym w:font="Wingdings" w:char="F0E0"/>
      </w:r>
      <w:r w:rsidRPr="00617126">
        <w:rPr>
          <w:rFonts w:ascii="Times New Roman" w:hAnsi="Times New Roman" w:cs="Times New Roman"/>
          <w:b/>
          <w:bCs/>
        </w:rPr>
        <w:t xml:space="preserve"> Strengthening of the U.S. Dollar</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Hypothetical Situation</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The USD strengthens against most major currencies, impacting Coca-Cola’s international revenues and Nestlé’s operations in the U.S.</w:t>
      </w:r>
    </w:p>
    <w:p w:rsidR="005A0FFC" w:rsidRPr="00617126" w:rsidRDefault="005A0FFC" w:rsidP="005A0FFC">
      <w:pPr>
        <w:rPr>
          <w:rFonts w:ascii="Times New Roman" w:hAnsi="Times New Roman" w:cs="Times New Roman"/>
        </w:rPr>
      </w:pPr>
      <w:r w:rsidRPr="00617126">
        <w:rPr>
          <w:rFonts w:ascii="Times New Roman" w:hAnsi="Times New Roman" w:cs="Times New Roman"/>
          <w:b/>
          <w:bCs/>
        </w:rPr>
        <w:t>AI Insights</w:t>
      </w:r>
    </w:p>
    <w:p w:rsidR="005A0FFC" w:rsidRPr="00617126" w:rsidRDefault="005A0FFC" w:rsidP="00617126">
      <w:pPr>
        <w:ind w:left="720"/>
        <w:rPr>
          <w:rFonts w:ascii="Times New Roman" w:hAnsi="Times New Roman" w:cs="Times New Roman"/>
        </w:rPr>
      </w:pPr>
      <w:r w:rsidRPr="00617126">
        <w:rPr>
          <w:rFonts w:ascii="Times New Roman" w:hAnsi="Times New Roman" w:cs="Times New Roman"/>
          <w:b/>
          <w:bCs/>
        </w:rPr>
        <w:t>Coca-Cola</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A stronger USD reduces the value of foreign revenues when converted into USD, increasing margin pressure.</w:t>
      </w:r>
    </w:p>
    <w:p w:rsidR="00617126" w:rsidRPr="00617126" w:rsidRDefault="005A0FFC" w:rsidP="00617126">
      <w:pPr>
        <w:rPr>
          <w:rFonts w:ascii="Times New Roman" w:hAnsi="Times New Roman" w:cs="Times New Roman"/>
        </w:rPr>
      </w:pPr>
      <w:r w:rsidRPr="00617126">
        <w:rPr>
          <w:rFonts w:ascii="Times New Roman" w:hAnsi="Times New Roman" w:cs="Times New Roman"/>
          <w:b/>
          <w:bCs/>
        </w:rPr>
        <w:t>Strategic Recommendations</w:t>
      </w:r>
    </w:p>
    <w:p w:rsidR="00617126"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Shift focus to emerging markets with weaker currencies to capitalize on USD strength.</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Reduce USD-denominated liabilities to mitigate financial exposure.</w:t>
      </w:r>
    </w:p>
    <w:p w:rsidR="005A0FFC" w:rsidRPr="00617126" w:rsidRDefault="005A0FFC" w:rsidP="005A0FFC">
      <w:pPr>
        <w:numPr>
          <w:ilvl w:val="0"/>
          <w:numId w:val="18"/>
        </w:numPr>
        <w:rPr>
          <w:rFonts w:ascii="Times New Roman" w:hAnsi="Times New Roman" w:cs="Times New Roman"/>
        </w:rPr>
      </w:pPr>
      <w:r w:rsidRPr="00617126">
        <w:rPr>
          <w:rFonts w:ascii="Times New Roman" w:hAnsi="Times New Roman" w:cs="Times New Roman"/>
          <w:b/>
          <w:bCs/>
        </w:rPr>
        <w:t>Nestlé</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A stronger USD inflates costs of imports for U.S. operations, potentially squeezing margins.</w:t>
      </w:r>
    </w:p>
    <w:p w:rsidR="005A0FFC" w:rsidRPr="00617126" w:rsidRDefault="005A0FFC" w:rsidP="00617126">
      <w:pPr>
        <w:rPr>
          <w:rFonts w:ascii="Times New Roman" w:hAnsi="Times New Roman" w:cs="Times New Roman"/>
        </w:rPr>
      </w:pPr>
      <w:r w:rsidRPr="00617126">
        <w:rPr>
          <w:rFonts w:ascii="Times New Roman" w:hAnsi="Times New Roman" w:cs="Times New Roman"/>
          <w:b/>
          <w:bCs/>
        </w:rPr>
        <w:t>Strategic Recommendations</w:t>
      </w:r>
      <w:r w:rsidRPr="00617126">
        <w:rPr>
          <w:rFonts w:ascii="Times New Roman" w:hAnsi="Times New Roman" w:cs="Times New Roman"/>
        </w:rPr>
        <w:t>:</w:t>
      </w:r>
    </w:p>
    <w:p w:rsidR="00617126"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Use cross-currency swaps to balance costs and revenues in USD.</w:t>
      </w:r>
    </w:p>
    <w:p w:rsidR="005A0FFC" w:rsidRPr="00617126" w:rsidRDefault="005A0FFC" w:rsidP="00617126">
      <w:pPr>
        <w:pStyle w:val="ListParagraph"/>
        <w:numPr>
          <w:ilvl w:val="0"/>
          <w:numId w:val="31"/>
        </w:numPr>
        <w:rPr>
          <w:rFonts w:ascii="Times New Roman" w:hAnsi="Times New Roman" w:cs="Times New Roman"/>
        </w:rPr>
      </w:pPr>
      <w:r w:rsidRPr="00617126">
        <w:rPr>
          <w:rFonts w:ascii="Times New Roman" w:hAnsi="Times New Roman" w:cs="Times New Roman"/>
        </w:rPr>
        <w:t>Increase local sourcing within the U.S. to reduce import dependency.</w:t>
      </w:r>
    </w:p>
    <w:p w:rsidR="005A0FFC" w:rsidRPr="00617126" w:rsidRDefault="005A0FFC">
      <w:pPr>
        <w:rPr>
          <w:rFonts w:ascii="Times New Roman" w:hAnsi="Times New Roman" w:cs="Times New Roman"/>
          <w:b/>
          <w:bCs/>
          <w:sz w:val="28"/>
          <w:szCs w:val="28"/>
        </w:rPr>
      </w:pPr>
      <w:r w:rsidRPr="00617126">
        <w:rPr>
          <w:rFonts w:ascii="Times New Roman" w:hAnsi="Times New Roman" w:cs="Times New Roman"/>
          <w:b/>
          <w:bCs/>
          <w:sz w:val="28"/>
          <w:szCs w:val="28"/>
        </w:rPr>
        <w:t>Strategic Implications for Coca-Cola and Nestlé</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3465"/>
        <w:gridCol w:w="3795"/>
      </w:tblGrid>
      <w:tr w:rsidR="00617126" w:rsidRPr="00617126" w:rsidTr="005A0FFC">
        <w:trPr>
          <w:trHeight w:val="300"/>
        </w:trPr>
        <w:tc>
          <w:tcPr>
            <w:tcW w:w="2100"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Scenario</w:t>
            </w:r>
          </w:p>
        </w:tc>
        <w:tc>
          <w:tcPr>
            <w:tcW w:w="3465"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Coca-Cola</w:t>
            </w:r>
          </w:p>
        </w:tc>
        <w:tc>
          <w:tcPr>
            <w:tcW w:w="3795" w:type="dxa"/>
            <w:shd w:val="clear" w:color="auto" w:fill="D9E2F3" w:themeFill="accent1" w:themeFillTint="33"/>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Nestlé</w:t>
            </w:r>
          </w:p>
        </w:tc>
      </w:tr>
      <w:tr w:rsidR="00617126" w:rsidRPr="00617126" w:rsidTr="005A0FFC">
        <w:trPr>
          <w:trHeight w:val="300"/>
        </w:trPr>
        <w:tc>
          <w:tcPr>
            <w:tcW w:w="210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Local Currency Depreciation</w:t>
            </w:r>
          </w:p>
        </w:tc>
        <w:tc>
          <w:tcPr>
            <w:tcW w:w="346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Natural hedging, pricing adjustments</w:t>
            </w:r>
          </w:p>
        </w:tc>
        <w:tc>
          <w:tcPr>
            <w:tcW w:w="379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Forward contracts, production cost optimization</w:t>
            </w:r>
          </w:p>
        </w:tc>
      </w:tr>
      <w:tr w:rsidR="00617126" w:rsidRPr="00617126" w:rsidTr="005A0FFC">
        <w:trPr>
          <w:trHeight w:val="300"/>
        </w:trPr>
        <w:tc>
          <w:tcPr>
            <w:tcW w:w="210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lastRenderedPageBreak/>
              <w:t>Currency Volatility</w:t>
            </w:r>
          </w:p>
        </w:tc>
        <w:tc>
          <w:tcPr>
            <w:tcW w:w="346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Options, enhanced treasury monitoring</w:t>
            </w:r>
          </w:p>
        </w:tc>
        <w:tc>
          <w:tcPr>
            <w:tcW w:w="379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Currency swaps, supply chain diversification</w:t>
            </w:r>
          </w:p>
        </w:tc>
      </w:tr>
      <w:tr w:rsidR="005A0FFC" w:rsidRPr="00617126" w:rsidTr="005A0FFC">
        <w:trPr>
          <w:trHeight w:val="300"/>
        </w:trPr>
        <w:tc>
          <w:tcPr>
            <w:tcW w:w="2100"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Stronger USD</w:t>
            </w:r>
          </w:p>
        </w:tc>
        <w:tc>
          <w:tcPr>
            <w:tcW w:w="346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Emerging market focus, reduced USD liabilities</w:t>
            </w:r>
          </w:p>
        </w:tc>
        <w:tc>
          <w:tcPr>
            <w:tcW w:w="3795" w:type="dxa"/>
            <w:shd w:val="clear" w:color="auto" w:fill="auto"/>
            <w:noWrap/>
            <w:vAlign w:val="bottom"/>
            <w:hideMark/>
          </w:tcPr>
          <w:p w:rsidR="005A0FFC" w:rsidRPr="00617126" w:rsidRDefault="005A0FFC" w:rsidP="005A0FFC">
            <w:pPr>
              <w:spacing w:after="0" w:line="240" w:lineRule="auto"/>
              <w:rPr>
                <w:rFonts w:ascii="Times New Roman" w:eastAsia="Times New Roman" w:hAnsi="Times New Roman" w:cs="Times New Roman"/>
                <w:kern w:val="0"/>
                <w14:ligatures w14:val="none"/>
              </w:rPr>
            </w:pPr>
            <w:r w:rsidRPr="00617126">
              <w:rPr>
                <w:rFonts w:ascii="Times New Roman" w:eastAsia="Times New Roman" w:hAnsi="Times New Roman" w:cs="Times New Roman"/>
                <w:kern w:val="0"/>
                <w14:ligatures w14:val="none"/>
              </w:rPr>
              <w:t>Cross-currency swaps, increased U.S. local sourcing</w:t>
            </w:r>
          </w:p>
        </w:tc>
      </w:tr>
    </w:tbl>
    <w:p w:rsidR="005A0FFC" w:rsidRPr="00617126" w:rsidRDefault="005A0FFC">
      <w:pPr>
        <w:rPr>
          <w:rFonts w:ascii="Times New Roman" w:hAnsi="Times New Roman" w:cs="Times New Roman"/>
        </w:rPr>
      </w:pPr>
    </w:p>
    <w:p w:rsidR="00C67D09" w:rsidRPr="00617126" w:rsidRDefault="00C67D09">
      <w:pPr>
        <w:rPr>
          <w:rFonts w:ascii="Times New Roman" w:hAnsi="Times New Roman" w:cs="Times New Roman"/>
        </w:rPr>
      </w:pPr>
    </w:p>
    <w:p w:rsidR="00C67D09" w:rsidRPr="00617126" w:rsidRDefault="00C67D09">
      <w:pPr>
        <w:rPr>
          <w:rFonts w:ascii="Times New Roman" w:hAnsi="Times New Roman" w:cs="Times New Roman"/>
        </w:rPr>
      </w:pPr>
    </w:p>
    <w:p w:rsidR="00C67D09" w:rsidRPr="00617126" w:rsidRDefault="00C67D09">
      <w:pPr>
        <w:rPr>
          <w:rFonts w:ascii="Times New Roman" w:hAnsi="Times New Roman" w:cs="Times New Roman"/>
        </w:rPr>
      </w:pPr>
    </w:p>
    <w:p w:rsidR="00C67D09" w:rsidRPr="00617126" w:rsidRDefault="00C67D09">
      <w:pPr>
        <w:rPr>
          <w:rFonts w:ascii="Times New Roman" w:hAnsi="Times New Roman" w:cs="Times New Roman"/>
          <w:b/>
          <w:bCs/>
          <w:sz w:val="28"/>
          <w:szCs w:val="28"/>
        </w:rPr>
      </w:pPr>
      <w:r w:rsidRPr="00617126">
        <w:rPr>
          <w:rFonts w:ascii="Times New Roman" w:hAnsi="Times New Roman" w:cs="Times New Roman"/>
          <w:b/>
          <w:bCs/>
          <w:sz w:val="28"/>
          <w:szCs w:val="28"/>
        </w:rPr>
        <w:t>References</w:t>
      </w:r>
    </w:p>
    <w:p w:rsidR="00C67D09" w:rsidRPr="00617126" w:rsidRDefault="00C67D09" w:rsidP="00C67D09">
      <w:pPr>
        <w:jc w:val="both"/>
        <w:rPr>
          <w:rFonts w:ascii="Times New Roman" w:hAnsi="Times New Roman" w:cs="Times New Roman"/>
          <w:sz w:val="20"/>
          <w:szCs w:val="20"/>
        </w:rPr>
      </w:pPr>
      <w:proofErr w:type="spellStart"/>
      <w:r w:rsidRPr="00617126">
        <w:rPr>
          <w:rFonts w:ascii="Times New Roman" w:hAnsi="Times New Roman" w:cs="Times New Roman"/>
          <w:sz w:val="20"/>
          <w:szCs w:val="20"/>
        </w:rPr>
        <w:t>Eiteman</w:t>
      </w:r>
      <w:proofErr w:type="spellEnd"/>
      <w:r w:rsidRPr="00617126">
        <w:rPr>
          <w:rFonts w:ascii="Times New Roman" w:hAnsi="Times New Roman" w:cs="Times New Roman"/>
          <w:sz w:val="20"/>
          <w:szCs w:val="20"/>
        </w:rPr>
        <w:t xml:space="preserve">, D. K., Stonehill, A. I., &amp; Moffett, M. H. (2019). </w:t>
      </w:r>
      <w:r w:rsidRPr="00617126">
        <w:rPr>
          <w:rFonts w:ascii="Times New Roman" w:hAnsi="Times New Roman" w:cs="Times New Roman"/>
          <w:i/>
          <w:iCs/>
          <w:sz w:val="20"/>
          <w:szCs w:val="20"/>
        </w:rPr>
        <w:t>Multinational Business Finance</w:t>
      </w:r>
      <w:r w:rsidRPr="00617126">
        <w:rPr>
          <w:rFonts w:ascii="Times New Roman" w:hAnsi="Times New Roman" w:cs="Times New Roman"/>
          <w:sz w:val="20"/>
          <w:szCs w:val="20"/>
        </w:rPr>
        <w:t xml:space="preserve"> (15th ed.). Pearson Education.</w:t>
      </w:r>
    </w:p>
    <w:p w:rsidR="00C67D09" w:rsidRPr="00617126" w:rsidRDefault="00C67D09" w:rsidP="00C67D09">
      <w:pPr>
        <w:jc w:val="both"/>
        <w:rPr>
          <w:rFonts w:ascii="Times New Roman" w:hAnsi="Times New Roman" w:cs="Times New Roman"/>
          <w:sz w:val="20"/>
          <w:szCs w:val="20"/>
        </w:rPr>
      </w:pPr>
      <w:proofErr w:type="spellStart"/>
      <w:r w:rsidRPr="00617126">
        <w:rPr>
          <w:rFonts w:ascii="Times New Roman" w:hAnsi="Times New Roman" w:cs="Times New Roman"/>
          <w:sz w:val="20"/>
          <w:szCs w:val="20"/>
        </w:rPr>
        <w:t>Jorion</w:t>
      </w:r>
      <w:proofErr w:type="spellEnd"/>
      <w:r w:rsidRPr="00617126">
        <w:rPr>
          <w:rFonts w:ascii="Times New Roman" w:hAnsi="Times New Roman" w:cs="Times New Roman"/>
          <w:sz w:val="20"/>
          <w:szCs w:val="20"/>
        </w:rPr>
        <w:t xml:space="preserve">, P. (2007). </w:t>
      </w:r>
      <w:r w:rsidRPr="00617126">
        <w:rPr>
          <w:rFonts w:ascii="Times New Roman" w:hAnsi="Times New Roman" w:cs="Times New Roman"/>
          <w:i/>
          <w:iCs/>
          <w:sz w:val="20"/>
          <w:szCs w:val="20"/>
        </w:rPr>
        <w:t>Financial Risk Manager Handbook</w:t>
      </w:r>
      <w:r w:rsidRPr="00617126">
        <w:rPr>
          <w:rFonts w:ascii="Times New Roman" w:hAnsi="Times New Roman" w:cs="Times New Roman"/>
          <w:sz w:val="20"/>
          <w:szCs w:val="20"/>
        </w:rPr>
        <w:t xml:space="preserve"> (5th ed.). Wiley Finance.</w:t>
      </w:r>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Moffett, M. H., Stonehill, A. I., &amp; </w:t>
      </w:r>
      <w:proofErr w:type="spellStart"/>
      <w:r w:rsidRPr="00617126">
        <w:rPr>
          <w:rFonts w:ascii="Times New Roman" w:hAnsi="Times New Roman" w:cs="Times New Roman"/>
          <w:sz w:val="20"/>
          <w:szCs w:val="20"/>
        </w:rPr>
        <w:t>Eiteman</w:t>
      </w:r>
      <w:proofErr w:type="spellEnd"/>
      <w:r w:rsidRPr="00617126">
        <w:rPr>
          <w:rFonts w:ascii="Times New Roman" w:hAnsi="Times New Roman" w:cs="Times New Roman"/>
          <w:sz w:val="20"/>
          <w:szCs w:val="20"/>
        </w:rPr>
        <w:t xml:space="preserve">, D. K. (2012). </w:t>
      </w:r>
      <w:r w:rsidRPr="00617126">
        <w:rPr>
          <w:rFonts w:ascii="Times New Roman" w:hAnsi="Times New Roman" w:cs="Times New Roman"/>
          <w:i/>
          <w:iCs/>
          <w:sz w:val="20"/>
          <w:szCs w:val="20"/>
        </w:rPr>
        <w:t>Fundamentals of Multinational Finance</w:t>
      </w:r>
      <w:r w:rsidRPr="00617126">
        <w:rPr>
          <w:rFonts w:ascii="Times New Roman" w:hAnsi="Times New Roman" w:cs="Times New Roman"/>
          <w:sz w:val="20"/>
          <w:szCs w:val="20"/>
        </w:rPr>
        <w:t xml:space="preserve"> (4th ed.). Pearson Education.</w:t>
      </w:r>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Shapiro, A. C. (2013). </w:t>
      </w:r>
      <w:r w:rsidRPr="00617126">
        <w:rPr>
          <w:rFonts w:ascii="Times New Roman" w:hAnsi="Times New Roman" w:cs="Times New Roman"/>
          <w:i/>
          <w:iCs/>
          <w:sz w:val="20"/>
          <w:szCs w:val="20"/>
        </w:rPr>
        <w:t>Multinational Financial Management</w:t>
      </w:r>
      <w:r w:rsidRPr="00617126">
        <w:rPr>
          <w:rFonts w:ascii="Times New Roman" w:hAnsi="Times New Roman" w:cs="Times New Roman"/>
          <w:sz w:val="20"/>
          <w:szCs w:val="20"/>
        </w:rPr>
        <w:t xml:space="preserve"> (10th ed.). Wiley.</w:t>
      </w:r>
    </w:p>
    <w:p w:rsidR="00C67D09" w:rsidRPr="00617126" w:rsidRDefault="00C67D09" w:rsidP="00C67D09">
      <w:pPr>
        <w:jc w:val="both"/>
        <w:rPr>
          <w:rFonts w:ascii="Times New Roman" w:hAnsi="Times New Roman" w:cs="Times New Roman"/>
          <w:sz w:val="20"/>
          <w:szCs w:val="20"/>
        </w:rPr>
      </w:pPr>
      <w:proofErr w:type="spellStart"/>
      <w:r w:rsidRPr="00617126">
        <w:rPr>
          <w:rFonts w:ascii="Times New Roman" w:hAnsi="Times New Roman" w:cs="Times New Roman"/>
          <w:sz w:val="20"/>
          <w:szCs w:val="20"/>
        </w:rPr>
        <w:t>Dufey</w:t>
      </w:r>
      <w:proofErr w:type="spellEnd"/>
      <w:r w:rsidRPr="00617126">
        <w:rPr>
          <w:rFonts w:ascii="Times New Roman" w:hAnsi="Times New Roman" w:cs="Times New Roman"/>
          <w:sz w:val="20"/>
          <w:szCs w:val="20"/>
        </w:rPr>
        <w:t xml:space="preserve">, G., &amp; Srinivasan, K. (2004). “Hedging currency risk in emerging markets: A multinational perspective.” </w:t>
      </w:r>
      <w:r w:rsidRPr="00617126">
        <w:rPr>
          <w:rFonts w:ascii="Times New Roman" w:hAnsi="Times New Roman" w:cs="Times New Roman"/>
          <w:i/>
          <w:iCs/>
          <w:sz w:val="20"/>
          <w:szCs w:val="20"/>
        </w:rPr>
        <w:t>International Journal of Financial Services</w:t>
      </w:r>
      <w:r w:rsidRPr="00617126">
        <w:rPr>
          <w:rFonts w:ascii="Times New Roman" w:hAnsi="Times New Roman" w:cs="Times New Roman"/>
          <w:sz w:val="20"/>
          <w:szCs w:val="20"/>
        </w:rPr>
        <w:t xml:space="preserve"> 7(2), 44-62.</w:t>
      </w:r>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Nestlé. (2023). </w:t>
      </w:r>
      <w:r w:rsidRPr="00617126">
        <w:rPr>
          <w:rFonts w:ascii="Times New Roman" w:hAnsi="Times New Roman" w:cs="Times New Roman"/>
          <w:i/>
          <w:iCs/>
          <w:sz w:val="20"/>
          <w:szCs w:val="20"/>
        </w:rPr>
        <w:t>Nestlé Annual Report 2023</w:t>
      </w:r>
      <w:r w:rsidRPr="00617126">
        <w:rPr>
          <w:rFonts w:ascii="Times New Roman" w:hAnsi="Times New Roman" w:cs="Times New Roman"/>
          <w:sz w:val="20"/>
          <w:szCs w:val="20"/>
        </w:rPr>
        <w:t xml:space="preserve">. Retrieved from </w:t>
      </w:r>
      <w:hyperlink r:id="rId5" w:tgtFrame="_new" w:history="1">
        <w:r w:rsidRPr="00617126">
          <w:rPr>
            <w:rStyle w:val="Hyperlink"/>
            <w:rFonts w:ascii="Times New Roman" w:hAnsi="Times New Roman" w:cs="Times New Roman"/>
            <w:color w:val="auto"/>
            <w:sz w:val="20"/>
            <w:szCs w:val="20"/>
          </w:rPr>
          <w:t>https://www.nestle.com</w:t>
        </w:r>
      </w:hyperlink>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Coca-Cola. (2023). </w:t>
      </w:r>
      <w:r w:rsidRPr="00617126">
        <w:rPr>
          <w:rFonts w:ascii="Times New Roman" w:hAnsi="Times New Roman" w:cs="Times New Roman"/>
          <w:i/>
          <w:iCs/>
          <w:sz w:val="20"/>
          <w:szCs w:val="20"/>
        </w:rPr>
        <w:t>The Coca-Cola Company Annual Report 2023</w:t>
      </w:r>
      <w:r w:rsidRPr="00617126">
        <w:rPr>
          <w:rFonts w:ascii="Times New Roman" w:hAnsi="Times New Roman" w:cs="Times New Roman"/>
          <w:sz w:val="20"/>
          <w:szCs w:val="20"/>
        </w:rPr>
        <w:t xml:space="preserve">. Retrieved from </w:t>
      </w:r>
      <w:hyperlink r:id="rId6" w:tgtFrame="_new" w:history="1">
        <w:r w:rsidRPr="00617126">
          <w:rPr>
            <w:rStyle w:val="Hyperlink"/>
            <w:rFonts w:ascii="Times New Roman" w:hAnsi="Times New Roman" w:cs="Times New Roman"/>
            <w:color w:val="auto"/>
            <w:sz w:val="20"/>
            <w:szCs w:val="20"/>
          </w:rPr>
          <w:t>https://www.cokecce.com</w:t>
        </w:r>
      </w:hyperlink>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Corporate Finance Institute (CFI). (n.d.). “Currency Hedging.” Retrieved from https://corporatefinanceinstitute.com/resources/knowledge/other/currency-hedging</w:t>
      </w:r>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International Financial Reporting Standards (IFRS). (2022). </w:t>
      </w:r>
      <w:r w:rsidRPr="00617126">
        <w:rPr>
          <w:rFonts w:ascii="Times New Roman" w:hAnsi="Times New Roman" w:cs="Times New Roman"/>
          <w:i/>
          <w:iCs/>
          <w:sz w:val="20"/>
          <w:szCs w:val="20"/>
        </w:rPr>
        <w:t>IFRS 21 – The Effects of Changes in Foreign Exchange Rates.</w:t>
      </w:r>
      <w:r w:rsidRPr="00617126">
        <w:rPr>
          <w:rFonts w:ascii="Times New Roman" w:hAnsi="Times New Roman" w:cs="Times New Roman"/>
          <w:sz w:val="20"/>
          <w:szCs w:val="20"/>
        </w:rPr>
        <w:t xml:space="preserve"> Retrieved from </w:t>
      </w:r>
      <w:hyperlink r:id="rId7" w:tgtFrame="_new" w:history="1">
        <w:r w:rsidRPr="00617126">
          <w:rPr>
            <w:rStyle w:val="Hyperlink"/>
            <w:rFonts w:ascii="Times New Roman" w:hAnsi="Times New Roman" w:cs="Times New Roman"/>
            <w:color w:val="auto"/>
            <w:sz w:val="20"/>
            <w:szCs w:val="20"/>
          </w:rPr>
          <w:t>https://www.ifrs.org</w:t>
        </w:r>
      </w:hyperlink>
    </w:p>
    <w:p w:rsidR="00C67D09" w:rsidRPr="00617126" w:rsidRDefault="00C67D09" w:rsidP="00C67D09">
      <w:pPr>
        <w:jc w:val="both"/>
        <w:rPr>
          <w:rFonts w:ascii="Times New Roman" w:hAnsi="Times New Roman" w:cs="Times New Roman"/>
          <w:sz w:val="20"/>
          <w:szCs w:val="20"/>
        </w:rPr>
      </w:pPr>
      <w:r w:rsidRPr="00617126">
        <w:rPr>
          <w:rFonts w:ascii="Times New Roman" w:hAnsi="Times New Roman" w:cs="Times New Roman"/>
          <w:sz w:val="20"/>
          <w:szCs w:val="20"/>
        </w:rPr>
        <w:t xml:space="preserve">Black, F., &amp; Scholes, M. (1973). "The pricing of options and corporate liabilities." </w:t>
      </w:r>
      <w:r w:rsidRPr="00617126">
        <w:rPr>
          <w:rFonts w:ascii="Times New Roman" w:hAnsi="Times New Roman" w:cs="Times New Roman"/>
          <w:i/>
          <w:iCs/>
          <w:sz w:val="20"/>
          <w:szCs w:val="20"/>
        </w:rPr>
        <w:t>Journal of Political Economy</w:t>
      </w:r>
      <w:r w:rsidRPr="00617126">
        <w:rPr>
          <w:rFonts w:ascii="Times New Roman" w:hAnsi="Times New Roman" w:cs="Times New Roman"/>
          <w:sz w:val="20"/>
          <w:szCs w:val="20"/>
        </w:rPr>
        <w:t>, 81(3), 637-654.</w:t>
      </w:r>
    </w:p>
    <w:p w:rsidR="00C67D09" w:rsidRPr="00617126" w:rsidRDefault="00C67D09">
      <w:pPr>
        <w:rPr>
          <w:rFonts w:ascii="Times New Roman" w:hAnsi="Times New Roman" w:cs="Times New Roman"/>
        </w:rPr>
      </w:pPr>
    </w:p>
    <w:sectPr w:rsidR="00C67D09" w:rsidRPr="0061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2208"/>
    <w:multiLevelType w:val="hybridMultilevel"/>
    <w:tmpl w:val="E696A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1B0B"/>
    <w:multiLevelType w:val="hybridMultilevel"/>
    <w:tmpl w:val="5CFE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C6347"/>
    <w:multiLevelType w:val="multilevel"/>
    <w:tmpl w:val="DD0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32B6"/>
    <w:multiLevelType w:val="multilevel"/>
    <w:tmpl w:val="488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524DD"/>
    <w:multiLevelType w:val="multilevel"/>
    <w:tmpl w:val="C31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2AC9"/>
    <w:multiLevelType w:val="multilevel"/>
    <w:tmpl w:val="468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14A"/>
    <w:multiLevelType w:val="hybridMultilevel"/>
    <w:tmpl w:val="DEA8654C"/>
    <w:lvl w:ilvl="0" w:tplc="74C2CF2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F51EC"/>
    <w:multiLevelType w:val="multilevel"/>
    <w:tmpl w:val="3C0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80D90"/>
    <w:multiLevelType w:val="multilevel"/>
    <w:tmpl w:val="F23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976C1"/>
    <w:multiLevelType w:val="multilevel"/>
    <w:tmpl w:val="3D2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74009"/>
    <w:multiLevelType w:val="multilevel"/>
    <w:tmpl w:val="CB4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51A36"/>
    <w:multiLevelType w:val="multilevel"/>
    <w:tmpl w:val="728E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269FD"/>
    <w:multiLevelType w:val="multilevel"/>
    <w:tmpl w:val="D92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C5FCE"/>
    <w:multiLevelType w:val="multilevel"/>
    <w:tmpl w:val="465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775EE"/>
    <w:multiLevelType w:val="multilevel"/>
    <w:tmpl w:val="13D6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6329A"/>
    <w:multiLevelType w:val="multilevel"/>
    <w:tmpl w:val="02C8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F6BC6"/>
    <w:multiLevelType w:val="multilevel"/>
    <w:tmpl w:val="AEF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73883"/>
    <w:multiLevelType w:val="multilevel"/>
    <w:tmpl w:val="959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C1DD9"/>
    <w:multiLevelType w:val="hybridMultilevel"/>
    <w:tmpl w:val="399EE9BE"/>
    <w:lvl w:ilvl="0" w:tplc="7090E74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160D"/>
    <w:multiLevelType w:val="multilevel"/>
    <w:tmpl w:val="61F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372A5"/>
    <w:multiLevelType w:val="multilevel"/>
    <w:tmpl w:val="D1B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72D4E"/>
    <w:multiLevelType w:val="multilevel"/>
    <w:tmpl w:val="A58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822037"/>
    <w:multiLevelType w:val="multilevel"/>
    <w:tmpl w:val="494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A7DC6"/>
    <w:multiLevelType w:val="multilevel"/>
    <w:tmpl w:val="CD1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F3F8A"/>
    <w:multiLevelType w:val="multilevel"/>
    <w:tmpl w:val="8E0C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503A2"/>
    <w:multiLevelType w:val="multilevel"/>
    <w:tmpl w:val="FC5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72749"/>
    <w:multiLevelType w:val="multilevel"/>
    <w:tmpl w:val="CA64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EF0ADA"/>
    <w:multiLevelType w:val="multilevel"/>
    <w:tmpl w:val="13E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863840"/>
    <w:multiLevelType w:val="multilevel"/>
    <w:tmpl w:val="727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62C9"/>
    <w:multiLevelType w:val="multilevel"/>
    <w:tmpl w:val="20E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74B3B"/>
    <w:multiLevelType w:val="multilevel"/>
    <w:tmpl w:val="B9B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1B0F99"/>
    <w:multiLevelType w:val="hybridMultilevel"/>
    <w:tmpl w:val="2814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408EE"/>
    <w:multiLevelType w:val="multilevel"/>
    <w:tmpl w:val="9EE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919306">
    <w:abstractNumId w:val="26"/>
  </w:num>
  <w:num w:numId="2" w16cid:durableId="483011811">
    <w:abstractNumId w:val="11"/>
  </w:num>
  <w:num w:numId="3" w16cid:durableId="291137456">
    <w:abstractNumId w:val="27"/>
  </w:num>
  <w:num w:numId="4" w16cid:durableId="561870878">
    <w:abstractNumId w:val="2"/>
  </w:num>
  <w:num w:numId="5" w16cid:durableId="1307201552">
    <w:abstractNumId w:val="24"/>
  </w:num>
  <w:num w:numId="6" w16cid:durableId="1585794436">
    <w:abstractNumId w:val="13"/>
  </w:num>
  <w:num w:numId="7" w16cid:durableId="1600333773">
    <w:abstractNumId w:val="21"/>
  </w:num>
  <w:num w:numId="8" w16cid:durableId="355808419">
    <w:abstractNumId w:val="12"/>
  </w:num>
  <w:num w:numId="9" w16cid:durableId="775976771">
    <w:abstractNumId w:val="5"/>
  </w:num>
  <w:num w:numId="10" w16cid:durableId="764108978">
    <w:abstractNumId w:val="8"/>
  </w:num>
  <w:num w:numId="11" w16cid:durableId="2122608467">
    <w:abstractNumId w:val="22"/>
  </w:num>
  <w:num w:numId="12" w16cid:durableId="406271079">
    <w:abstractNumId w:val="4"/>
  </w:num>
  <w:num w:numId="13" w16cid:durableId="1571883354">
    <w:abstractNumId w:val="30"/>
  </w:num>
  <w:num w:numId="14" w16cid:durableId="952443832">
    <w:abstractNumId w:val="25"/>
  </w:num>
  <w:num w:numId="15" w16cid:durableId="824198519">
    <w:abstractNumId w:val="32"/>
  </w:num>
  <w:num w:numId="16" w16cid:durableId="1484393816">
    <w:abstractNumId w:val="14"/>
  </w:num>
  <w:num w:numId="17" w16cid:durableId="1347630841">
    <w:abstractNumId w:val="9"/>
  </w:num>
  <w:num w:numId="18" w16cid:durableId="554269510">
    <w:abstractNumId w:val="15"/>
  </w:num>
  <w:num w:numId="19" w16cid:durableId="1670791729">
    <w:abstractNumId w:val="29"/>
  </w:num>
  <w:num w:numId="20" w16cid:durableId="1501117962">
    <w:abstractNumId w:val="7"/>
  </w:num>
  <w:num w:numId="21" w16cid:durableId="1156410149">
    <w:abstractNumId w:val="17"/>
  </w:num>
  <w:num w:numId="22" w16cid:durableId="1678342504">
    <w:abstractNumId w:val="16"/>
  </w:num>
  <w:num w:numId="23" w16cid:durableId="1559704474">
    <w:abstractNumId w:val="23"/>
  </w:num>
  <w:num w:numId="24" w16cid:durableId="628752776">
    <w:abstractNumId w:val="19"/>
  </w:num>
  <w:num w:numId="25" w16cid:durableId="909192536">
    <w:abstractNumId w:val="28"/>
  </w:num>
  <w:num w:numId="26" w16cid:durableId="1716351780">
    <w:abstractNumId w:val="20"/>
  </w:num>
  <w:num w:numId="27" w16cid:durableId="1994094824">
    <w:abstractNumId w:val="3"/>
  </w:num>
  <w:num w:numId="28" w16cid:durableId="2131245743">
    <w:abstractNumId w:val="10"/>
  </w:num>
  <w:num w:numId="29" w16cid:durableId="1920020348">
    <w:abstractNumId w:val="31"/>
  </w:num>
  <w:num w:numId="30" w16cid:durableId="1423603159">
    <w:abstractNumId w:val="1"/>
  </w:num>
  <w:num w:numId="31" w16cid:durableId="1978877524">
    <w:abstractNumId w:val="18"/>
  </w:num>
  <w:num w:numId="32" w16cid:durableId="1317998412">
    <w:abstractNumId w:val="0"/>
  </w:num>
  <w:num w:numId="33" w16cid:durableId="1460798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5"/>
    <w:rsid w:val="00047BD0"/>
    <w:rsid w:val="00094FD1"/>
    <w:rsid w:val="000C4E6C"/>
    <w:rsid w:val="004C7AAD"/>
    <w:rsid w:val="005A0FFC"/>
    <w:rsid w:val="00617126"/>
    <w:rsid w:val="006C3D0C"/>
    <w:rsid w:val="009302B5"/>
    <w:rsid w:val="00A72457"/>
    <w:rsid w:val="00AA4A68"/>
    <w:rsid w:val="00C67D09"/>
    <w:rsid w:val="00DD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D427"/>
  <w15:chartTrackingRefBased/>
  <w15:docId w15:val="{66A90FF4-BD1F-40E9-9A2C-82EAE9C5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D09"/>
    <w:rPr>
      <w:color w:val="0563C1" w:themeColor="hyperlink"/>
      <w:u w:val="single"/>
    </w:rPr>
  </w:style>
  <w:style w:type="character" w:styleId="UnresolvedMention">
    <w:name w:val="Unresolved Mention"/>
    <w:basedOn w:val="DefaultParagraphFont"/>
    <w:uiPriority w:val="99"/>
    <w:semiHidden/>
    <w:unhideWhenUsed/>
    <w:rsid w:val="00C67D09"/>
    <w:rPr>
      <w:color w:val="605E5C"/>
      <w:shd w:val="clear" w:color="auto" w:fill="E1DFDD"/>
    </w:rPr>
  </w:style>
  <w:style w:type="paragraph" w:styleId="ListParagraph">
    <w:name w:val="List Paragraph"/>
    <w:basedOn w:val="Normal"/>
    <w:uiPriority w:val="34"/>
    <w:qFormat/>
    <w:rsid w:val="00C6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9151">
      <w:bodyDiv w:val="1"/>
      <w:marLeft w:val="0"/>
      <w:marRight w:val="0"/>
      <w:marTop w:val="0"/>
      <w:marBottom w:val="0"/>
      <w:divBdr>
        <w:top w:val="none" w:sz="0" w:space="0" w:color="auto"/>
        <w:left w:val="none" w:sz="0" w:space="0" w:color="auto"/>
        <w:bottom w:val="none" w:sz="0" w:space="0" w:color="auto"/>
        <w:right w:val="none" w:sz="0" w:space="0" w:color="auto"/>
      </w:divBdr>
    </w:div>
    <w:div w:id="118452755">
      <w:bodyDiv w:val="1"/>
      <w:marLeft w:val="0"/>
      <w:marRight w:val="0"/>
      <w:marTop w:val="0"/>
      <w:marBottom w:val="0"/>
      <w:divBdr>
        <w:top w:val="none" w:sz="0" w:space="0" w:color="auto"/>
        <w:left w:val="none" w:sz="0" w:space="0" w:color="auto"/>
        <w:bottom w:val="none" w:sz="0" w:space="0" w:color="auto"/>
        <w:right w:val="none" w:sz="0" w:space="0" w:color="auto"/>
      </w:divBdr>
    </w:div>
    <w:div w:id="157427506">
      <w:bodyDiv w:val="1"/>
      <w:marLeft w:val="0"/>
      <w:marRight w:val="0"/>
      <w:marTop w:val="0"/>
      <w:marBottom w:val="0"/>
      <w:divBdr>
        <w:top w:val="none" w:sz="0" w:space="0" w:color="auto"/>
        <w:left w:val="none" w:sz="0" w:space="0" w:color="auto"/>
        <w:bottom w:val="none" w:sz="0" w:space="0" w:color="auto"/>
        <w:right w:val="none" w:sz="0" w:space="0" w:color="auto"/>
      </w:divBdr>
    </w:div>
    <w:div w:id="191302960">
      <w:bodyDiv w:val="1"/>
      <w:marLeft w:val="0"/>
      <w:marRight w:val="0"/>
      <w:marTop w:val="0"/>
      <w:marBottom w:val="0"/>
      <w:divBdr>
        <w:top w:val="none" w:sz="0" w:space="0" w:color="auto"/>
        <w:left w:val="none" w:sz="0" w:space="0" w:color="auto"/>
        <w:bottom w:val="none" w:sz="0" w:space="0" w:color="auto"/>
        <w:right w:val="none" w:sz="0" w:space="0" w:color="auto"/>
      </w:divBdr>
    </w:div>
    <w:div w:id="213927450">
      <w:bodyDiv w:val="1"/>
      <w:marLeft w:val="0"/>
      <w:marRight w:val="0"/>
      <w:marTop w:val="0"/>
      <w:marBottom w:val="0"/>
      <w:divBdr>
        <w:top w:val="none" w:sz="0" w:space="0" w:color="auto"/>
        <w:left w:val="none" w:sz="0" w:space="0" w:color="auto"/>
        <w:bottom w:val="none" w:sz="0" w:space="0" w:color="auto"/>
        <w:right w:val="none" w:sz="0" w:space="0" w:color="auto"/>
      </w:divBdr>
    </w:div>
    <w:div w:id="285426508">
      <w:bodyDiv w:val="1"/>
      <w:marLeft w:val="0"/>
      <w:marRight w:val="0"/>
      <w:marTop w:val="0"/>
      <w:marBottom w:val="0"/>
      <w:divBdr>
        <w:top w:val="none" w:sz="0" w:space="0" w:color="auto"/>
        <w:left w:val="none" w:sz="0" w:space="0" w:color="auto"/>
        <w:bottom w:val="none" w:sz="0" w:space="0" w:color="auto"/>
        <w:right w:val="none" w:sz="0" w:space="0" w:color="auto"/>
      </w:divBdr>
    </w:div>
    <w:div w:id="364525266">
      <w:bodyDiv w:val="1"/>
      <w:marLeft w:val="0"/>
      <w:marRight w:val="0"/>
      <w:marTop w:val="0"/>
      <w:marBottom w:val="0"/>
      <w:divBdr>
        <w:top w:val="none" w:sz="0" w:space="0" w:color="auto"/>
        <w:left w:val="none" w:sz="0" w:space="0" w:color="auto"/>
        <w:bottom w:val="none" w:sz="0" w:space="0" w:color="auto"/>
        <w:right w:val="none" w:sz="0" w:space="0" w:color="auto"/>
      </w:divBdr>
    </w:div>
    <w:div w:id="406153593">
      <w:bodyDiv w:val="1"/>
      <w:marLeft w:val="0"/>
      <w:marRight w:val="0"/>
      <w:marTop w:val="0"/>
      <w:marBottom w:val="0"/>
      <w:divBdr>
        <w:top w:val="none" w:sz="0" w:space="0" w:color="auto"/>
        <w:left w:val="none" w:sz="0" w:space="0" w:color="auto"/>
        <w:bottom w:val="none" w:sz="0" w:space="0" w:color="auto"/>
        <w:right w:val="none" w:sz="0" w:space="0" w:color="auto"/>
      </w:divBdr>
    </w:div>
    <w:div w:id="460881780">
      <w:bodyDiv w:val="1"/>
      <w:marLeft w:val="0"/>
      <w:marRight w:val="0"/>
      <w:marTop w:val="0"/>
      <w:marBottom w:val="0"/>
      <w:divBdr>
        <w:top w:val="none" w:sz="0" w:space="0" w:color="auto"/>
        <w:left w:val="none" w:sz="0" w:space="0" w:color="auto"/>
        <w:bottom w:val="none" w:sz="0" w:space="0" w:color="auto"/>
        <w:right w:val="none" w:sz="0" w:space="0" w:color="auto"/>
      </w:divBdr>
    </w:div>
    <w:div w:id="489096964">
      <w:bodyDiv w:val="1"/>
      <w:marLeft w:val="0"/>
      <w:marRight w:val="0"/>
      <w:marTop w:val="0"/>
      <w:marBottom w:val="0"/>
      <w:divBdr>
        <w:top w:val="none" w:sz="0" w:space="0" w:color="auto"/>
        <w:left w:val="none" w:sz="0" w:space="0" w:color="auto"/>
        <w:bottom w:val="none" w:sz="0" w:space="0" w:color="auto"/>
        <w:right w:val="none" w:sz="0" w:space="0" w:color="auto"/>
      </w:divBdr>
    </w:div>
    <w:div w:id="586889045">
      <w:bodyDiv w:val="1"/>
      <w:marLeft w:val="0"/>
      <w:marRight w:val="0"/>
      <w:marTop w:val="0"/>
      <w:marBottom w:val="0"/>
      <w:divBdr>
        <w:top w:val="none" w:sz="0" w:space="0" w:color="auto"/>
        <w:left w:val="none" w:sz="0" w:space="0" w:color="auto"/>
        <w:bottom w:val="none" w:sz="0" w:space="0" w:color="auto"/>
        <w:right w:val="none" w:sz="0" w:space="0" w:color="auto"/>
      </w:divBdr>
    </w:div>
    <w:div w:id="969751225">
      <w:bodyDiv w:val="1"/>
      <w:marLeft w:val="0"/>
      <w:marRight w:val="0"/>
      <w:marTop w:val="0"/>
      <w:marBottom w:val="0"/>
      <w:divBdr>
        <w:top w:val="none" w:sz="0" w:space="0" w:color="auto"/>
        <w:left w:val="none" w:sz="0" w:space="0" w:color="auto"/>
        <w:bottom w:val="none" w:sz="0" w:space="0" w:color="auto"/>
        <w:right w:val="none" w:sz="0" w:space="0" w:color="auto"/>
      </w:divBdr>
    </w:div>
    <w:div w:id="1177110157">
      <w:bodyDiv w:val="1"/>
      <w:marLeft w:val="0"/>
      <w:marRight w:val="0"/>
      <w:marTop w:val="0"/>
      <w:marBottom w:val="0"/>
      <w:divBdr>
        <w:top w:val="none" w:sz="0" w:space="0" w:color="auto"/>
        <w:left w:val="none" w:sz="0" w:space="0" w:color="auto"/>
        <w:bottom w:val="none" w:sz="0" w:space="0" w:color="auto"/>
        <w:right w:val="none" w:sz="0" w:space="0" w:color="auto"/>
      </w:divBdr>
    </w:div>
    <w:div w:id="1301958631">
      <w:bodyDiv w:val="1"/>
      <w:marLeft w:val="0"/>
      <w:marRight w:val="0"/>
      <w:marTop w:val="0"/>
      <w:marBottom w:val="0"/>
      <w:divBdr>
        <w:top w:val="none" w:sz="0" w:space="0" w:color="auto"/>
        <w:left w:val="none" w:sz="0" w:space="0" w:color="auto"/>
        <w:bottom w:val="none" w:sz="0" w:space="0" w:color="auto"/>
        <w:right w:val="none" w:sz="0" w:space="0" w:color="auto"/>
      </w:divBdr>
    </w:div>
    <w:div w:id="1428573881">
      <w:bodyDiv w:val="1"/>
      <w:marLeft w:val="0"/>
      <w:marRight w:val="0"/>
      <w:marTop w:val="0"/>
      <w:marBottom w:val="0"/>
      <w:divBdr>
        <w:top w:val="none" w:sz="0" w:space="0" w:color="auto"/>
        <w:left w:val="none" w:sz="0" w:space="0" w:color="auto"/>
        <w:bottom w:val="none" w:sz="0" w:space="0" w:color="auto"/>
        <w:right w:val="none" w:sz="0" w:space="0" w:color="auto"/>
      </w:divBdr>
    </w:div>
    <w:div w:id="1439258541">
      <w:bodyDiv w:val="1"/>
      <w:marLeft w:val="0"/>
      <w:marRight w:val="0"/>
      <w:marTop w:val="0"/>
      <w:marBottom w:val="0"/>
      <w:divBdr>
        <w:top w:val="none" w:sz="0" w:space="0" w:color="auto"/>
        <w:left w:val="none" w:sz="0" w:space="0" w:color="auto"/>
        <w:bottom w:val="none" w:sz="0" w:space="0" w:color="auto"/>
        <w:right w:val="none" w:sz="0" w:space="0" w:color="auto"/>
      </w:divBdr>
    </w:div>
    <w:div w:id="1615013946">
      <w:bodyDiv w:val="1"/>
      <w:marLeft w:val="0"/>
      <w:marRight w:val="0"/>
      <w:marTop w:val="0"/>
      <w:marBottom w:val="0"/>
      <w:divBdr>
        <w:top w:val="none" w:sz="0" w:space="0" w:color="auto"/>
        <w:left w:val="none" w:sz="0" w:space="0" w:color="auto"/>
        <w:bottom w:val="none" w:sz="0" w:space="0" w:color="auto"/>
        <w:right w:val="none" w:sz="0" w:space="0" w:color="auto"/>
      </w:divBdr>
    </w:div>
    <w:div w:id="1631476055">
      <w:bodyDiv w:val="1"/>
      <w:marLeft w:val="0"/>
      <w:marRight w:val="0"/>
      <w:marTop w:val="0"/>
      <w:marBottom w:val="0"/>
      <w:divBdr>
        <w:top w:val="none" w:sz="0" w:space="0" w:color="auto"/>
        <w:left w:val="none" w:sz="0" w:space="0" w:color="auto"/>
        <w:bottom w:val="none" w:sz="0" w:space="0" w:color="auto"/>
        <w:right w:val="none" w:sz="0" w:space="0" w:color="auto"/>
      </w:divBdr>
    </w:div>
    <w:div w:id="1792239598">
      <w:bodyDiv w:val="1"/>
      <w:marLeft w:val="0"/>
      <w:marRight w:val="0"/>
      <w:marTop w:val="0"/>
      <w:marBottom w:val="0"/>
      <w:divBdr>
        <w:top w:val="none" w:sz="0" w:space="0" w:color="auto"/>
        <w:left w:val="none" w:sz="0" w:space="0" w:color="auto"/>
        <w:bottom w:val="none" w:sz="0" w:space="0" w:color="auto"/>
        <w:right w:val="none" w:sz="0" w:space="0" w:color="auto"/>
      </w:divBdr>
    </w:div>
    <w:div w:id="1967083833">
      <w:bodyDiv w:val="1"/>
      <w:marLeft w:val="0"/>
      <w:marRight w:val="0"/>
      <w:marTop w:val="0"/>
      <w:marBottom w:val="0"/>
      <w:divBdr>
        <w:top w:val="none" w:sz="0" w:space="0" w:color="auto"/>
        <w:left w:val="none" w:sz="0" w:space="0" w:color="auto"/>
        <w:bottom w:val="none" w:sz="0" w:space="0" w:color="auto"/>
        <w:right w:val="none" w:sz="0" w:space="0" w:color="auto"/>
      </w:divBdr>
    </w:div>
    <w:div w:id="1992978892">
      <w:bodyDiv w:val="1"/>
      <w:marLeft w:val="0"/>
      <w:marRight w:val="0"/>
      <w:marTop w:val="0"/>
      <w:marBottom w:val="0"/>
      <w:divBdr>
        <w:top w:val="none" w:sz="0" w:space="0" w:color="auto"/>
        <w:left w:val="none" w:sz="0" w:space="0" w:color="auto"/>
        <w:bottom w:val="none" w:sz="0" w:space="0" w:color="auto"/>
        <w:right w:val="none" w:sz="0" w:space="0" w:color="auto"/>
      </w:divBdr>
    </w:div>
    <w:div w:id="1998028548">
      <w:bodyDiv w:val="1"/>
      <w:marLeft w:val="0"/>
      <w:marRight w:val="0"/>
      <w:marTop w:val="0"/>
      <w:marBottom w:val="0"/>
      <w:divBdr>
        <w:top w:val="none" w:sz="0" w:space="0" w:color="auto"/>
        <w:left w:val="none" w:sz="0" w:space="0" w:color="auto"/>
        <w:bottom w:val="none" w:sz="0" w:space="0" w:color="auto"/>
        <w:right w:val="none" w:sz="0" w:space="0" w:color="auto"/>
      </w:divBdr>
    </w:div>
    <w:div w:id="2013756402">
      <w:bodyDiv w:val="1"/>
      <w:marLeft w:val="0"/>
      <w:marRight w:val="0"/>
      <w:marTop w:val="0"/>
      <w:marBottom w:val="0"/>
      <w:divBdr>
        <w:top w:val="none" w:sz="0" w:space="0" w:color="auto"/>
        <w:left w:val="none" w:sz="0" w:space="0" w:color="auto"/>
        <w:bottom w:val="none" w:sz="0" w:space="0" w:color="auto"/>
        <w:right w:val="none" w:sz="0" w:space="0" w:color="auto"/>
      </w:divBdr>
    </w:div>
    <w:div w:id="2030183493">
      <w:bodyDiv w:val="1"/>
      <w:marLeft w:val="0"/>
      <w:marRight w:val="0"/>
      <w:marTop w:val="0"/>
      <w:marBottom w:val="0"/>
      <w:divBdr>
        <w:top w:val="none" w:sz="0" w:space="0" w:color="auto"/>
        <w:left w:val="none" w:sz="0" w:space="0" w:color="auto"/>
        <w:bottom w:val="none" w:sz="0" w:space="0" w:color="auto"/>
        <w:right w:val="none" w:sz="0" w:space="0" w:color="auto"/>
      </w:divBdr>
    </w:div>
    <w:div w:id="209604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f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kecce.com" TargetMode="External"/><Relationship Id="rId5" Type="http://schemas.openxmlformats.org/officeDocument/2006/relationships/hyperlink" Target="https://www.nest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2</cp:revision>
  <dcterms:created xsi:type="dcterms:W3CDTF">2025-01-06T18:55:00Z</dcterms:created>
  <dcterms:modified xsi:type="dcterms:W3CDTF">2025-01-06T18:55:00Z</dcterms:modified>
</cp:coreProperties>
</file>