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68DB" w:rsidRPr="000768DB" w:rsidRDefault="000768DB" w:rsidP="000768DB">
      <w:pPr>
        <w:rPr>
          <w:rFonts w:ascii="Arial Black" w:hAnsi="Arial Black"/>
        </w:rPr>
      </w:pPr>
      <w:r w:rsidRPr="000768DB">
        <w:rPr>
          <w:rFonts w:ascii="Arial Black" w:hAnsi="Arial Black"/>
          <w:b/>
          <w:bCs/>
        </w:rPr>
        <w:t>Liquidity and Financial Health Analysis of Apple Inc. (2021–2023)</w:t>
      </w:r>
    </w:p>
    <w:p w:rsidR="000768DB" w:rsidRDefault="000768DB">
      <w:r w:rsidRPr="000768DB">
        <w:rPr>
          <w:b/>
          <w:bCs/>
          <w:i/>
          <w:iCs/>
        </w:rPr>
        <w:t>Presented by: OLANREWAJU MOBOLAJI OLUWASEYE</w:t>
      </w:r>
    </w:p>
    <w:p w:rsidR="00D01A2F" w:rsidRDefault="00D01A2F">
      <w:r w:rsidRPr="00D01A2F">
        <w:rPr>
          <w:b/>
          <w:bCs/>
        </w:rPr>
        <w:t>Executive Summary</w:t>
      </w:r>
    </w:p>
    <w:p w:rsidR="000768DB" w:rsidRPr="000768DB" w:rsidRDefault="000768DB" w:rsidP="000768DB">
      <w:pPr>
        <w:rPr>
          <w:i/>
          <w:iCs/>
        </w:rPr>
      </w:pPr>
      <w:r w:rsidRPr="000768DB">
        <w:rPr>
          <w:i/>
          <w:iCs/>
        </w:rPr>
        <w:t>This report presents a comprehensive financial analysis of Apple Inc. over the past three years (2021–2023). The analysis evaluates Apple's revenue growth, net income trends, financial health, and strategic positioning in the global market. By applying advanced accounting techniques and financial performance indicators, the report aims to assess Apple's financial stability and potential risks.</w:t>
      </w:r>
    </w:p>
    <w:p w:rsidR="000768DB" w:rsidRPr="000768DB" w:rsidRDefault="000768DB" w:rsidP="000768DB">
      <w:pPr>
        <w:rPr>
          <w:i/>
          <w:iCs/>
        </w:rPr>
      </w:pPr>
      <w:r w:rsidRPr="000768DB">
        <w:rPr>
          <w:i/>
          <w:iCs/>
        </w:rPr>
        <w:t xml:space="preserve">Apple Inc. demonstrated revenue growth from 2021 to 2022, increasing from </w:t>
      </w:r>
      <w:r w:rsidRPr="000768DB">
        <w:rPr>
          <w:b/>
          <w:bCs/>
          <w:i/>
          <w:iCs/>
        </w:rPr>
        <w:t>$365.82 billion to $394.33 billion (7.80%)</w:t>
      </w:r>
      <w:r w:rsidRPr="000768DB">
        <w:rPr>
          <w:i/>
          <w:iCs/>
        </w:rPr>
        <w:t xml:space="preserve">. However, in 2023, revenue declined by </w:t>
      </w:r>
      <w:r w:rsidRPr="000768DB">
        <w:rPr>
          <w:b/>
          <w:bCs/>
          <w:i/>
          <w:iCs/>
        </w:rPr>
        <w:t>2.80% to $383.29 billion</w:t>
      </w:r>
      <w:r w:rsidRPr="000768DB">
        <w:rPr>
          <w:i/>
          <w:iCs/>
        </w:rPr>
        <w:t xml:space="preserve">, reflecting challenges in global demand and macroeconomic factors. Net income followed a similar trend, peaking at </w:t>
      </w:r>
      <w:r w:rsidRPr="000768DB">
        <w:rPr>
          <w:b/>
          <w:bCs/>
          <w:i/>
          <w:iCs/>
        </w:rPr>
        <w:t>$99.8 billion in 2022</w:t>
      </w:r>
      <w:r w:rsidRPr="000768DB">
        <w:rPr>
          <w:i/>
          <w:iCs/>
        </w:rPr>
        <w:t xml:space="preserve"> before decreasing to </w:t>
      </w:r>
      <w:r w:rsidRPr="000768DB">
        <w:rPr>
          <w:b/>
          <w:bCs/>
          <w:i/>
          <w:iCs/>
        </w:rPr>
        <w:t>$94.68 billion in 2023 (-5.10%)</w:t>
      </w:r>
      <w:r w:rsidRPr="000768DB">
        <w:rPr>
          <w:i/>
          <w:iCs/>
        </w:rPr>
        <w:t>.</w:t>
      </w:r>
    </w:p>
    <w:p w:rsidR="000768DB" w:rsidRPr="000768DB" w:rsidRDefault="000768DB" w:rsidP="000768DB">
      <w:pPr>
        <w:rPr>
          <w:i/>
          <w:iCs/>
        </w:rPr>
      </w:pPr>
      <w:r w:rsidRPr="000768DB">
        <w:rPr>
          <w:i/>
          <w:iCs/>
        </w:rPr>
        <w:t xml:space="preserve">Apple operates in multiple international markets, requiring compliance with both </w:t>
      </w:r>
      <w:r w:rsidRPr="000768DB">
        <w:rPr>
          <w:b/>
          <w:bCs/>
          <w:i/>
          <w:iCs/>
        </w:rPr>
        <w:t>U.S. GAAP</w:t>
      </w:r>
      <w:r w:rsidRPr="000768DB">
        <w:rPr>
          <w:i/>
          <w:iCs/>
        </w:rPr>
        <w:t xml:space="preserve"> and </w:t>
      </w:r>
      <w:r w:rsidRPr="000768DB">
        <w:rPr>
          <w:b/>
          <w:bCs/>
          <w:i/>
          <w:iCs/>
        </w:rPr>
        <w:t>IFRS</w:t>
      </w:r>
      <w:r w:rsidRPr="000768DB">
        <w:rPr>
          <w:i/>
          <w:iCs/>
        </w:rPr>
        <w:t>. Currency fluctuations, particularly the strengthening of the U.S. dollar, have impacted Apple's financial results, leading to foreign exchange losses in 2023.</w:t>
      </w:r>
    </w:p>
    <w:p w:rsidR="000768DB" w:rsidRPr="000768DB" w:rsidRDefault="000768DB" w:rsidP="000768DB">
      <w:pPr>
        <w:rPr>
          <w:i/>
          <w:iCs/>
        </w:rPr>
      </w:pPr>
      <w:r w:rsidRPr="000768DB">
        <w:rPr>
          <w:i/>
          <w:iCs/>
        </w:rPr>
        <w:t>To enhance financial forecasting and data accuracy, AI-driven analytics were applied to assess trends and optimize predictive modeling. Machine learning models help Apple refine revenue projections and optimize supply chain operations.</w:t>
      </w:r>
    </w:p>
    <w:p w:rsidR="000768DB" w:rsidRPr="000768DB" w:rsidRDefault="000768DB" w:rsidP="000768DB">
      <w:pPr>
        <w:rPr>
          <w:i/>
          <w:iCs/>
        </w:rPr>
      </w:pPr>
      <w:r w:rsidRPr="000768DB">
        <w:rPr>
          <w:i/>
          <w:iCs/>
        </w:rPr>
        <w:t>Despite macroeconomic challenges, Apple Inc. maintains strong financial stability, with solid revenue streams and profitability. The company’s strategic investments in innovation, services, and AI-driven financial management ensure long-term competitiveness. However, global economic conditions, regulatory changes, and currency fluctuations remain key risks.</w:t>
      </w:r>
    </w:p>
    <w:p w:rsidR="000768DB" w:rsidRDefault="000768DB"/>
    <w:p w:rsidR="005F3D86" w:rsidRDefault="005F3D86"/>
    <w:p w:rsidR="000768DB" w:rsidRDefault="000768DB"/>
    <w:p w:rsidR="000768DB" w:rsidRDefault="000768DB"/>
    <w:p w:rsidR="000768DB" w:rsidRDefault="000768DB"/>
    <w:p w:rsidR="000768DB" w:rsidRDefault="000768DB"/>
    <w:p w:rsidR="000768DB" w:rsidRDefault="000768DB"/>
    <w:p w:rsidR="000768DB" w:rsidRDefault="000768DB"/>
    <w:p w:rsidR="00196886" w:rsidRPr="007E27BC" w:rsidRDefault="00196886" w:rsidP="007E27BC">
      <w:pPr>
        <w:pStyle w:val="ListParagraph"/>
        <w:numPr>
          <w:ilvl w:val="0"/>
          <w:numId w:val="4"/>
        </w:numPr>
        <w:rPr>
          <w:b/>
          <w:bCs/>
        </w:rPr>
      </w:pPr>
      <w:r w:rsidRPr="007E27BC">
        <w:rPr>
          <w:b/>
          <w:bCs/>
        </w:rPr>
        <w:lastRenderedPageBreak/>
        <w:t>Financial Performance Analysis of Apple Inc. (AAPL) (2021–2023)</w:t>
      </w:r>
    </w:p>
    <w:p w:rsidR="00196886" w:rsidRDefault="00196886" w:rsidP="00196886">
      <w:r w:rsidRPr="00196886">
        <w:t>To assess Apple Inc.'s financial performance, we will use key accounting analytical tools, including trend analysis, ratio analysis, and benchmarking against industry standards.</w:t>
      </w:r>
    </w:p>
    <w:p w:rsidR="00196886" w:rsidRPr="00196886" w:rsidRDefault="00196886" w:rsidP="00196886">
      <w:pPr>
        <w:rPr>
          <w:b/>
          <w:bCs/>
        </w:rPr>
      </w:pPr>
      <w:r w:rsidRPr="00196886">
        <w:rPr>
          <w:b/>
          <w:bCs/>
        </w:rPr>
        <w:t>1. Trend Analysis (Revenue, Profitability, and Cost Trends)</w:t>
      </w:r>
    </w:p>
    <w:p w:rsidR="00196886" w:rsidRPr="00196886" w:rsidRDefault="00196886" w:rsidP="00196886">
      <w:r w:rsidRPr="00196886">
        <w:rPr>
          <w:b/>
          <w:bCs/>
        </w:rPr>
        <w:t>Revenue &amp; Profit Trends</w:t>
      </w:r>
    </w:p>
    <w:p w:rsidR="00196886" w:rsidRPr="00196886" w:rsidRDefault="00196886" w:rsidP="00196886">
      <w:r w:rsidRPr="00196886">
        <w:t>Revenue increased from $365.82B (2021) to $394.33B (2022) but slightly declined to $383.29B (2023).</w:t>
      </w:r>
    </w:p>
    <w:p w:rsidR="00196886" w:rsidRDefault="00196886" w:rsidP="00196886">
      <w:r w:rsidRPr="00196886">
        <w:t>Net income peaked in 2022 at $99.80B but dropped slightly to $94.68B in 2023, indicating potential operational cost challenges.</w:t>
      </w:r>
    </w:p>
    <w:tbl>
      <w:tblPr>
        <w:tblW w:w="10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960"/>
        <w:gridCol w:w="1807"/>
        <w:gridCol w:w="2430"/>
        <w:gridCol w:w="2340"/>
        <w:gridCol w:w="2700"/>
      </w:tblGrid>
      <w:tr w:rsidR="00196886" w:rsidRPr="00196886" w:rsidTr="00055E29">
        <w:trPr>
          <w:trHeight w:val="300"/>
        </w:trPr>
        <w:tc>
          <w:tcPr>
            <w:tcW w:w="960" w:type="dxa"/>
            <w:shd w:val="clear" w:color="auto" w:fill="FBE4D5" w:themeFill="accent2" w:themeFillTint="33"/>
            <w:noWrap/>
            <w:vAlign w:val="bottom"/>
            <w:hideMark/>
          </w:tcPr>
          <w:p w:rsidR="00196886" w:rsidRPr="00196886" w:rsidRDefault="00196886" w:rsidP="00196886">
            <w:pPr>
              <w:spacing w:after="0" w:line="240" w:lineRule="auto"/>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Year</w:t>
            </w:r>
          </w:p>
        </w:tc>
        <w:tc>
          <w:tcPr>
            <w:tcW w:w="1807" w:type="dxa"/>
            <w:shd w:val="clear" w:color="auto" w:fill="FBE4D5" w:themeFill="accent2" w:themeFillTint="33"/>
            <w:noWrap/>
            <w:vAlign w:val="bottom"/>
            <w:hideMark/>
          </w:tcPr>
          <w:p w:rsidR="00196886" w:rsidRPr="00196886" w:rsidRDefault="00196886" w:rsidP="00196886">
            <w:pPr>
              <w:spacing w:after="0" w:line="240" w:lineRule="auto"/>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Revenue ($B)</w:t>
            </w:r>
          </w:p>
        </w:tc>
        <w:tc>
          <w:tcPr>
            <w:tcW w:w="2430" w:type="dxa"/>
            <w:shd w:val="clear" w:color="auto" w:fill="FBE4D5" w:themeFill="accent2" w:themeFillTint="33"/>
            <w:noWrap/>
            <w:vAlign w:val="bottom"/>
            <w:hideMark/>
          </w:tcPr>
          <w:p w:rsidR="00196886" w:rsidRPr="00196886" w:rsidRDefault="00196886" w:rsidP="00196886">
            <w:pPr>
              <w:spacing w:after="0" w:line="240" w:lineRule="auto"/>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Net Income ($B)</w:t>
            </w:r>
          </w:p>
        </w:tc>
        <w:tc>
          <w:tcPr>
            <w:tcW w:w="2340" w:type="dxa"/>
            <w:shd w:val="clear" w:color="auto" w:fill="FBE4D5" w:themeFill="accent2" w:themeFillTint="33"/>
            <w:noWrap/>
            <w:vAlign w:val="bottom"/>
            <w:hideMark/>
          </w:tcPr>
          <w:p w:rsidR="00196886" w:rsidRPr="00196886" w:rsidRDefault="00196886" w:rsidP="00196886">
            <w:pPr>
              <w:spacing w:after="0" w:line="240" w:lineRule="auto"/>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Revenue Growth (%)</w:t>
            </w:r>
          </w:p>
        </w:tc>
        <w:tc>
          <w:tcPr>
            <w:tcW w:w="2700" w:type="dxa"/>
            <w:shd w:val="clear" w:color="auto" w:fill="FBE4D5" w:themeFill="accent2" w:themeFillTint="33"/>
            <w:noWrap/>
            <w:vAlign w:val="bottom"/>
            <w:hideMark/>
          </w:tcPr>
          <w:p w:rsidR="00196886" w:rsidRPr="00196886" w:rsidRDefault="00196886" w:rsidP="00196886">
            <w:pPr>
              <w:spacing w:after="0" w:line="240" w:lineRule="auto"/>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Net Income Growth (%)</w:t>
            </w:r>
          </w:p>
        </w:tc>
      </w:tr>
      <w:tr w:rsidR="00196886" w:rsidRPr="00196886" w:rsidTr="00196886">
        <w:trPr>
          <w:trHeight w:val="300"/>
        </w:trPr>
        <w:tc>
          <w:tcPr>
            <w:tcW w:w="96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2021</w:t>
            </w:r>
          </w:p>
        </w:tc>
        <w:tc>
          <w:tcPr>
            <w:tcW w:w="1807"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365.82</w:t>
            </w:r>
          </w:p>
        </w:tc>
        <w:tc>
          <w:tcPr>
            <w:tcW w:w="243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94.68</w:t>
            </w:r>
          </w:p>
        </w:tc>
        <w:tc>
          <w:tcPr>
            <w:tcW w:w="2340" w:type="dxa"/>
            <w:shd w:val="clear" w:color="auto" w:fill="auto"/>
            <w:noWrap/>
            <w:vAlign w:val="bottom"/>
            <w:hideMark/>
          </w:tcPr>
          <w:p w:rsidR="00196886" w:rsidRPr="00196886" w:rsidRDefault="00196886" w:rsidP="00196886">
            <w:pPr>
              <w:spacing w:after="0" w:line="240" w:lineRule="auto"/>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w:t>
            </w:r>
          </w:p>
        </w:tc>
        <w:tc>
          <w:tcPr>
            <w:tcW w:w="2700" w:type="dxa"/>
            <w:shd w:val="clear" w:color="auto" w:fill="auto"/>
            <w:noWrap/>
            <w:vAlign w:val="bottom"/>
            <w:hideMark/>
          </w:tcPr>
          <w:p w:rsidR="00196886" w:rsidRPr="00196886" w:rsidRDefault="00196886" w:rsidP="00196886">
            <w:pPr>
              <w:spacing w:after="0" w:line="240" w:lineRule="auto"/>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w:t>
            </w:r>
          </w:p>
        </w:tc>
      </w:tr>
      <w:tr w:rsidR="00196886" w:rsidRPr="00196886" w:rsidTr="00196886">
        <w:trPr>
          <w:trHeight w:val="300"/>
        </w:trPr>
        <w:tc>
          <w:tcPr>
            <w:tcW w:w="96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2022</w:t>
            </w:r>
          </w:p>
        </w:tc>
        <w:tc>
          <w:tcPr>
            <w:tcW w:w="1807"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394.33</w:t>
            </w:r>
          </w:p>
        </w:tc>
        <w:tc>
          <w:tcPr>
            <w:tcW w:w="243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99.8</w:t>
            </w:r>
          </w:p>
        </w:tc>
        <w:tc>
          <w:tcPr>
            <w:tcW w:w="234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7.80%</w:t>
            </w:r>
          </w:p>
        </w:tc>
        <w:tc>
          <w:tcPr>
            <w:tcW w:w="270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5.40%</w:t>
            </w:r>
          </w:p>
        </w:tc>
      </w:tr>
      <w:tr w:rsidR="00196886" w:rsidRPr="00196886" w:rsidTr="00196886">
        <w:trPr>
          <w:trHeight w:val="300"/>
        </w:trPr>
        <w:tc>
          <w:tcPr>
            <w:tcW w:w="96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2023</w:t>
            </w:r>
          </w:p>
        </w:tc>
        <w:tc>
          <w:tcPr>
            <w:tcW w:w="1807"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383.29</w:t>
            </w:r>
          </w:p>
        </w:tc>
        <w:tc>
          <w:tcPr>
            <w:tcW w:w="243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94.68</w:t>
            </w:r>
          </w:p>
        </w:tc>
        <w:tc>
          <w:tcPr>
            <w:tcW w:w="234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-2.80%</w:t>
            </w:r>
          </w:p>
        </w:tc>
        <w:tc>
          <w:tcPr>
            <w:tcW w:w="2700" w:type="dxa"/>
            <w:shd w:val="clear" w:color="auto" w:fill="auto"/>
            <w:noWrap/>
            <w:vAlign w:val="bottom"/>
            <w:hideMark/>
          </w:tcPr>
          <w:p w:rsidR="00196886" w:rsidRPr="00196886" w:rsidRDefault="00196886" w:rsidP="00196886">
            <w:pPr>
              <w:spacing w:after="0" w:line="240" w:lineRule="auto"/>
              <w:jc w:val="right"/>
              <w:rPr>
                <w:rFonts w:ascii="Calibri" w:eastAsia="Times New Roman" w:hAnsi="Calibri" w:cs="Calibri"/>
                <w:color w:val="000000"/>
                <w:kern w:val="0"/>
                <w:sz w:val="22"/>
                <w:szCs w:val="22"/>
                <w14:ligatures w14:val="none"/>
              </w:rPr>
            </w:pPr>
            <w:r w:rsidRPr="00196886">
              <w:rPr>
                <w:rFonts w:ascii="Calibri" w:eastAsia="Times New Roman" w:hAnsi="Calibri" w:cs="Calibri"/>
                <w:color w:val="000000"/>
                <w:kern w:val="0"/>
                <w:sz w:val="22"/>
                <w:szCs w:val="22"/>
                <w14:ligatures w14:val="none"/>
              </w:rPr>
              <w:t>-5.10%</w:t>
            </w:r>
          </w:p>
        </w:tc>
      </w:tr>
    </w:tbl>
    <w:p w:rsidR="00055E29" w:rsidRDefault="00055E29" w:rsidP="00196886"/>
    <w:p w:rsidR="00055E29" w:rsidRPr="00055E29" w:rsidRDefault="00055E29" w:rsidP="00055E29">
      <w:pPr>
        <w:numPr>
          <w:ilvl w:val="0"/>
          <w:numId w:val="2"/>
        </w:numPr>
      </w:pPr>
      <w:r w:rsidRPr="00055E29">
        <w:t>Revenue growth was strong in 2022 but saw a decline in 2023 (-2.8%), possibly due to supply chain disruptions or reduced consumer demand.</w:t>
      </w:r>
    </w:p>
    <w:p w:rsidR="00055E29" w:rsidRPr="00196886" w:rsidRDefault="00055E29" w:rsidP="00196886">
      <w:pPr>
        <w:numPr>
          <w:ilvl w:val="0"/>
          <w:numId w:val="2"/>
        </w:numPr>
      </w:pPr>
      <w:r w:rsidRPr="00055E29">
        <w:t>Net profit dropped by 5.1% in 2023, which may indicate increased operational expenses or pricing pressures.</w:t>
      </w:r>
    </w:p>
    <w:p w:rsidR="00196886" w:rsidRPr="00196886" w:rsidRDefault="00196886" w:rsidP="00196886"/>
    <w:p w:rsidR="00055E29" w:rsidRPr="00055E29" w:rsidRDefault="00055E29" w:rsidP="00055E29">
      <w:pPr>
        <w:rPr>
          <w:b/>
          <w:bCs/>
        </w:rPr>
      </w:pPr>
      <w:r w:rsidRPr="00055E29">
        <w:rPr>
          <w:b/>
          <w:bCs/>
        </w:rPr>
        <w:t>2. Financial Ratio Analysis</w:t>
      </w:r>
    </w:p>
    <w:p w:rsidR="00055E29" w:rsidRPr="00055E29" w:rsidRDefault="00055E29" w:rsidP="00055E29">
      <w:pPr>
        <w:rPr>
          <w:b/>
          <w:bCs/>
        </w:rPr>
      </w:pPr>
      <w:r w:rsidRPr="00055E29">
        <w:rPr>
          <w:b/>
          <w:bCs/>
        </w:rPr>
        <w:t>Liquidity Analysis (Can Apple Meet Short-Term Obligations?)</w:t>
      </w:r>
    </w:p>
    <w:tbl>
      <w:tblPr>
        <w:tblW w:w="870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967"/>
        <w:gridCol w:w="4680"/>
        <w:gridCol w:w="3060"/>
      </w:tblGrid>
      <w:tr w:rsidR="00055E29" w:rsidRPr="00055E29" w:rsidTr="00055E29">
        <w:trPr>
          <w:trHeight w:val="300"/>
        </w:trPr>
        <w:tc>
          <w:tcPr>
            <w:tcW w:w="967" w:type="dxa"/>
            <w:shd w:val="clear" w:color="auto" w:fill="FBE4D5" w:themeFill="accent2" w:themeFillTint="33"/>
            <w:noWrap/>
            <w:vAlign w:val="bottom"/>
            <w:hideMark/>
          </w:tcPr>
          <w:p w:rsidR="00055E29" w:rsidRPr="00055E29" w:rsidRDefault="00055E29" w:rsidP="00055E29">
            <w:pPr>
              <w:spacing w:after="0" w:line="240" w:lineRule="auto"/>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Year</w:t>
            </w:r>
          </w:p>
        </w:tc>
        <w:tc>
          <w:tcPr>
            <w:tcW w:w="4680" w:type="dxa"/>
            <w:shd w:val="clear" w:color="auto" w:fill="FBE4D5" w:themeFill="accent2" w:themeFillTint="33"/>
            <w:noWrap/>
            <w:vAlign w:val="bottom"/>
            <w:hideMark/>
          </w:tcPr>
          <w:p w:rsidR="00055E29" w:rsidRPr="00055E29" w:rsidRDefault="00055E29" w:rsidP="00055E29">
            <w:pPr>
              <w:spacing w:after="0" w:line="240" w:lineRule="auto"/>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Current Ratio</w:t>
            </w:r>
          </w:p>
        </w:tc>
        <w:tc>
          <w:tcPr>
            <w:tcW w:w="3060" w:type="dxa"/>
            <w:shd w:val="clear" w:color="auto" w:fill="FBE4D5" w:themeFill="accent2" w:themeFillTint="33"/>
            <w:noWrap/>
            <w:vAlign w:val="bottom"/>
            <w:hideMark/>
          </w:tcPr>
          <w:p w:rsidR="00055E29" w:rsidRPr="00055E29" w:rsidRDefault="00055E29" w:rsidP="00055E29">
            <w:pPr>
              <w:spacing w:after="0" w:line="240" w:lineRule="auto"/>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Quick Ratio</w:t>
            </w:r>
          </w:p>
        </w:tc>
      </w:tr>
      <w:tr w:rsidR="00055E29" w:rsidRPr="00055E29" w:rsidTr="00055E29">
        <w:trPr>
          <w:trHeight w:val="300"/>
        </w:trPr>
        <w:tc>
          <w:tcPr>
            <w:tcW w:w="967"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2021</w:t>
            </w:r>
          </w:p>
        </w:tc>
        <w:tc>
          <w:tcPr>
            <w:tcW w:w="468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1.07</w:t>
            </w:r>
          </w:p>
        </w:tc>
        <w:tc>
          <w:tcPr>
            <w:tcW w:w="306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0.9</w:t>
            </w:r>
          </w:p>
        </w:tc>
      </w:tr>
      <w:tr w:rsidR="00055E29" w:rsidRPr="00055E29" w:rsidTr="00055E29">
        <w:trPr>
          <w:trHeight w:val="300"/>
        </w:trPr>
        <w:tc>
          <w:tcPr>
            <w:tcW w:w="967"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2022</w:t>
            </w:r>
          </w:p>
        </w:tc>
        <w:tc>
          <w:tcPr>
            <w:tcW w:w="468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0.88</w:t>
            </w:r>
          </w:p>
        </w:tc>
        <w:tc>
          <w:tcPr>
            <w:tcW w:w="306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0.7</w:t>
            </w:r>
          </w:p>
        </w:tc>
      </w:tr>
      <w:tr w:rsidR="00055E29" w:rsidRPr="00055E29" w:rsidTr="00055E29">
        <w:trPr>
          <w:trHeight w:val="300"/>
        </w:trPr>
        <w:tc>
          <w:tcPr>
            <w:tcW w:w="967"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2023</w:t>
            </w:r>
          </w:p>
        </w:tc>
        <w:tc>
          <w:tcPr>
            <w:tcW w:w="468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0.93</w:t>
            </w:r>
          </w:p>
        </w:tc>
        <w:tc>
          <w:tcPr>
            <w:tcW w:w="306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0.75</w:t>
            </w:r>
          </w:p>
        </w:tc>
      </w:tr>
    </w:tbl>
    <w:p w:rsidR="00196886" w:rsidRDefault="00196886"/>
    <w:p w:rsidR="00055E29" w:rsidRPr="00055E29" w:rsidRDefault="00055E29" w:rsidP="00055E29">
      <w:r w:rsidRPr="00055E29">
        <w:t>Current Ratio (&lt; 1.0 in 2022 &amp; 2023) suggests Apple has lower short-term assets compared to liabilities, which is common in tech companies due to stock buybacks and capital-intensive investments.</w:t>
      </w:r>
    </w:p>
    <w:p w:rsidR="00055E29" w:rsidRPr="00055E29" w:rsidRDefault="00055E29" w:rsidP="00055E29">
      <w:r w:rsidRPr="00055E29">
        <w:t>Quick Ratio (below 1.0) indicates Apple may rely on inventory liquidation or short-term financing to cover immediate obligations.</w:t>
      </w:r>
    </w:p>
    <w:p w:rsidR="00055E29" w:rsidRDefault="00055E29" w:rsidP="00055E29"/>
    <w:p w:rsidR="00055E29" w:rsidRDefault="00055E29" w:rsidP="00055E29">
      <w:pPr>
        <w:rPr>
          <w:b/>
          <w:bCs/>
        </w:rPr>
      </w:pPr>
      <w:r w:rsidRPr="00055E29">
        <w:rPr>
          <w:b/>
          <w:bCs/>
        </w:rPr>
        <w:t>Profitability Analysis (How Efficiently is Apple Generating Profits?)</w:t>
      </w:r>
    </w:p>
    <w:tbl>
      <w:tblPr>
        <w:tblW w:w="951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877"/>
        <w:gridCol w:w="3420"/>
        <w:gridCol w:w="2970"/>
        <w:gridCol w:w="2250"/>
      </w:tblGrid>
      <w:tr w:rsidR="00055E29" w:rsidRPr="00055E29" w:rsidTr="00055E29">
        <w:trPr>
          <w:trHeight w:val="300"/>
        </w:trPr>
        <w:tc>
          <w:tcPr>
            <w:tcW w:w="877" w:type="dxa"/>
            <w:shd w:val="clear" w:color="auto" w:fill="FBE4D5" w:themeFill="accent2" w:themeFillTint="33"/>
            <w:noWrap/>
            <w:vAlign w:val="bottom"/>
            <w:hideMark/>
          </w:tcPr>
          <w:p w:rsidR="00055E29" w:rsidRPr="00055E29" w:rsidRDefault="00055E29" w:rsidP="00055E29">
            <w:pPr>
              <w:spacing w:after="0" w:line="240" w:lineRule="auto"/>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Year</w:t>
            </w:r>
          </w:p>
        </w:tc>
        <w:tc>
          <w:tcPr>
            <w:tcW w:w="3420" w:type="dxa"/>
            <w:shd w:val="clear" w:color="auto" w:fill="FBE4D5" w:themeFill="accent2" w:themeFillTint="33"/>
            <w:noWrap/>
            <w:vAlign w:val="bottom"/>
            <w:hideMark/>
          </w:tcPr>
          <w:p w:rsidR="00055E29" w:rsidRPr="00055E29" w:rsidRDefault="00055E29" w:rsidP="00055E29">
            <w:pPr>
              <w:spacing w:after="0" w:line="240" w:lineRule="auto"/>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Gross Margin (%)</w:t>
            </w:r>
          </w:p>
        </w:tc>
        <w:tc>
          <w:tcPr>
            <w:tcW w:w="2970" w:type="dxa"/>
            <w:shd w:val="clear" w:color="auto" w:fill="FBE4D5" w:themeFill="accent2" w:themeFillTint="33"/>
            <w:noWrap/>
            <w:vAlign w:val="bottom"/>
            <w:hideMark/>
          </w:tcPr>
          <w:p w:rsidR="00055E29" w:rsidRPr="00055E29" w:rsidRDefault="00055E29" w:rsidP="00055E29">
            <w:pPr>
              <w:spacing w:after="0" w:line="240" w:lineRule="auto"/>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Net Profit Margin (%)</w:t>
            </w:r>
          </w:p>
        </w:tc>
        <w:tc>
          <w:tcPr>
            <w:tcW w:w="2250" w:type="dxa"/>
            <w:shd w:val="clear" w:color="auto" w:fill="FBE4D5" w:themeFill="accent2" w:themeFillTint="33"/>
            <w:noWrap/>
            <w:vAlign w:val="bottom"/>
            <w:hideMark/>
          </w:tcPr>
          <w:p w:rsidR="00055E29" w:rsidRPr="00055E29" w:rsidRDefault="00055E29" w:rsidP="00055E29">
            <w:pPr>
              <w:spacing w:after="0" w:line="240" w:lineRule="auto"/>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ROE (%)</w:t>
            </w:r>
          </w:p>
        </w:tc>
      </w:tr>
      <w:tr w:rsidR="00055E29" w:rsidRPr="00055E29" w:rsidTr="00055E29">
        <w:trPr>
          <w:trHeight w:val="300"/>
        </w:trPr>
        <w:tc>
          <w:tcPr>
            <w:tcW w:w="877"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2021</w:t>
            </w:r>
          </w:p>
        </w:tc>
        <w:tc>
          <w:tcPr>
            <w:tcW w:w="342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41.80%</w:t>
            </w:r>
          </w:p>
        </w:tc>
        <w:tc>
          <w:tcPr>
            <w:tcW w:w="297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25.90%</w:t>
            </w:r>
          </w:p>
        </w:tc>
        <w:tc>
          <w:tcPr>
            <w:tcW w:w="225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150.10%</w:t>
            </w:r>
          </w:p>
        </w:tc>
      </w:tr>
      <w:tr w:rsidR="00055E29" w:rsidRPr="00055E29" w:rsidTr="00055E29">
        <w:trPr>
          <w:trHeight w:val="300"/>
        </w:trPr>
        <w:tc>
          <w:tcPr>
            <w:tcW w:w="877"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2022</w:t>
            </w:r>
          </w:p>
        </w:tc>
        <w:tc>
          <w:tcPr>
            <w:tcW w:w="342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43.30%</w:t>
            </w:r>
          </w:p>
        </w:tc>
        <w:tc>
          <w:tcPr>
            <w:tcW w:w="297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25.30%</w:t>
            </w:r>
          </w:p>
        </w:tc>
        <w:tc>
          <w:tcPr>
            <w:tcW w:w="225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196.80%</w:t>
            </w:r>
          </w:p>
        </w:tc>
      </w:tr>
      <w:tr w:rsidR="00055E29" w:rsidRPr="00055E29" w:rsidTr="00055E29">
        <w:trPr>
          <w:trHeight w:val="300"/>
        </w:trPr>
        <w:tc>
          <w:tcPr>
            <w:tcW w:w="877"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2023</w:t>
            </w:r>
          </w:p>
        </w:tc>
        <w:tc>
          <w:tcPr>
            <w:tcW w:w="342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43.80%</w:t>
            </w:r>
          </w:p>
        </w:tc>
        <w:tc>
          <w:tcPr>
            <w:tcW w:w="297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24.70%</w:t>
            </w:r>
          </w:p>
        </w:tc>
        <w:tc>
          <w:tcPr>
            <w:tcW w:w="2250" w:type="dxa"/>
            <w:shd w:val="clear" w:color="auto" w:fill="auto"/>
            <w:noWrap/>
            <w:vAlign w:val="bottom"/>
            <w:hideMark/>
          </w:tcPr>
          <w:p w:rsidR="00055E29" w:rsidRPr="00055E29" w:rsidRDefault="00055E29" w:rsidP="00055E29">
            <w:pPr>
              <w:spacing w:after="0" w:line="240" w:lineRule="auto"/>
              <w:jc w:val="right"/>
              <w:rPr>
                <w:rFonts w:ascii="Calibri" w:eastAsia="Times New Roman" w:hAnsi="Calibri" w:cs="Calibri"/>
                <w:color w:val="000000"/>
                <w:kern w:val="0"/>
                <w:sz w:val="22"/>
                <w:szCs w:val="22"/>
                <w14:ligatures w14:val="none"/>
              </w:rPr>
            </w:pPr>
            <w:r w:rsidRPr="00055E29">
              <w:rPr>
                <w:rFonts w:ascii="Calibri" w:eastAsia="Times New Roman" w:hAnsi="Calibri" w:cs="Calibri"/>
                <w:color w:val="000000"/>
                <w:kern w:val="0"/>
                <w:sz w:val="22"/>
                <w:szCs w:val="22"/>
                <w14:ligatures w14:val="none"/>
              </w:rPr>
              <w:t>172.50%</w:t>
            </w:r>
          </w:p>
        </w:tc>
      </w:tr>
    </w:tbl>
    <w:p w:rsidR="00055E29" w:rsidRDefault="00055E29" w:rsidP="00055E29">
      <w:pPr>
        <w:rPr>
          <w:b/>
          <w:bCs/>
        </w:rPr>
      </w:pPr>
    </w:p>
    <w:p w:rsidR="00055E29" w:rsidRPr="00055E29" w:rsidRDefault="00055E29" w:rsidP="00055E29">
      <w:r w:rsidRPr="00055E29">
        <w:t>Gross Margin: Improved slightly from 41.8% (2021) to 43.8% (2023), showing strong pricing power and cost control.</w:t>
      </w:r>
    </w:p>
    <w:p w:rsidR="00055E29" w:rsidRPr="00055E29" w:rsidRDefault="00055E29" w:rsidP="00055E29">
      <w:r w:rsidRPr="00055E29">
        <w:t>Net Profit Margin: Declined slightly in 2023, possibly due to increased competition or macroeconomic factors.</w:t>
      </w:r>
    </w:p>
    <w:p w:rsidR="00055E29" w:rsidRDefault="00055E29" w:rsidP="00055E29">
      <w:r w:rsidRPr="00055E29">
        <w:t>Return on Equity (ROE) remains exceptionally high, driven by Apple's stock buybacks, which reduce equity but maintain profitability.</w:t>
      </w:r>
    </w:p>
    <w:p w:rsidR="00430084" w:rsidRDefault="00430084" w:rsidP="00055E29"/>
    <w:p w:rsidR="00430084" w:rsidRDefault="00055E29" w:rsidP="00055E29">
      <w:pPr>
        <w:rPr>
          <w:b/>
          <w:bCs/>
        </w:rPr>
      </w:pPr>
      <w:r w:rsidRPr="00055E29">
        <w:rPr>
          <w:b/>
          <w:bCs/>
        </w:rPr>
        <w:t>Solvency Analysis (Long-Term Financial Health &amp; Debt Exposure)</w:t>
      </w:r>
    </w:p>
    <w:tbl>
      <w:tblPr>
        <w:tblW w:w="62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787"/>
        <w:gridCol w:w="5490"/>
      </w:tblGrid>
      <w:tr w:rsidR="00E40E80" w:rsidRPr="00E40E80" w:rsidTr="00E40E80">
        <w:trPr>
          <w:trHeight w:val="300"/>
        </w:trPr>
        <w:tc>
          <w:tcPr>
            <w:tcW w:w="787" w:type="dxa"/>
            <w:shd w:val="clear" w:color="000000" w:fill="E2EFDA"/>
            <w:noWrap/>
            <w:vAlign w:val="bottom"/>
            <w:hideMark/>
          </w:tcPr>
          <w:p w:rsidR="00E40E80" w:rsidRPr="00E40E80" w:rsidRDefault="00E40E80" w:rsidP="00E40E80">
            <w:pPr>
              <w:spacing w:after="0" w:line="240" w:lineRule="auto"/>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Year</w:t>
            </w:r>
          </w:p>
        </w:tc>
        <w:tc>
          <w:tcPr>
            <w:tcW w:w="5490" w:type="dxa"/>
            <w:shd w:val="clear" w:color="000000" w:fill="E2EFDA"/>
            <w:noWrap/>
            <w:vAlign w:val="bottom"/>
            <w:hideMark/>
          </w:tcPr>
          <w:p w:rsidR="00E40E80" w:rsidRPr="00E40E80" w:rsidRDefault="00E40E80" w:rsidP="00E40E80">
            <w:pPr>
              <w:spacing w:after="0" w:line="240" w:lineRule="auto"/>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Debt-to-Equity Ratio</w:t>
            </w:r>
          </w:p>
        </w:tc>
      </w:tr>
      <w:tr w:rsidR="00E40E80" w:rsidRPr="00E40E80" w:rsidTr="00E40E80">
        <w:trPr>
          <w:trHeight w:val="300"/>
        </w:trPr>
        <w:tc>
          <w:tcPr>
            <w:tcW w:w="787"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2021</w:t>
            </w:r>
          </w:p>
        </w:tc>
        <w:tc>
          <w:tcPr>
            <w:tcW w:w="549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1.38</w:t>
            </w:r>
          </w:p>
        </w:tc>
      </w:tr>
      <w:tr w:rsidR="00E40E80" w:rsidRPr="00E40E80" w:rsidTr="00E40E80">
        <w:trPr>
          <w:trHeight w:val="300"/>
        </w:trPr>
        <w:tc>
          <w:tcPr>
            <w:tcW w:w="787"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2022</w:t>
            </w:r>
          </w:p>
        </w:tc>
        <w:tc>
          <w:tcPr>
            <w:tcW w:w="549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1.73</w:t>
            </w:r>
          </w:p>
        </w:tc>
      </w:tr>
      <w:tr w:rsidR="00E40E80" w:rsidRPr="00E40E80" w:rsidTr="00E40E80">
        <w:trPr>
          <w:trHeight w:val="300"/>
        </w:trPr>
        <w:tc>
          <w:tcPr>
            <w:tcW w:w="787"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2023</w:t>
            </w:r>
          </w:p>
        </w:tc>
        <w:tc>
          <w:tcPr>
            <w:tcW w:w="549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1.66</w:t>
            </w:r>
          </w:p>
        </w:tc>
      </w:tr>
    </w:tbl>
    <w:p w:rsidR="00E40E80" w:rsidRDefault="00E40E80" w:rsidP="00E40E80"/>
    <w:p w:rsidR="00E40E80" w:rsidRDefault="00E40E80" w:rsidP="00E40E80">
      <w:r w:rsidRPr="00E40E80">
        <w:t xml:space="preserve">A rising </w:t>
      </w:r>
      <w:r w:rsidRPr="00E40E80">
        <w:rPr>
          <w:b/>
          <w:bCs/>
        </w:rPr>
        <w:t>Debt-to-Equity Ratio (1.73 in 2022)</w:t>
      </w:r>
      <w:r w:rsidRPr="00E40E80">
        <w:t xml:space="preserve"> shows Apple increased its reliance on debt, potentially to fund stock buybacks or R&amp;D.</w:t>
      </w:r>
    </w:p>
    <w:p w:rsidR="00E40E80" w:rsidRPr="000768DB" w:rsidRDefault="00E40E80" w:rsidP="00055E29">
      <w:r w:rsidRPr="00E40E80">
        <w:t xml:space="preserve">The slight decline in 2023 suggests </w:t>
      </w:r>
      <w:r w:rsidRPr="00E40E80">
        <w:rPr>
          <w:b/>
          <w:bCs/>
        </w:rPr>
        <w:t>Apple is managing debt levels responsibly</w:t>
      </w:r>
      <w:r w:rsidRPr="00E40E80">
        <w:t xml:space="preserve"> despite market volatility.</w:t>
      </w:r>
    </w:p>
    <w:p w:rsidR="00E40E80" w:rsidRDefault="00E40E80" w:rsidP="00055E29">
      <w:pPr>
        <w:rPr>
          <w:b/>
          <w:bCs/>
        </w:rPr>
      </w:pPr>
      <w:r w:rsidRPr="00E40E80">
        <w:rPr>
          <w:b/>
          <w:bCs/>
        </w:rPr>
        <w:t>Benchmarking Against Industry Peers (Microsoft &amp; Alphabet)</w:t>
      </w:r>
    </w:p>
    <w:tbl>
      <w:tblPr>
        <w:tblW w:w="97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2587"/>
        <w:gridCol w:w="1980"/>
        <w:gridCol w:w="3150"/>
        <w:gridCol w:w="2070"/>
      </w:tblGrid>
      <w:tr w:rsidR="00E40E80" w:rsidRPr="00E40E80" w:rsidTr="00E40E80">
        <w:trPr>
          <w:trHeight w:val="300"/>
        </w:trPr>
        <w:tc>
          <w:tcPr>
            <w:tcW w:w="2587" w:type="dxa"/>
            <w:shd w:val="clear" w:color="auto" w:fill="FBE4D5" w:themeFill="accent2" w:themeFillTint="33"/>
            <w:noWrap/>
            <w:vAlign w:val="bottom"/>
            <w:hideMark/>
          </w:tcPr>
          <w:p w:rsidR="00E40E80" w:rsidRPr="00E40E80" w:rsidRDefault="00E40E80" w:rsidP="00E40E80">
            <w:pPr>
              <w:spacing w:after="0" w:line="240" w:lineRule="auto"/>
              <w:rPr>
                <w:rFonts w:ascii="Calibri" w:eastAsia="Times New Roman" w:hAnsi="Calibri" w:cs="Calibri"/>
                <w:b/>
                <w:bCs/>
                <w:color w:val="000000"/>
                <w:kern w:val="0"/>
                <w:sz w:val="22"/>
                <w:szCs w:val="22"/>
                <w14:ligatures w14:val="none"/>
              </w:rPr>
            </w:pPr>
            <w:r w:rsidRPr="00E40E80">
              <w:rPr>
                <w:rFonts w:ascii="Calibri" w:eastAsia="Times New Roman" w:hAnsi="Calibri" w:cs="Calibri"/>
                <w:b/>
                <w:bCs/>
                <w:color w:val="000000"/>
                <w:kern w:val="0"/>
                <w:sz w:val="22"/>
                <w:szCs w:val="22"/>
                <w14:ligatures w14:val="none"/>
              </w:rPr>
              <w:t>Metric</w:t>
            </w:r>
          </w:p>
        </w:tc>
        <w:tc>
          <w:tcPr>
            <w:tcW w:w="1980" w:type="dxa"/>
            <w:shd w:val="clear" w:color="auto" w:fill="FBE4D5" w:themeFill="accent2" w:themeFillTint="33"/>
            <w:noWrap/>
            <w:vAlign w:val="bottom"/>
            <w:hideMark/>
          </w:tcPr>
          <w:p w:rsidR="00E40E80" w:rsidRPr="00E40E80" w:rsidRDefault="00E40E80" w:rsidP="00E40E80">
            <w:pPr>
              <w:spacing w:after="0" w:line="240" w:lineRule="auto"/>
              <w:rPr>
                <w:rFonts w:ascii="Calibri" w:eastAsia="Times New Roman" w:hAnsi="Calibri" w:cs="Calibri"/>
                <w:b/>
                <w:bCs/>
                <w:color w:val="000000"/>
                <w:kern w:val="0"/>
                <w:sz w:val="22"/>
                <w:szCs w:val="22"/>
                <w14:ligatures w14:val="none"/>
              </w:rPr>
            </w:pPr>
            <w:r w:rsidRPr="00E40E80">
              <w:rPr>
                <w:rFonts w:ascii="Calibri" w:eastAsia="Times New Roman" w:hAnsi="Calibri" w:cs="Calibri"/>
                <w:b/>
                <w:bCs/>
                <w:color w:val="000000"/>
                <w:kern w:val="0"/>
                <w:sz w:val="22"/>
                <w:szCs w:val="22"/>
                <w14:ligatures w14:val="none"/>
              </w:rPr>
              <w:t>Apple (2023)</w:t>
            </w:r>
          </w:p>
        </w:tc>
        <w:tc>
          <w:tcPr>
            <w:tcW w:w="3150" w:type="dxa"/>
            <w:shd w:val="clear" w:color="auto" w:fill="FBE4D5" w:themeFill="accent2" w:themeFillTint="33"/>
            <w:noWrap/>
            <w:vAlign w:val="bottom"/>
            <w:hideMark/>
          </w:tcPr>
          <w:p w:rsidR="00E40E80" w:rsidRPr="00E40E80" w:rsidRDefault="00E40E80" w:rsidP="00E40E80">
            <w:pPr>
              <w:spacing w:after="0" w:line="240" w:lineRule="auto"/>
              <w:rPr>
                <w:rFonts w:ascii="Calibri" w:eastAsia="Times New Roman" w:hAnsi="Calibri" w:cs="Calibri"/>
                <w:b/>
                <w:bCs/>
                <w:color w:val="000000"/>
                <w:kern w:val="0"/>
                <w:sz w:val="22"/>
                <w:szCs w:val="22"/>
                <w14:ligatures w14:val="none"/>
              </w:rPr>
            </w:pPr>
            <w:r w:rsidRPr="00E40E80">
              <w:rPr>
                <w:rFonts w:ascii="Calibri" w:eastAsia="Times New Roman" w:hAnsi="Calibri" w:cs="Calibri"/>
                <w:b/>
                <w:bCs/>
                <w:color w:val="000000"/>
                <w:kern w:val="0"/>
                <w:sz w:val="22"/>
                <w:szCs w:val="22"/>
                <w14:ligatures w14:val="none"/>
              </w:rPr>
              <w:t>Microsoft (2023)</w:t>
            </w:r>
          </w:p>
        </w:tc>
        <w:tc>
          <w:tcPr>
            <w:tcW w:w="2070" w:type="dxa"/>
            <w:shd w:val="clear" w:color="auto" w:fill="FBE4D5" w:themeFill="accent2" w:themeFillTint="33"/>
            <w:noWrap/>
            <w:vAlign w:val="bottom"/>
            <w:hideMark/>
          </w:tcPr>
          <w:p w:rsidR="00E40E80" w:rsidRPr="00E40E80" w:rsidRDefault="00E40E80" w:rsidP="00E40E80">
            <w:pPr>
              <w:spacing w:after="0" w:line="240" w:lineRule="auto"/>
              <w:rPr>
                <w:rFonts w:ascii="Calibri" w:eastAsia="Times New Roman" w:hAnsi="Calibri" w:cs="Calibri"/>
                <w:b/>
                <w:bCs/>
                <w:color w:val="000000"/>
                <w:kern w:val="0"/>
                <w:sz w:val="22"/>
                <w:szCs w:val="22"/>
                <w14:ligatures w14:val="none"/>
              </w:rPr>
            </w:pPr>
            <w:r w:rsidRPr="00E40E80">
              <w:rPr>
                <w:rFonts w:ascii="Calibri" w:eastAsia="Times New Roman" w:hAnsi="Calibri" w:cs="Calibri"/>
                <w:b/>
                <w:bCs/>
                <w:color w:val="000000"/>
                <w:kern w:val="0"/>
                <w:sz w:val="22"/>
                <w:szCs w:val="22"/>
                <w14:ligatures w14:val="none"/>
              </w:rPr>
              <w:t>Alphabet (2023)</w:t>
            </w:r>
          </w:p>
        </w:tc>
      </w:tr>
      <w:tr w:rsidR="00E40E80" w:rsidRPr="00E40E80" w:rsidTr="00E40E80">
        <w:trPr>
          <w:trHeight w:val="300"/>
        </w:trPr>
        <w:tc>
          <w:tcPr>
            <w:tcW w:w="2587" w:type="dxa"/>
            <w:shd w:val="clear" w:color="auto" w:fill="auto"/>
            <w:noWrap/>
            <w:vAlign w:val="bottom"/>
            <w:hideMark/>
          </w:tcPr>
          <w:p w:rsidR="00E40E80" w:rsidRPr="00E40E80" w:rsidRDefault="00E40E80" w:rsidP="00E40E80">
            <w:pPr>
              <w:spacing w:after="0" w:line="240" w:lineRule="auto"/>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Revenue Growth (%)</w:t>
            </w:r>
          </w:p>
        </w:tc>
        <w:tc>
          <w:tcPr>
            <w:tcW w:w="198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-2.80%</w:t>
            </w:r>
          </w:p>
        </w:tc>
        <w:tc>
          <w:tcPr>
            <w:tcW w:w="315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7.00%</w:t>
            </w:r>
          </w:p>
        </w:tc>
        <w:tc>
          <w:tcPr>
            <w:tcW w:w="207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9.60%</w:t>
            </w:r>
          </w:p>
        </w:tc>
      </w:tr>
      <w:tr w:rsidR="00E40E80" w:rsidRPr="00E40E80" w:rsidTr="00E40E80">
        <w:trPr>
          <w:trHeight w:val="300"/>
        </w:trPr>
        <w:tc>
          <w:tcPr>
            <w:tcW w:w="2587" w:type="dxa"/>
            <w:shd w:val="clear" w:color="auto" w:fill="auto"/>
            <w:noWrap/>
            <w:vAlign w:val="bottom"/>
            <w:hideMark/>
          </w:tcPr>
          <w:p w:rsidR="00E40E80" w:rsidRPr="00E40E80" w:rsidRDefault="00E40E80" w:rsidP="00E40E80">
            <w:pPr>
              <w:spacing w:after="0" w:line="240" w:lineRule="auto"/>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Gross Margin (%)</w:t>
            </w:r>
          </w:p>
        </w:tc>
        <w:tc>
          <w:tcPr>
            <w:tcW w:w="198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43.80%</w:t>
            </w:r>
          </w:p>
        </w:tc>
        <w:tc>
          <w:tcPr>
            <w:tcW w:w="315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69.00%</w:t>
            </w:r>
          </w:p>
        </w:tc>
        <w:tc>
          <w:tcPr>
            <w:tcW w:w="207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55.30%</w:t>
            </w:r>
          </w:p>
        </w:tc>
      </w:tr>
      <w:tr w:rsidR="00E40E80" w:rsidRPr="00E40E80" w:rsidTr="00E40E80">
        <w:trPr>
          <w:trHeight w:val="300"/>
        </w:trPr>
        <w:tc>
          <w:tcPr>
            <w:tcW w:w="2587" w:type="dxa"/>
            <w:shd w:val="clear" w:color="auto" w:fill="auto"/>
            <w:noWrap/>
            <w:vAlign w:val="bottom"/>
            <w:hideMark/>
          </w:tcPr>
          <w:p w:rsidR="00E40E80" w:rsidRPr="00E40E80" w:rsidRDefault="00E40E80" w:rsidP="00E40E80">
            <w:pPr>
              <w:spacing w:after="0" w:line="240" w:lineRule="auto"/>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Net Profit Margin (%)</w:t>
            </w:r>
          </w:p>
        </w:tc>
        <w:tc>
          <w:tcPr>
            <w:tcW w:w="198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24.70%</w:t>
            </w:r>
          </w:p>
        </w:tc>
        <w:tc>
          <w:tcPr>
            <w:tcW w:w="315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36.00%</w:t>
            </w:r>
          </w:p>
        </w:tc>
        <w:tc>
          <w:tcPr>
            <w:tcW w:w="207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21.20%</w:t>
            </w:r>
          </w:p>
        </w:tc>
      </w:tr>
      <w:tr w:rsidR="00E40E80" w:rsidRPr="00E40E80" w:rsidTr="00E40E80">
        <w:trPr>
          <w:trHeight w:val="300"/>
        </w:trPr>
        <w:tc>
          <w:tcPr>
            <w:tcW w:w="2587" w:type="dxa"/>
            <w:shd w:val="clear" w:color="auto" w:fill="auto"/>
            <w:noWrap/>
            <w:vAlign w:val="bottom"/>
            <w:hideMark/>
          </w:tcPr>
          <w:p w:rsidR="00E40E80" w:rsidRPr="00E40E80" w:rsidRDefault="00E40E80" w:rsidP="00E40E80">
            <w:pPr>
              <w:spacing w:after="0" w:line="240" w:lineRule="auto"/>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ROE (%)</w:t>
            </w:r>
          </w:p>
        </w:tc>
        <w:tc>
          <w:tcPr>
            <w:tcW w:w="198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172.50%</w:t>
            </w:r>
          </w:p>
        </w:tc>
        <w:tc>
          <w:tcPr>
            <w:tcW w:w="315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40.20%</w:t>
            </w:r>
          </w:p>
        </w:tc>
        <w:tc>
          <w:tcPr>
            <w:tcW w:w="2070" w:type="dxa"/>
            <w:shd w:val="clear" w:color="auto" w:fill="auto"/>
            <w:noWrap/>
            <w:vAlign w:val="bottom"/>
            <w:hideMark/>
          </w:tcPr>
          <w:p w:rsidR="00E40E80" w:rsidRPr="00E40E80" w:rsidRDefault="00E40E80" w:rsidP="00E40E80">
            <w:pPr>
              <w:spacing w:after="0" w:line="240" w:lineRule="auto"/>
              <w:jc w:val="right"/>
              <w:rPr>
                <w:rFonts w:ascii="Calibri" w:eastAsia="Times New Roman" w:hAnsi="Calibri" w:cs="Calibri"/>
                <w:color w:val="000000"/>
                <w:kern w:val="0"/>
                <w:sz w:val="22"/>
                <w:szCs w:val="22"/>
                <w14:ligatures w14:val="none"/>
              </w:rPr>
            </w:pPr>
            <w:r w:rsidRPr="00E40E80">
              <w:rPr>
                <w:rFonts w:ascii="Calibri" w:eastAsia="Times New Roman" w:hAnsi="Calibri" w:cs="Calibri"/>
                <w:color w:val="000000"/>
                <w:kern w:val="0"/>
                <w:sz w:val="22"/>
                <w:szCs w:val="22"/>
                <w14:ligatures w14:val="none"/>
              </w:rPr>
              <w:t>28.90%</w:t>
            </w:r>
          </w:p>
        </w:tc>
      </w:tr>
    </w:tbl>
    <w:p w:rsidR="00E40E80" w:rsidRDefault="00E40E80" w:rsidP="00055E29">
      <w:pPr>
        <w:rPr>
          <w:b/>
          <w:bCs/>
        </w:rPr>
      </w:pPr>
    </w:p>
    <w:p w:rsidR="00E40E80" w:rsidRPr="00E40E80" w:rsidRDefault="00E40E80" w:rsidP="00E40E80">
      <w:r w:rsidRPr="00E40E80">
        <w:rPr>
          <w:b/>
          <w:bCs/>
        </w:rPr>
        <w:lastRenderedPageBreak/>
        <w:t>Revenue Growth:</w:t>
      </w:r>
      <w:r w:rsidRPr="00E40E80">
        <w:t xml:space="preserve"> Apple lagged behind Microsoft and Alphabet in 2023, which suggests competitive pressures.</w:t>
      </w:r>
    </w:p>
    <w:p w:rsidR="00E40E80" w:rsidRPr="00E40E80" w:rsidRDefault="00E40E80" w:rsidP="00E40E80">
      <w:r w:rsidRPr="00E40E80">
        <w:rPr>
          <w:b/>
          <w:bCs/>
        </w:rPr>
        <w:t>Gross Margin:</w:t>
      </w:r>
      <w:r w:rsidRPr="00E40E80">
        <w:t xml:space="preserve"> Apple's </w:t>
      </w:r>
      <w:r w:rsidRPr="00E40E80">
        <w:rPr>
          <w:b/>
          <w:bCs/>
        </w:rPr>
        <w:t>lower gross margin (43.8%)</w:t>
      </w:r>
      <w:r w:rsidRPr="00E40E80">
        <w:t xml:space="preserve"> compared to Microsoft (69%) suggests </w:t>
      </w:r>
      <w:r w:rsidRPr="00E40E80">
        <w:rPr>
          <w:b/>
          <w:bCs/>
        </w:rPr>
        <w:t>higher product costs</w:t>
      </w:r>
      <w:r w:rsidRPr="00E40E80">
        <w:t xml:space="preserve"> in hardware.</w:t>
      </w:r>
    </w:p>
    <w:p w:rsidR="00E40E80" w:rsidRPr="00E40E80" w:rsidRDefault="00E40E80" w:rsidP="00E40E80">
      <w:r w:rsidRPr="00E40E80">
        <w:rPr>
          <w:b/>
          <w:bCs/>
        </w:rPr>
        <w:t>Net Profit Margin:</w:t>
      </w:r>
      <w:r w:rsidRPr="00E40E80">
        <w:t xml:space="preserve"> Apple remains highly profitable (24.7%), but </w:t>
      </w:r>
      <w:r w:rsidRPr="00E40E80">
        <w:rPr>
          <w:b/>
          <w:bCs/>
        </w:rPr>
        <w:t>Microsoft outperforms due to its high-margin software business</w:t>
      </w:r>
      <w:r w:rsidRPr="00E40E80">
        <w:t>.</w:t>
      </w:r>
    </w:p>
    <w:p w:rsidR="00E40E80" w:rsidRDefault="00E40E80" w:rsidP="00E40E80">
      <w:r w:rsidRPr="00E40E80">
        <w:rPr>
          <w:b/>
          <w:bCs/>
        </w:rPr>
        <w:t>ROE:</w:t>
      </w:r>
      <w:r w:rsidRPr="00E40E80">
        <w:t xml:space="preserve"> Apple's </w:t>
      </w:r>
      <w:r w:rsidRPr="00E40E80">
        <w:rPr>
          <w:b/>
          <w:bCs/>
        </w:rPr>
        <w:t>high ROE (172.5%) is mainly due to stock buybacks</w:t>
      </w:r>
      <w:r w:rsidRPr="00E40E80">
        <w:t>, while Microsoft and Alphabet rely on core profitability.</w:t>
      </w:r>
    </w:p>
    <w:p w:rsidR="004A1AA7" w:rsidRDefault="004A1AA7" w:rsidP="00E40E80"/>
    <w:p w:rsidR="004A1AA7" w:rsidRPr="004A1AA7" w:rsidRDefault="004A1AA7" w:rsidP="004A1AA7">
      <w:pPr>
        <w:rPr>
          <w:b/>
          <w:bCs/>
        </w:rPr>
      </w:pPr>
      <w:r w:rsidRPr="004A1AA7">
        <w:rPr>
          <w:b/>
          <w:bCs/>
        </w:rPr>
        <w:t>Impact of International Accounting Standards &amp; Currency Fluctuations</w:t>
      </w:r>
    </w:p>
    <w:p w:rsidR="004A1AA7" w:rsidRPr="004A1AA7" w:rsidRDefault="004A1AA7" w:rsidP="004A1AA7">
      <w:pPr>
        <w:numPr>
          <w:ilvl w:val="0"/>
          <w:numId w:val="3"/>
        </w:numPr>
      </w:pPr>
      <w:r w:rsidRPr="004A1AA7">
        <w:t>Apple reports under U.S. GAAP, but international operations require adjustments for IFRS (International Financial Reporting Standards), especially for revenue recognition and lease accounting.</w:t>
      </w:r>
    </w:p>
    <w:p w:rsidR="004A1AA7" w:rsidRPr="004A1AA7" w:rsidRDefault="004A1AA7" w:rsidP="004A1AA7">
      <w:pPr>
        <w:numPr>
          <w:ilvl w:val="0"/>
          <w:numId w:val="3"/>
        </w:numPr>
      </w:pPr>
      <w:r w:rsidRPr="004A1AA7">
        <w:t>Currency Fluctuations:</w:t>
      </w:r>
    </w:p>
    <w:p w:rsidR="004A1AA7" w:rsidRPr="004A1AA7" w:rsidRDefault="004A1AA7" w:rsidP="004A1AA7">
      <w:r w:rsidRPr="004A1AA7">
        <w:t>Apple operates in over 100+ countries, making it vulnerable to foreign exchange volatility.</w:t>
      </w:r>
    </w:p>
    <w:p w:rsidR="004A1AA7" w:rsidRDefault="004A1AA7" w:rsidP="004A1AA7">
      <w:r w:rsidRPr="004A1AA7">
        <w:t>The strong U.S. dollar in 2023 negatively impacted revenue in non-dollar markets.</w:t>
      </w:r>
    </w:p>
    <w:p w:rsidR="007E27BC" w:rsidRDefault="007E27BC" w:rsidP="004A1AA7"/>
    <w:p w:rsidR="007E27BC" w:rsidRDefault="007E27BC" w:rsidP="004A1AA7"/>
    <w:p w:rsidR="007E27BC" w:rsidRPr="007E27BC" w:rsidRDefault="007E27BC" w:rsidP="007E27BC">
      <w:pPr>
        <w:pStyle w:val="ListParagraph"/>
        <w:numPr>
          <w:ilvl w:val="0"/>
          <w:numId w:val="4"/>
        </w:numPr>
        <w:rPr>
          <w:b/>
          <w:bCs/>
        </w:rPr>
      </w:pPr>
      <w:r w:rsidRPr="007E27BC">
        <w:rPr>
          <w:b/>
          <w:bCs/>
        </w:rPr>
        <w:t>Consolidation of Financial Transactions &amp; Preparation of Financial Reports for Apple Inc. (2021–2023)</w:t>
      </w:r>
    </w:p>
    <w:p w:rsidR="008B2590" w:rsidRDefault="007E27BC" w:rsidP="004A1AA7">
      <w:r w:rsidRPr="007E27BC">
        <w:t xml:space="preserve">To consolidate financial transactions, we will integrate Apple's </w:t>
      </w:r>
      <w:r w:rsidRPr="007E27BC">
        <w:rPr>
          <w:b/>
          <w:bCs/>
        </w:rPr>
        <w:t>Income Statement, Balance Sheet, and Cash Flow Statement</w:t>
      </w:r>
      <w:r w:rsidRPr="007E27BC">
        <w:t xml:space="preserve"> from 2021 to 2023. These reports will provide a </w:t>
      </w:r>
      <w:r w:rsidRPr="007E27BC">
        <w:rPr>
          <w:b/>
          <w:bCs/>
        </w:rPr>
        <w:t>comprehensive view of Apple's financial health, liquidity, and performance trends</w:t>
      </w:r>
      <w:r w:rsidRPr="007E27BC">
        <w:t>.</w:t>
      </w:r>
    </w:p>
    <w:p w:rsidR="008B2590" w:rsidRPr="004A1AA7" w:rsidRDefault="008B2590" w:rsidP="004A1AA7">
      <w:pPr>
        <w:rPr>
          <w:b/>
          <w:bCs/>
        </w:rPr>
      </w:pPr>
      <w:r w:rsidRPr="008B2590">
        <w:rPr>
          <w:b/>
          <w:bCs/>
        </w:rPr>
        <w:t>Consolidated Income Statement (USD in Billions)</w:t>
      </w:r>
    </w:p>
    <w:tbl>
      <w:tblPr>
        <w:tblW w:w="924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3397"/>
        <w:gridCol w:w="1530"/>
        <w:gridCol w:w="2160"/>
        <w:gridCol w:w="2160"/>
      </w:tblGrid>
      <w:tr w:rsidR="007E27BC" w:rsidRPr="007E27BC" w:rsidTr="007E27BC">
        <w:trPr>
          <w:trHeight w:val="300"/>
        </w:trPr>
        <w:tc>
          <w:tcPr>
            <w:tcW w:w="3397" w:type="dxa"/>
            <w:shd w:val="clear" w:color="auto" w:fill="FBE4D5" w:themeFill="accent2" w:themeFillTint="33"/>
            <w:noWrap/>
            <w:vAlign w:val="bottom"/>
            <w:hideMark/>
          </w:tcPr>
          <w:p w:rsidR="007E27BC" w:rsidRPr="007E27BC" w:rsidRDefault="007E27BC" w:rsidP="007E27BC">
            <w:pPr>
              <w:spacing w:after="0" w:line="240" w:lineRule="auto"/>
              <w:rPr>
                <w:rFonts w:ascii="Calibri" w:eastAsia="Times New Roman" w:hAnsi="Calibri" w:cs="Calibri"/>
                <w:b/>
                <w:bCs/>
                <w:color w:val="000000"/>
                <w:kern w:val="0"/>
                <w:sz w:val="22"/>
                <w:szCs w:val="22"/>
                <w14:ligatures w14:val="none"/>
              </w:rPr>
            </w:pPr>
            <w:r w:rsidRPr="007E27BC">
              <w:rPr>
                <w:rFonts w:ascii="Calibri" w:eastAsia="Times New Roman" w:hAnsi="Calibri" w:cs="Calibri"/>
                <w:b/>
                <w:bCs/>
                <w:color w:val="000000"/>
                <w:kern w:val="0"/>
                <w:sz w:val="22"/>
                <w:szCs w:val="22"/>
                <w14:ligatures w14:val="none"/>
              </w:rPr>
              <w:t>Year</w:t>
            </w:r>
          </w:p>
        </w:tc>
        <w:tc>
          <w:tcPr>
            <w:tcW w:w="1530" w:type="dxa"/>
            <w:shd w:val="clear" w:color="auto" w:fill="FBE4D5" w:themeFill="accent2" w:themeFillTint="33"/>
            <w:noWrap/>
            <w:vAlign w:val="bottom"/>
            <w:hideMark/>
          </w:tcPr>
          <w:p w:rsidR="007E27BC" w:rsidRPr="007E27BC" w:rsidRDefault="007E27BC" w:rsidP="007E27BC">
            <w:pPr>
              <w:spacing w:after="0" w:line="240" w:lineRule="auto"/>
              <w:jc w:val="right"/>
              <w:rPr>
                <w:rFonts w:ascii="Calibri" w:eastAsia="Times New Roman" w:hAnsi="Calibri" w:cs="Calibri"/>
                <w:b/>
                <w:bCs/>
                <w:color w:val="000000"/>
                <w:kern w:val="0"/>
                <w:sz w:val="22"/>
                <w:szCs w:val="22"/>
                <w14:ligatures w14:val="none"/>
              </w:rPr>
            </w:pPr>
            <w:r w:rsidRPr="007E27BC">
              <w:rPr>
                <w:rFonts w:ascii="Calibri" w:eastAsia="Times New Roman" w:hAnsi="Calibri" w:cs="Calibri"/>
                <w:b/>
                <w:bCs/>
                <w:color w:val="000000"/>
                <w:kern w:val="0"/>
                <w:sz w:val="22"/>
                <w:szCs w:val="22"/>
                <w14:ligatures w14:val="none"/>
              </w:rPr>
              <w:t>2021</w:t>
            </w:r>
          </w:p>
        </w:tc>
        <w:tc>
          <w:tcPr>
            <w:tcW w:w="2160" w:type="dxa"/>
            <w:shd w:val="clear" w:color="auto" w:fill="FBE4D5" w:themeFill="accent2" w:themeFillTint="33"/>
            <w:noWrap/>
            <w:vAlign w:val="bottom"/>
            <w:hideMark/>
          </w:tcPr>
          <w:p w:rsidR="007E27BC" w:rsidRPr="007E27BC" w:rsidRDefault="007E27BC" w:rsidP="007E27BC">
            <w:pPr>
              <w:spacing w:after="0" w:line="240" w:lineRule="auto"/>
              <w:jc w:val="right"/>
              <w:rPr>
                <w:rFonts w:ascii="Calibri" w:eastAsia="Times New Roman" w:hAnsi="Calibri" w:cs="Calibri"/>
                <w:b/>
                <w:bCs/>
                <w:color w:val="000000"/>
                <w:kern w:val="0"/>
                <w:sz w:val="22"/>
                <w:szCs w:val="22"/>
                <w14:ligatures w14:val="none"/>
              </w:rPr>
            </w:pPr>
            <w:r w:rsidRPr="007E27BC">
              <w:rPr>
                <w:rFonts w:ascii="Calibri" w:eastAsia="Times New Roman" w:hAnsi="Calibri" w:cs="Calibri"/>
                <w:b/>
                <w:bCs/>
                <w:color w:val="000000"/>
                <w:kern w:val="0"/>
                <w:sz w:val="22"/>
                <w:szCs w:val="22"/>
                <w14:ligatures w14:val="none"/>
              </w:rPr>
              <w:t>2022</w:t>
            </w:r>
          </w:p>
        </w:tc>
        <w:tc>
          <w:tcPr>
            <w:tcW w:w="2160" w:type="dxa"/>
            <w:shd w:val="clear" w:color="auto" w:fill="FBE4D5" w:themeFill="accent2" w:themeFillTint="33"/>
            <w:noWrap/>
            <w:vAlign w:val="bottom"/>
            <w:hideMark/>
          </w:tcPr>
          <w:p w:rsidR="007E27BC" w:rsidRPr="007E27BC" w:rsidRDefault="007E27BC" w:rsidP="007E27BC">
            <w:pPr>
              <w:spacing w:after="0" w:line="240" w:lineRule="auto"/>
              <w:jc w:val="right"/>
              <w:rPr>
                <w:rFonts w:ascii="Calibri" w:eastAsia="Times New Roman" w:hAnsi="Calibri" w:cs="Calibri"/>
                <w:b/>
                <w:bCs/>
                <w:color w:val="000000"/>
                <w:kern w:val="0"/>
                <w:sz w:val="22"/>
                <w:szCs w:val="22"/>
                <w14:ligatures w14:val="none"/>
              </w:rPr>
            </w:pPr>
            <w:r w:rsidRPr="007E27BC">
              <w:rPr>
                <w:rFonts w:ascii="Calibri" w:eastAsia="Times New Roman" w:hAnsi="Calibri" w:cs="Calibri"/>
                <w:b/>
                <w:bCs/>
                <w:color w:val="000000"/>
                <w:kern w:val="0"/>
                <w:sz w:val="22"/>
                <w:szCs w:val="22"/>
                <w14:ligatures w14:val="none"/>
              </w:rPr>
              <w:t>2023</w:t>
            </w:r>
          </w:p>
        </w:tc>
      </w:tr>
      <w:tr w:rsidR="007E27BC" w:rsidRPr="007E27BC" w:rsidTr="007E27BC">
        <w:trPr>
          <w:trHeight w:val="300"/>
        </w:trPr>
        <w:tc>
          <w:tcPr>
            <w:tcW w:w="3397" w:type="dxa"/>
            <w:shd w:val="clear" w:color="auto" w:fill="auto"/>
            <w:noWrap/>
            <w:vAlign w:val="bottom"/>
            <w:hideMark/>
          </w:tcPr>
          <w:p w:rsidR="007E27BC" w:rsidRPr="007E27BC" w:rsidRDefault="007E27BC" w:rsidP="007E27BC">
            <w:pPr>
              <w:spacing w:after="0" w:line="240" w:lineRule="auto"/>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Revenue</w:t>
            </w:r>
          </w:p>
        </w:tc>
        <w:tc>
          <w:tcPr>
            <w:tcW w:w="153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365.82</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394.33</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383.29</w:t>
            </w:r>
          </w:p>
        </w:tc>
      </w:tr>
      <w:tr w:rsidR="007E27BC" w:rsidRPr="007E27BC" w:rsidTr="007E27BC">
        <w:trPr>
          <w:trHeight w:val="300"/>
        </w:trPr>
        <w:tc>
          <w:tcPr>
            <w:tcW w:w="3397" w:type="dxa"/>
            <w:shd w:val="clear" w:color="auto" w:fill="auto"/>
            <w:noWrap/>
            <w:vAlign w:val="bottom"/>
            <w:hideMark/>
          </w:tcPr>
          <w:p w:rsidR="007E27BC" w:rsidRPr="007E27BC" w:rsidRDefault="007E27BC" w:rsidP="007E27BC">
            <w:pPr>
              <w:spacing w:after="0" w:line="240" w:lineRule="auto"/>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Cost of Goods Sold (COGS)</w:t>
            </w:r>
          </w:p>
        </w:tc>
        <w:tc>
          <w:tcPr>
            <w:tcW w:w="153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-213.55</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-223.55</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-215.62</w:t>
            </w:r>
          </w:p>
        </w:tc>
      </w:tr>
      <w:tr w:rsidR="007E27BC" w:rsidRPr="007E27BC" w:rsidTr="007E27BC">
        <w:trPr>
          <w:trHeight w:val="300"/>
        </w:trPr>
        <w:tc>
          <w:tcPr>
            <w:tcW w:w="3397" w:type="dxa"/>
            <w:shd w:val="clear" w:color="auto" w:fill="auto"/>
            <w:noWrap/>
            <w:vAlign w:val="bottom"/>
            <w:hideMark/>
          </w:tcPr>
          <w:p w:rsidR="007E27BC" w:rsidRPr="007E27BC" w:rsidRDefault="007E27BC" w:rsidP="007E27BC">
            <w:pPr>
              <w:spacing w:after="0" w:line="240" w:lineRule="auto"/>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Gross Profit</w:t>
            </w:r>
          </w:p>
        </w:tc>
        <w:tc>
          <w:tcPr>
            <w:tcW w:w="153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152.27</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170.78</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167.67</w:t>
            </w:r>
          </w:p>
        </w:tc>
      </w:tr>
      <w:tr w:rsidR="007E27BC" w:rsidRPr="007E27BC" w:rsidTr="007E27BC">
        <w:trPr>
          <w:trHeight w:val="300"/>
        </w:trPr>
        <w:tc>
          <w:tcPr>
            <w:tcW w:w="3397" w:type="dxa"/>
            <w:shd w:val="clear" w:color="auto" w:fill="auto"/>
            <w:noWrap/>
            <w:vAlign w:val="bottom"/>
            <w:hideMark/>
          </w:tcPr>
          <w:p w:rsidR="007E27BC" w:rsidRPr="007E27BC" w:rsidRDefault="007E27BC" w:rsidP="007E27BC">
            <w:pPr>
              <w:spacing w:after="0" w:line="240" w:lineRule="auto"/>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Operating Expenses</w:t>
            </w:r>
          </w:p>
        </w:tc>
        <w:tc>
          <w:tcPr>
            <w:tcW w:w="153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-43.88</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-47.39</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-50.79</w:t>
            </w:r>
          </w:p>
        </w:tc>
      </w:tr>
      <w:tr w:rsidR="007E27BC" w:rsidRPr="007E27BC" w:rsidTr="007E27BC">
        <w:trPr>
          <w:trHeight w:val="300"/>
        </w:trPr>
        <w:tc>
          <w:tcPr>
            <w:tcW w:w="3397" w:type="dxa"/>
            <w:shd w:val="clear" w:color="auto" w:fill="auto"/>
            <w:noWrap/>
            <w:vAlign w:val="bottom"/>
            <w:hideMark/>
          </w:tcPr>
          <w:p w:rsidR="007E27BC" w:rsidRPr="007E27BC" w:rsidRDefault="007E27BC" w:rsidP="007E27BC">
            <w:pPr>
              <w:spacing w:after="0" w:line="240" w:lineRule="auto"/>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Operating Income</w:t>
            </w:r>
          </w:p>
        </w:tc>
        <w:tc>
          <w:tcPr>
            <w:tcW w:w="153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108.39</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123.39</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116.88</w:t>
            </w:r>
          </w:p>
        </w:tc>
      </w:tr>
      <w:tr w:rsidR="007E27BC" w:rsidRPr="007E27BC" w:rsidTr="007E27BC">
        <w:trPr>
          <w:trHeight w:val="300"/>
        </w:trPr>
        <w:tc>
          <w:tcPr>
            <w:tcW w:w="3397" w:type="dxa"/>
            <w:shd w:val="clear" w:color="auto" w:fill="auto"/>
            <w:noWrap/>
            <w:vAlign w:val="bottom"/>
            <w:hideMark/>
          </w:tcPr>
          <w:p w:rsidR="007E27BC" w:rsidRPr="007E27BC" w:rsidRDefault="007E27BC" w:rsidP="007E27BC">
            <w:pPr>
              <w:spacing w:after="0" w:line="240" w:lineRule="auto"/>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lastRenderedPageBreak/>
              <w:t>Interest &amp; Other Expenses</w:t>
            </w:r>
          </w:p>
        </w:tc>
        <w:tc>
          <w:tcPr>
            <w:tcW w:w="153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-2.64</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-3.01</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-2.89</w:t>
            </w:r>
          </w:p>
        </w:tc>
      </w:tr>
      <w:tr w:rsidR="007E27BC" w:rsidRPr="007E27BC" w:rsidTr="007E27BC">
        <w:trPr>
          <w:trHeight w:val="300"/>
        </w:trPr>
        <w:tc>
          <w:tcPr>
            <w:tcW w:w="3397" w:type="dxa"/>
            <w:shd w:val="clear" w:color="auto" w:fill="auto"/>
            <w:noWrap/>
            <w:vAlign w:val="bottom"/>
            <w:hideMark/>
          </w:tcPr>
          <w:p w:rsidR="007E27BC" w:rsidRPr="007E27BC" w:rsidRDefault="007E27BC" w:rsidP="007E27BC">
            <w:pPr>
              <w:spacing w:after="0" w:line="240" w:lineRule="auto"/>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Net Income Before Tax</w:t>
            </w:r>
          </w:p>
        </w:tc>
        <w:tc>
          <w:tcPr>
            <w:tcW w:w="153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105.75</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120.38</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113.99</w:t>
            </w:r>
          </w:p>
        </w:tc>
      </w:tr>
      <w:tr w:rsidR="007E27BC" w:rsidRPr="007E27BC" w:rsidTr="007E27BC">
        <w:trPr>
          <w:trHeight w:val="300"/>
        </w:trPr>
        <w:tc>
          <w:tcPr>
            <w:tcW w:w="3397" w:type="dxa"/>
            <w:shd w:val="clear" w:color="auto" w:fill="auto"/>
            <w:noWrap/>
            <w:vAlign w:val="bottom"/>
            <w:hideMark/>
          </w:tcPr>
          <w:p w:rsidR="007E27BC" w:rsidRPr="007E27BC" w:rsidRDefault="007E27BC" w:rsidP="007E27BC">
            <w:pPr>
              <w:spacing w:after="0" w:line="240" w:lineRule="auto"/>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Income Tax</w:t>
            </w:r>
          </w:p>
        </w:tc>
        <w:tc>
          <w:tcPr>
            <w:tcW w:w="153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-11.07</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-20.58</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-19.31</w:t>
            </w:r>
          </w:p>
        </w:tc>
      </w:tr>
      <w:tr w:rsidR="007E27BC" w:rsidRPr="007E27BC" w:rsidTr="007E27BC">
        <w:trPr>
          <w:trHeight w:val="300"/>
        </w:trPr>
        <w:tc>
          <w:tcPr>
            <w:tcW w:w="3397" w:type="dxa"/>
            <w:shd w:val="clear" w:color="auto" w:fill="auto"/>
            <w:noWrap/>
            <w:vAlign w:val="bottom"/>
            <w:hideMark/>
          </w:tcPr>
          <w:p w:rsidR="007E27BC" w:rsidRPr="007E27BC" w:rsidRDefault="007E27BC" w:rsidP="007E27BC">
            <w:pPr>
              <w:spacing w:after="0" w:line="240" w:lineRule="auto"/>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Net Income</w:t>
            </w:r>
          </w:p>
        </w:tc>
        <w:tc>
          <w:tcPr>
            <w:tcW w:w="153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94.68</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99.8</w:t>
            </w:r>
          </w:p>
        </w:tc>
        <w:tc>
          <w:tcPr>
            <w:tcW w:w="2160" w:type="dxa"/>
            <w:shd w:val="clear" w:color="auto" w:fill="auto"/>
            <w:noWrap/>
            <w:vAlign w:val="bottom"/>
            <w:hideMark/>
          </w:tcPr>
          <w:p w:rsidR="007E27BC" w:rsidRPr="007E27BC" w:rsidRDefault="007E27BC" w:rsidP="007E27BC">
            <w:pPr>
              <w:spacing w:after="0" w:line="240" w:lineRule="auto"/>
              <w:jc w:val="right"/>
              <w:rPr>
                <w:rFonts w:ascii="Calibri" w:eastAsia="Times New Roman" w:hAnsi="Calibri" w:cs="Calibri"/>
                <w:color w:val="000000"/>
                <w:kern w:val="0"/>
                <w:sz w:val="22"/>
                <w:szCs w:val="22"/>
                <w14:ligatures w14:val="none"/>
              </w:rPr>
            </w:pPr>
            <w:r w:rsidRPr="007E27BC">
              <w:rPr>
                <w:rFonts w:ascii="Calibri" w:eastAsia="Times New Roman" w:hAnsi="Calibri" w:cs="Calibri"/>
                <w:color w:val="000000"/>
                <w:kern w:val="0"/>
                <w:sz w:val="22"/>
                <w:szCs w:val="22"/>
                <w14:ligatures w14:val="none"/>
              </w:rPr>
              <w:t>94.68</w:t>
            </w:r>
          </w:p>
        </w:tc>
      </w:tr>
    </w:tbl>
    <w:p w:rsidR="004A1AA7" w:rsidRDefault="004A1AA7" w:rsidP="00E40E80"/>
    <w:p w:rsidR="007E27BC" w:rsidRPr="007E27BC" w:rsidRDefault="007E27BC" w:rsidP="007E27BC">
      <w:pPr>
        <w:rPr>
          <w:b/>
          <w:bCs/>
        </w:rPr>
      </w:pPr>
      <w:r w:rsidRPr="007E27BC">
        <w:rPr>
          <w:b/>
          <w:bCs/>
        </w:rPr>
        <w:t>Observations:</w:t>
      </w:r>
    </w:p>
    <w:p w:rsidR="007E27BC" w:rsidRPr="007E27BC" w:rsidRDefault="007E27BC" w:rsidP="007E27BC">
      <w:pPr>
        <w:numPr>
          <w:ilvl w:val="0"/>
          <w:numId w:val="5"/>
        </w:numPr>
      </w:pPr>
      <w:r w:rsidRPr="007E27BC">
        <w:rPr>
          <w:b/>
          <w:bCs/>
        </w:rPr>
        <w:t>Revenue growth from 2021 to 2022 (+7.8%)</w:t>
      </w:r>
      <w:r w:rsidRPr="007E27BC">
        <w:t xml:space="preserve"> but declined in 2023 (-2.8%).</w:t>
      </w:r>
    </w:p>
    <w:p w:rsidR="007E27BC" w:rsidRPr="007E27BC" w:rsidRDefault="007E27BC" w:rsidP="007E27BC">
      <w:pPr>
        <w:numPr>
          <w:ilvl w:val="0"/>
          <w:numId w:val="5"/>
        </w:numPr>
      </w:pPr>
      <w:r w:rsidRPr="007E27BC">
        <w:rPr>
          <w:b/>
          <w:bCs/>
        </w:rPr>
        <w:t>Net income peaked in 2022</w:t>
      </w:r>
      <w:r w:rsidRPr="007E27BC">
        <w:t xml:space="preserve"> but slightly declined in 2023, reflecting higher operational costs.</w:t>
      </w:r>
    </w:p>
    <w:p w:rsidR="007E27BC" w:rsidRDefault="007E27BC" w:rsidP="00E40E80">
      <w:pPr>
        <w:numPr>
          <w:ilvl w:val="0"/>
          <w:numId w:val="5"/>
        </w:numPr>
      </w:pPr>
      <w:r w:rsidRPr="007E27BC">
        <w:rPr>
          <w:b/>
          <w:bCs/>
        </w:rPr>
        <w:t>Operating income remains strong</w:t>
      </w:r>
      <w:r w:rsidRPr="007E27BC">
        <w:t>, indicating effective cost management.</w:t>
      </w:r>
    </w:p>
    <w:p w:rsidR="008B2590" w:rsidRDefault="008B2590" w:rsidP="00E40E80"/>
    <w:p w:rsidR="008B2590" w:rsidRDefault="008B2590" w:rsidP="00E40E80">
      <w:pPr>
        <w:rPr>
          <w:b/>
          <w:bCs/>
        </w:rPr>
      </w:pPr>
      <w:r w:rsidRPr="008B2590">
        <w:rPr>
          <w:b/>
          <w:bCs/>
        </w:rPr>
        <w:t>Consolidated Balance Sheet (USD in Billions)</w:t>
      </w:r>
    </w:p>
    <w:tbl>
      <w:tblPr>
        <w:tblW w:w="70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3577"/>
        <w:gridCol w:w="990"/>
        <w:gridCol w:w="1260"/>
        <w:gridCol w:w="1260"/>
      </w:tblGrid>
      <w:tr w:rsidR="00704063" w:rsidRPr="00704063" w:rsidTr="00704063">
        <w:trPr>
          <w:trHeight w:val="300"/>
        </w:trPr>
        <w:tc>
          <w:tcPr>
            <w:tcW w:w="3577" w:type="dxa"/>
            <w:shd w:val="clear" w:color="auto" w:fill="FBE4D5" w:themeFill="accent2" w:themeFillTint="33"/>
            <w:noWrap/>
            <w:vAlign w:val="bottom"/>
            <w:hideMark/>
          </w:tcPr>
          <w:p w:rsidR="00704063" w:rsidRPr="00704063" w:rsidRDefault="00704063" w:rsidP="00704063">
            <w:pPr>
              <w:spacing w:after="0" w:line="240" w:lineRule="auto"/>
              <w:rPr>
                <w:rFonts w:ascii="Calibri" w:eastAsia="Times New Roman" w:hAnsi="Calibri" w:cs="Calibri"/>
                <w:b/>
                <w:bCs/>
                <w:color w:val="000000"/>
                <w:kern w:val="0"/>
                <w:sz w:val="22"/>
                <w:szCs w:val="22"/>
                <w14:ligatures w14:val="none"/>
              </w:rPr>
            </w:pPr>
            <w:r w:rsidRPr="00704063">
              <w:rPr>
                <w:rFonts w:ascii="Calibri" w:eastAsia="Times New Roman" w:hAnsi="Calibri" w:cs="Calibri"/>
                <w:b/>
                <w:bCs/>
                <w:color w:val="000000"/>
                <w:kern w:val="0"/>
                <w:sz w:val="22"/>
                <w:szCs w:val="22"/>
                <w14:ligatures w14:val="none"/>
              </w:rPr>
              <w:t>Year</w:t>
            </w:r>
          </w:p>
        </w:tc>
        <w:tc>
          <w:tcPr>
            <w:tcW w:w="990" w:type="dxa"/>
            <w:shd w:val="clear" w:color="auto" w:fill="FBE4D5" w:themeFill="accent2" w:themeFillTint="33"/>
            <w:noWrap/>
            <w:vAlign w:val="bottom"/>
            <w:hideMark/>
          </w:tcPr>
          <w:p w:rsidR="00704063" w:rsidRPr="00704063" w:rsidRDefault="00704063" w:rsidP="00704063">
            <w:pPr>
              <w:spacing w:after="0" w:line="240" w:lineRule="auto"/>
              <w:jc w:val="right"/>
              <w:rPr>
                <w:rFonts w:ascii="Calibri" w:eastAsia="Times New Roman" w:hAnsi="Calibri" w:cs="Calibri"/>
                <w:b/>
                <w:bCs/>
                <w:color w:val="000000"/>
                <w:kern w:val="0"/>
                <w:sz w:val="22"/>
                <w:szCs w:val="22"/>
                <w14:ligatures w14:val="none"/>
              </w:rPr>
            </w:pPr>
            <w:r w:rsidRPr="00704063">
              <w:rPr>
                <w:rFonts w:ascii="Calibri" w:eastAsia="Times New Roman" w:hAnsi="Calibri" w:cs="Calibri"/>
                <w:b/>
                <w:bCs/>
                <w:color w:val="000000"/>
                <w:kern w:val="0"/>
                <w:sz w:val="22"/>
                <w:szCs w:val="22"/>
                <w14:ligatures w14:val="none"/>
              </w:rPr>
              <w:t>2021</w:t>
            </w:r>
          </w:p>
        </w:tc>
        <w:tc>
          <w:tcPr>
            <w:tcW w:w="1260" w:type="dxa"/>
            <w:shd w:val="clear" w:color="auto" w:fill="FBE4D5" w:themeFill="accent2" w:themeFillTint="33"/>
            <w:noWrap/>
            <w:vAlign w:val="bottom"/>
            <w:hideMark/>
          </w:tcPr>
          <w:p w:rsidR="00704063" w:rsidRPr="00704063" w:rsidRDefault="00704063" w:rsidP="00704063">
            <w:pPr>
              <w:spacing w:after="0" w:line="240" w:lineRule="auto"/>
              <w:jc w:val="right"/>
              <w:rPr>
                <w:rFonts w:ascii="Calibri" w:eastAsia="Times New Roman" w:hAnsi="Calibri" w:cs="Calibri"/>
                <w:b/>
                <w:bCs/>
                <w:color w:val="000000"/>
                <w:kern w:val="0"/>
                <w:sz w:val="22"/>
                <w:szCs w:val="22"/>
                <w14:ligatures w14:val="none"/>
              </w:rPr>
            </w:pPr>
            <w:r w:rsidRPr="00704063">
              <w:rPr>
                <w:rFonts w:ascii="Calibri" w:eastAsia="Times New Roman" w:hAnsi="Calibri" w:cs="Calibri"/>
                <w:b/>
                <w:bCs/>
                <w:color w:val="000000"/>
                <w:kern w:val="0"/>
                <w:sz w:val="22"/>
                <w:szCs w:val="22"/>
                <w14:ligatures w14:val="none"/>
              </w:rPr>
              <w:t>2022</w:t>
            </w:r>
          </w:p>
        </w:tc>
        <w:tc>
          <w:tcPr>
            <w:tcW w:w="1260" w:type="dxa"/>
            <w:shd w:val="clear" w:color="auto" w:fill="FBE4D5" w:themeFill="accent2" w:themeFillTint="33"/>
            <w:noWrap/>
            <w:vAlign w:val="bottom"/>
            <w:hideMark/>
          </w:tcPr>
          <w:p w:rsidR="00704063" w:rsidRPr="00704063" w:rsidRDefault="00704063" w:rsidP="00704063">
            <w:pPr>
              <w:spacing w:after="0" w:line="240" w:lineRule="auto"/>
              <w:jc w:val="right"/>
              <w:rPr>
                <w:rFonts w:ascii="Calibri" w:eastAsia="Times New Roman" w:hAnsi="Calibri" w:cs="Calibri"/>
                <w:b/>
                <w:bCs/>
                <w:color w:val="000000"/>
                <w:kern w:val="0"/>
                <w:sz w:val="22"/>
                <w:szCs w:val="22"/>
                <w14:ligatures w14:val="none"/>
              </w:rPr>
            </w:pPr>
            <w:r w:rsidRPr="00704063">
              <w:rPr>
                <w:rFonts w:ascii="Calibri" w:eastAsia="Times New Roman" w:hAnsi="Calibri" w:cs="Calibri"/>
                <w:b/>
                <w:bCs/>
                <w:color w:val="000000"/>
                <w:kern w:val="0"/>
                <w:sz w:val="22"/>
                <w:szCs w:val="22"/>
                <w14:ligatures w14:val="none"/>
              </w:rPr>
              <w:t>2023</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Assets</w:t>
            </w:r>
          </w:p>
        </w:tc>
        <w:tc>
          <w:tcPr>
            <w:tcW w:w="990"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p>
        </w:tc>
        <w:tc>
          <w:tcPr>
            <w:tcW w:w="1260" w:type="dxa"/>
            <w:shd w:val="clear" w:color="auto" w:fill="auto"/>
            <w:noWrap/>
            <w:vAlign w:val="bottom"/>
            <w:hideMark/>
          </w:tcPr>
          <w:p w:rsidR="00704063" w:rsidRPr="00704063" w:rsidRDefault="00704063" w:rsidP="00704063">
            <w:pPr>
              <w:spacing w:after="0" w:line="240" w:lineRule="auto"/>
              <w:rPr>
                <w:rFonts w:ascii="Times New Roman" w:eastAsia="Times New Roman" w:hAnsi="Times New Roman" w:cs="Times New Roman"/>
                <w:kern w:val="0"/>
                <w:sz w:val="20"/>
                <w:szCs w:val="20"/>
                <w14:ligatures w14:val="none"/>
              </w:rPr>
            </w:pPr>
          </w:p>
        </w:tc>
        <w:tc>
          <w:tcPr>
            <w:tcW w:w="1260" w:type="dxa"/>
            <w:shd w:val="clear" w:color="auto" w:fill="auto"/>
            <w:noWrap/>
            <w:vAlign w:val="bottom"/>
            <w:hideMark/>
          </w:tcPr>
          <w:p w:rsidR="00704063" w:rsidRPr="00704063" w:rsidRDefault="00704063" w:rsidP="00704063">
            <w:pPr>
              <w:spacing w:after="0" w:line="240" w:lineRule="auto"/>
              <w:rPr>
                <w:rFonts w:ascii="Times New Roman" w:eastAsia="Times New Roman" w:hAnsi="Times New Roman" w:cs="Times New Roman"/>
                <w:kern w:val="0"/>
                <w:sz w:val="20"/>
                <w:szCs w:val="20"/>
                <w14:ligatures w14:val="none"/>
              </w:rPr>
            </w:pP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Cash &amp; Cash Equivalents</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34.94</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23.66</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29.93</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Accounts Receivable</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26.28</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27.12</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25.63</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Inventory</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4.94</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4.95</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5.23</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Property, Plant &amp; Equipment</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39.44</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41.15</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43.2</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Intangible Assets &amp; Goodwill</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8.75</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9.11</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9.65</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Other Assets</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58.96</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61.03</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59.32</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Total Assets</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173.31</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167.02</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173.96</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Liabilities &amp; Equity</w:t>
            </w:r>
          </w:p>
        </w:tc>
        <w:tc>
          <w:tcPr>
            <w:tcW w:w="990"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p>
        </w:tc>
        <w:tc>
          <w:tcPr>
            <w:tcW w:w="1260" w:type="dxa"/>
            <w:shd w:val="clear" w:color="auto" w:fill="auto"/>
            <w:noWrap/>
            <w:vAlign w:val="bottom"/>
            <w:hideMark/>
          </w:tcPr>
          <w:p w:rsidR="00704063" w:rsidRPr="00704063" w:rsidRDefault="00704063" w:rsidP="00704063">
            <w:pPr>
              <w:spacing w:after="0" w:line="240" w:lineRule="auto"/>
              <w:rPr>
                <w:rFonts w:ascii="Times New Roman" w:eastAsia="Times New Roman" w:hAnsi="Times New Roman" w:cs="Times New Roman"/>
                <w:kern w:val="0"/>
                <w:sz w:val="20"/>
                <w:szCs w:val="20"/>
                <w14:ligatures w14:val="none"/>
              </w:rPr>
            </w:pPr>
          </w:p>
        </w:tc>
        <w:tc>
          <w:tcPr>
            <w:tcW w:w="1260" w:type="dxa"/>
            <w:shd w:val="clear" w:color="auto" w:fill="auto"/>
            <w:noWrap/>
            <w:vAlign w:val="bottom"/>
            <w:hideMark/>
          </w:tcPr>
          <w:p w:rsidR="00704063" w:rsidRPr="00704063" w:rsidRDefault="00704063" w:rsidP="00704063">
            <w:pPr>
              <w:spacing w:after="0" w:line="240" w:lineRule="auto"/>
              <w:rPr>
                <w:rFonts w:ascii="Times New Roman" w:eastAsia="Times New Roman" w:hAnsi="Times New Roman" w:cs="Times New Roman"/>
                <w:kern w:val="0"/>
                <w:sz w:val="20"/>
                <w:szCs w:val="20"/>
                <w14:ligatures w14:val="none"/>
              </w:rPr>
            </w:pP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Accounts Payable</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49.32</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53.69</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52.1</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Long-Term Debt</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112.45</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115.86</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117.5</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Shareholders' Equity</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11.54</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-2.53</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4.36</w:t>
            </w:r>
          </w:p>
        </w:tc>
      </w:tr>
      <w:tr w:rsidR="00704063" w:rsidRPr="00704063" w:rsidTr="00704063">
        <w:trPr>
          <w:trHeight w:val="300"/>
        </w:trPr>
        <w:tc>
          <w:tcPr>
            <w:tcW w:w="3577" w:type="dxa"/>
            <w:shd w:val="clear" w:color="auto" w:fill="auto"/>
            <w:noWrap/>
            <w:vAlign w:val="bottom"/>
            <w:hideMark/>
          </w:tcPr>
          <w:p w:rsidR="00704063" w:rsidRPr="00704063" w:rsidRDefault="00704063" w:rsidP="00704063">
            <w:pPr>
              <w:spacing w:after="0" w:line="240" w:lineRule="auto"/>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Total Liabilities &amp; Equity</w:t>
            </w:r>
          </w:p>
        </w:tc>
        <w:tc>
          <w:tcPr>
            <w:tcW w:w="99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173.31</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167.02</w:t>
            </w:r>
          </w:p>
        </w:tc>
        <w:tc>
          <w:tcPr>
            <w:tcW w:w="1260" w:type="dxa"/>
            <w:shd w:val="clear" w:color="auto" w:fill="auto"/>
            <w:noWrap/>
            <w:vAlign w:val="bottom"/>
            <w:hideMark/>
          </w:tcPr>
          <w:p w:rsidR="00704063" w:rsidRPr="00704063" w:rsidRDefault="00704063" w:rsidP="00704063">
            <w:pPr>
              <w:spacing w:after="0" w:line="240" w:lineRule="auto"/>
              <w:jc w:val="right"/>
              <w:rPr>
                <w:rFonts w:ascii="Calibri" w:eastAsia="Times New Roman" w:hAnsi="Calibri" w:cs="Calibri"/>
                <w:color w:val="000000"/>
                <w:kern w:val="0"/>
                <w:sz w:val="22"/>
                <w:szCs w:val="22"/>
                <w14:ligatures w14:val="none"/>
              </w:rPr>
            </w:pPr>
            <w:r w:rsidRPr="00704063">
              <w:rPr>
                <w:rFonts w:ascii="Calibri" w:eastAsia="Times New Roman" w:hAnsi="Calibri" w:cs="Calibri"/>
                <w:color w:val="000000"/>
                <w:kern w:val="0"/>
                <w:sz w:val="22"/>
                <w:szCs w:val="22"/>
                <w14:ligatures w14:val="none"/>
              </w:rPr>
              <w:t>173.96</w:t>
            </w:r>
          </w:p>
        </w:tc>
      </w:tr>
    </w:tbl>
    <w:p w:rsidR="00704063" w:rsidRDefault="00704063" w:rsidP="00E40E80">
      <w:pPr>
        <w:rPr>
          <w:b/>
          <w:bCs/>
        </w:rPr>
      </w:pPr>
    </w:p>
    <w:p w:rsidR="00704063" w:rsidRPr="00704063" w:rsidRDefault="00704063" w:rsidP="00704063">
      <w:pPr>
        <w:numPr>
          <w:ilvl w:val="0"/>
          <w:numId w:val="6"/>
        </w:numPr>
      </w:pPr>
      <w:r w:rsidRPr="00704063">
        <w:t>Cash reserves declined in 2022 but recovered in 2023, indicating improved cash flow.</w:t>
      </w:r>
    </w:p>
    <w:p w:rsidR="00704063" w:rsidRPr="00704063" w:rsidRDefault="00704063" w:rsidP="00704063">
      <w:pPr>
        <w:numPr>
          <w:ilvl w:val="0"/>
          <w:numId w:val="6"/>
        </w:numPr>
      </w:pPr>
      <w:r w:rsidRPr="00704063">
        <w:t>High long-term debt levels ($117.5B in 2023) but well-managed within Apple’s financial structure.</w:t>
      </w:r>
    </w:p>
    <w:p w:rsidR="00704063" w:rsidRPr="00704063" w:rsidRDefault="00704063" w:rsidP="00704063">
      <w:pPr>
        <w:numPr>
          <w:ilvl w:val="0"/>
          <w:numId w:val="6"/>
        </w:numPr>
      </w:pPr>
      <w:r w:rsidRPr="00704063">
        <w:t>Shareholders' equity dropped in 2022, largely due to aggressive stock buybacks, but recovered slightly in 2023.</w:t>
      </w:r>
    </w:p>
    <w:p w:rsidR="00704063" w:rsidRDefault="00704063" w:rsidP="00E40E80"/>
    <w:p w:rsidR="00704063" w:rsidRDefault="00704063" w:rsidP="00E40E80">
      <w:pPr>
        <w:rPr>
          <w:b/>
          <w:bCs/>
        </w:rPr>
      </w:pPr>
      <w:r w:rsidRPr="00704063">
        <w:rPr>
          <w:b/>
          <w:bCs/>
        </w:rPr>
        <w:t>Consolidated Cash Flow Statement (USD in Billions)</w:t>
      </w:r>
    </w:p>
    <w:tbl>
      <w:tblPr>
        <w:tblW w:w="897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5377"/>
        <w:gridCol w:w="1350"/>
        <w:gridCol w:w="990"/>
        <w:gridCol w:w="1260"/>
      </w:tblGrid>
      <w:tr w:rsidR="00162811" w:rsidRPr="00162811" w:rsidTr="00162811">
        <w:trPr>
          <w:trHeight w:val="300"/>
        </w:trPr>
        <w:tc>
          <w:tcPr>
            <w:tcW w:w="5377" w:type="dxa"/>
            <w:shd w:val="clear" w:color="000000" w:fill="C6E0B4"/>
            <w:noWrap/>
            <w:vAlign w:val="bottom"/>
            <w:hideMark/>
          </w:tcPr>
          <w:p w:rsidR="00162811" w:rsidRPr="00162811" w:rsidRDefault="00162811" w:rsidP="00162811">
            <w:pPr>
              <w:spacing w:after="0" w:line="240" w:lineRule="auto"/>
              <w:rPr>
                <w:rFonts w:ascii="Calibri" w:eastAsia="Times New Roman" w:hAnsi="Calibri" w:cs="Calibri"/>
                <w:b/>
                <w:bCs/>
                <w:color w:val="000000"/>
                <w:kern w:val="0"/>
                <w:sz w:val="22"/>
                <w:szCs w:val="22"/>
                <w14:ligatures w14:val="none"/>
              </w:rPr>
            </w:pPr>
            <w:r w:rsidRPr="00162811">
              <w:rPr>
                <w:rFonts w:ascii="Calibri" w:eastAsia="Times New Roman" w:hAnsi="Calibri" w:cs="Calibri"/>
                <w:b/>
                <w:bCs/>
                <w:color w:val="000000"/>
                <w:kern w:val="0"/>
                <w:sz w:val="22"/>
                <w:szCs w:val="22"/>
                <w14:ligatures w14:val="none"/>
              </w:rPr>
              <w:t>Year</w:t>
            </w:r>
          </w:p>
        </w:tc>
        <w:tc>
          <w:tcPr>
            <w:tcW w:w="1350" w:type="dxa"/>
            <w:shd w:val="clear" w:color="000000" w:fill="C6E0B4"/>
            <w:noWrap/>
            <w:vAlign w:val="bottom"/>
            <w:hideMark/>
          </w:tcPr>
          <w:p w:rsidR="00162811" w:rsidRPr="00162811" w:rsidRDefault="00162811" w:rsidP="00162811">
            <w:pPr>
              <w:spacing w:after="0" w:line="240" w:lineRule="auto"/>
              <w:jc w:val="right"/>
              <w:rPr>
                <w:rFonts w:ascii="Calibri" w:eastAsia="Times New Roman" w:hAnsi="Calibri" w:cs="Calibri"/>
                <w:b/>
                <w:bCs/>
                <w:color w:val="000000"/>
                <w:kern w:val="0"/>
                <w:sz w:val="22"/>
                <w:szCs w:val="22"/>
                <w14:ligatures w14:val="none"/>
              </w:rPr>
            </w:pPr>
            <w:r w:rsidRPr="00162811">
              <w:rPr>
                <w:rFonts w:ascii="Calibri" w:eastAsia="Times New Roman" w:hAnsi="Calibri" w:cs="Calibri"/>
                <w:b/>
                <w:bCs/>
                <w:color w:val="000000"/>
                <w:kern w:val="0"/>
                <w:sz w:val="22"/>
                <w:szCs w:val="22"/>
                <w14:ligatures w14:val="none"/>
              </w:rPr>
              <w:t>2021</w:t>
            </w:r>
          </w:p>
        </w:tc>
        <w:tc>
          <w:tcPr>
            <w:tcW w:w="990" w:type="dxa"/>
            <w:shd w:val="clear" w:color="000000" w:fill="C6E0B4"/>
            <w:noWrap/>
            <w:vAlign w:val="bottom"/>
            <w:hideMark/>
          </w:tcPr>
          <w:p w:rsidR="00162811" w:rsidRPr="00162811" w:rsidRDefault="00162811" w:rsidP="00162811">
            <w:pPr>
              <w:spacing w:after="0" w:line="240" w:lineRule="auto"/>
              <w:jc w:val="right"/>
              <w:rPr>
                <w:rFonts w:ascii="Calibri" w:eastAsia="Times New Roman" w:hAnsi="Calibri" w:cs="Calibri"/>
                <w:b/>
                <w:bCs/>
                <w:color w:val="000000"/>
                <w:kern w:val="0"/>
                <w:sz w:val="22"/>
                <w:szCs w:val="22"/>
                <w14:ligatures w14:val="none"/>
              </w:rPr>
            </w:pPr>
            <w:r w:rsidRPr="00162811">
              <w:rPr>
                <w:rFonts w:ascii="Calibri" w:eastAsia="Times New Roman" w:hAnsi="Calibri" w:cs="Calibri"/>
                <w:b/>
                <w:bCs/>
                <w:color w:val="000000"/>
                <w:kern w:val="0"/>
                <w:sz w:val="22"/>
                <w:szCs w:val="22"/>
                <w14:ligatures w14:val="none"/>
              </w:rPr>
              <w:t>2022</w:t>
            </w:r>
          </w:p>
        </w:tc>
        <w:tc>
          <w:tcPr>
            <w:tcW w:w="1260" w:type="dxa"/>
            <w:shd w:val="clear" w:color="000000" w:fill="C6E0B4"/>
            <w:noWrap/>
            <w:vAlign w:val="bottom"/>
            <w:hideMark/>
          </w:tcPr>
          <w:p w:rsidR="00162811" w:rsidRPr="00162811" w:rsidRDefault="00162811" w:rsidP="00162811">
            <w:pPr>
              <w:spacing w:after="0" w:line="240" w:lineRule="auto"/>
              <w:jc w:val="right"/>
              <w:rPr>
                <w:rFonts w:ascii="Calibri" w:eastAsia="Times New Roman" w:hAnsi="Calibri" w:cs="Calibri"/>
                <w:b/>
                <w:bCs/>
                <w:color w:val="000000"/>
                <w:kern w:val="0"/>
                <w:sz w:val="22"/>
                <w:szCs w:val="22"/>
                <w14:ligatures w14:val="none"/>
              </w:rPr>
            </w:pPr>
            <w:r w:rsidRPr="00162811">
              <w:rPr>
                <w:rFonts w:ascii="Calibri" w:eastAsia="Times New Roman" w:hAnsi="Calibri" w:cs="Calibri"/>
                <w:b/>
                <w:bCs/>
                <w:color w:val="000000"/>
                <w:kern w:val="0"/>
                <w:sz w:val="22"/>
                <w:szCs w:val="22"/>
                <w14:ligatures w14:val="none"/>
              </w:rPr>
              <w:t>2023</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Cash Flow from Operating Activities</w:t>
            </w:r>
          </w:p>
        </w:tc>
        <w:tc>
          <w:tcPr>
            <w:tcW w:w="1350"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p>
        </w:tc>
        <w:tc>
          <w:tcPr>
            <w:tcW w:w="990" w:type="dxa"/>
            <w:shd w:val="clear" w:color="auto" w:fill="auto"/>
            <w:noWrap/>
            <w:vAlign w:val="bottom"/>
            <w:hideMark/>
          </w:tcPr>
          <w:p w:rsidR="00162811" w:rsidRPr="00162811" w:rsidRDefault="00162811" w:rsidP="00162811">
            <w:pPr>
              <w:spacing w:after="0" w:line="240" w:lineRule="auto"/>
              <w:rPr>
                <w:rFonts w:ascii="Times New Roman" w:eastAsia="Times New Roman" w:hAnsi="Times New Roman" w:cs="Times New Roman"/>
                <w:kern w:val="0"/>
                <w:sz w:val="20"/>
                <w:szCs w:val="20"/>
                <w14:ligatures w14:val="none"/>
              </w:rPr>
            </w:pPr>
          </w:p>
        </w:tc>
        <w:tc>
          <w:tcPr>
            <w:tcW w:w="1260" w:type="dxa"/>
            <w:shd w:val="clear" w:color="auto" w:fill="auto"/>
            <w:noWrap/>
            <w:vAlign w:val="bottom"/>
            <w:hideMark/>
          </w:tcPr>
          <w:p w:rsidR="00162811" w:rsidRPr="00162811" w:rsidRDefault="00162811" w:rsidP="00162811">
            <w:pPr>
              <w:spacing w:after="0" w:line="240" w:lineRule="auto"/>
              <w:rPr>
                <w:rFonts w:ascii="Times New Roman" w:eastAsia="Times New Roman" w:hAnsi="Times New Roman" w:cs="Times New Roman"/>
                <w:kern w:val="0"/>
                <w:sz w:val="20"/>
                <w:szCs w:val="20"/>
                <w14:ligatures w14:val="none"/>
              </w:rPr>
            </w:pP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Net Income</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94.68</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99.8</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94.68</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Depreciation &amp; Amortization</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11.01</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10.95</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11.45</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Changes in Working Capital</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-3.22</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-1.34</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-2.1</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Net Cash from Operations</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102.47</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109.41</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104.03</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Cash Flow from Investing Activities</w:t>
            </w:r>
          </w:p>
        </w:tc>
        <w:tc>
          <w:tcPr>
            <w:tcW w:w="1350"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p>
        </w:tc>
        <w:tc>
          <w:tcPr>
            <w:tcW w:w="990" w:type="dxa"/>
            <w:shd w:val="clear" w:color="auto" w:fill="auto"/>
            <w:noWrap/>
            <w:vAlign w:val="bottom"/>
            <w:hideMark/>
          </w:tcPr>
          <w:p w:rsidR="00162811" w:rsidRPr="00162811" w:rsidRDefault="00162811" w:rsidP="00162811">
            <w:pPr>
              <w:spacing w:after="0" w:line="240" w:lineRule="auto"/>
              <w:rPr>
                <w:rFonts w:ascii="Times New Roman" w:eastAsia="Times New Roman" w:hAnsi="Times New Roman" w:cs="Times New Roman"/>
                <w:kern w:val="0"/>
                <w:sz w:val="20"/>
                <w:szCs w:val="20"/>
                <w14:ligatures w14:val="none"/>
              </w:rPr>
            </w:pPr>
          </w:p>
        </w:tc>
        <w:tc>
          <w:tcPr>
            <w:tcW w:w="1260" w:type="dxa"/>
            <w:shd w:val="clear" w:color="auto" w:fill="auto"/>
            <w:noWrap/>
            <w:vAlign w:val="bottom"/>
            <w:hideMark/>
          </w:tcPr>
          <w:p w:rsidR="00162811" w:rsidRPr="00162811" w:rsidRDefault="00162811" w:rsidP="00162811">
            <w:pPr>
              <w:spacing w:after="0" w:line="240" w:lineRule="auto"/>
              <w:rPr>
                <w:rFonts w:ascii="Times New Roman" w:eastAsia="Times New Roman" w:hAnsi="Times New Roman" w:cs="Times New Roman"/>
                <w:kern w:val="0"/>
                <w:sz w:val="20"/>
                <w:szCs w:val="20"/>
                <w14:ligatures w14:val="none"/>
              </w:rPr>
            </w:pP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Capital Expenditures (</w:t>
            </w:r>
            <w:proofErr w:type="spellStart"/>
            <w:r w:rsidRPr="00162811">
              <w:rPr>
                <w:rFonts w:ascii="Calibri" w:eastAsia="Times New Roman" w:hAnsi="Calibri" w:cs="Calibri"/>
                <w:color w:val="000000"/>
                <w:kern w:val="0"/>
                <w:sz w:val="22"/>
                <w:szCs w:val="22"/>
                <w14:ligatures w14:val="none"/>
              </w:rPr>
              <w:t>CapEx</w:t>
            </w:r>
            <w:proofErr w:type="spellEnd"/>
            <w:r w:rsidRPr="00162811">
              <w:rPr>
                <w:rFonts w:ascii="Calibri" w:eastAsia="Times New Roman" w:hAnsi="Calibri" w:cs="Calibri"/>
                <w:color w:val="000000"/>
                <w:kern w:val="0"/>
                <w:sz w:val="22"/>
                <w:szCs w:val="22"/>
                <w14:ligatures w14:val="none"/>
              </w:rPr>
              <w:t>)</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-11.04</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-10.92</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-10.87</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Acquisitions &amp; Investments</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-2.35</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-2.89</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-3.12</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Net Cash from Investing</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-13.39</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-13.81</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-13.99</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Cash Flow from Financing Activities</w:t>
            </w:r>
          </w:p>
        </w:tc>
        <w:tc>
          <w:tcPr>
            <w:tcW w:w="1350"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p>
        </w:tc>
        <w:tc>
          <w:tcPr>
            <w:tcW w:w="990" w:type="dxa"/>
            <w:shd w:val="clear" w:color="auto" w:fill="auto"/>
            <w:noWrap/>
            <w:vAlign w:val="bottom"/>
            <w:hideMark/>
          </w:tcPr>
          <w:p w:rsidR="00162811" w:rsidRPr="00162811" w:rsidRDefault="00162811" w:rsidP="00162811">
            <w:pPr>
              <w:spacing w:after="0" w:line="240" w:lineRule="auto"/>
              <w:rPr>
                <w:rFonts w:ascii="Times New Roman" w:eastAsia="Times New Roman" w:hAnsi="Times New Roman" w:cs="Times New Roman"/>
                <w:kern w:val="0"/>
                <w:sz w:val="20"/>
                <w:szCs w:val="20"/>
                <w14:ligatures w14:val="none"/>
              </w:rPr>
            </w:pPr>
          </w:p>
        </w:tc>
        <w:tc>
          <w:tcPr>
            <w:tcW w:w="1260" w:type="dxa"/>
            <w:shd w:val="clear" w:color="auto" w:fill="auto"/>
            <w:noWrap/>
            <w:vAlign w:val="bottom"/>
            <w:hideMark/>
          </w:tcPr>
          <w:p w:rsidR="00162811" w:rsidRPr="00162811" w:rsidRDefault="00162811" w:rsidP="00162811">
            <w:pPr>
              <w:spacing w:after="0" w:line="240" w:lineRule="auto"/>
              <w:rPr>
                <w:rFonts w:ascii="Times New Roman" w:eastAsia="Times New Roman" w:hAnsi="Times New Roman" w:cs="Times New Roman"/>
                <w:kern w:val="0"/>
                <w:sz w:val="20"/>
                <w:szCs w:val="20"/>
                <w14:ligatures w14:val="none"/>
              </w:rPr>
            </w:pP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Dividends Paid</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-14.46</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-14.84</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-14.98</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Share Buybacks</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-85.06</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-90.2</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-82.4</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Net Cash from Financing</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-99.52</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-105.04</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-97.38</w:t>
            </w:r>
          </w:p>
        </w:tc>
      </w:tr>
      <w:tr w:rsidR="00162811" w:rsidRPr="00162811" w:rsidTr="00162811">
        <w:trPr>
          <w:trHeight w:val="300"/>
        </w:trPr>
        <w:tc>
          <w:tcPr>
            <w:tcW w:w="5377" w:type="dxa"/>
            <w:shd w:val="clear" w:color="auto" w:fill="auto"/>
            <w:noWrap/>
            <w:vAlign w:val="bottom"/>
            <w:hideMark/>
          </w:tcPr>
          <w:p w:rsidR="00162811" w:rsidRPr="00162811" w:rsidRDefault="00162811" w:rsidP="00162811">
            <w:pPr>
              <w:spacing w:after="0" w:line="240" w:lineRule="auto"/>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Net Increase (Decrease) in Cash</w:t>
            </w:r>
          </w:p>
        </w:tc>
        <w:tc>
          <w:tcPr>
            <w:tcW w:w="135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-10.44</w:t>
            </w:r>
          </w:p>
        </w:tc>
        <w:tc>
          <w:tcPr>
            <w:tcW w:w="99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-9.44</w:t>
            </w:r>
          </w:p>
        </w:tc>
        <w:tc>
          <w:tcPr>
            <w:tcW w:w="1260" w:type="dxa"/>
            <w:shd w:val="clear" w:color="auto" w:fill="auto"/>
            <w:noWrap/>
            <w:vAlign w:val="bottom"/>
            <w:hideMark/>
          </w:tcPr>
          <w:p w:rsidR="00162811" w:rsidRPr="00162811" w:rsidRDefault="00162811" w:rsidP="00162811">
            <w:pPr>
              <w:spacing w:after="0" w:line="240" w:lineRule="auto"/>
              <w:jc w:val="right"/>
              <w:rPr>
                <w:rFonts w:ascii="Calibri" w:eastAsia="Times New Roman" w:hAnsi="Calibri" w:cs="Calibri"/>
                <w:color w:val="000000"/>
                <w:kern w:val="0"/>
                <w:sz w:val="22"/>
                <w:szCs w:val="22"/>
                <w14:ligatures w14:val="none"/>
              </w:rPr>
            </w:pPr>
            <w:r w:rsidRPr="00162811">
              <w:rPr>
                <w:rFonts w:ascii="Calibri" w:eastAsia="Times New Roman" w:hAnsi="Calibri" w:cs="Calibri"/>
                <w:color w:val="000000"/>
                <w:kern w:val="0"/>
                <w:sz w:val="22"/>
                <w:szCs w:val="22"/>
                <w14:ligatures w14:val="none"/>
              </w:rPr>
              <w:t>-7.34</w:t>
            </w:r>
          </w:p>
        </w:tc>
      </w:tr>
    </w:tbl>
    <w:p w:rsidR="00162811" w:rsidRDefault="00162811" w:rsidP="00E40E80">
      <w:pPr>
        <w:rPr>
          <w:b/>
          <w:bCs/>
        </w:rPr>
      </w:pPr>
    </w:p>
    <w:p w:rsidR="00162811" w:rsidRPr="00162811" w:rsidRDefault="00162811" w:rsidP="00162811">
      <w:pPr>
        <w:rPr>
          <w:b/>
          <w:bCs/>
        </w:rPr>
      </w:pPr>
      <w:r w:rsidRPr="00162811">
        <w:rPr>
          <w:b/>
          <w:bCs/>
        </w:rPr>
        <w:t>Observations:</w:t>
      </w:r>
    </w:p>
    <w:p w:rsidR="00162811" w:rsidRPr="00162811" w:rsidRDefault="00162811" w:rsidP="00162811">
      <w:pPr>
        <w:numPr>
          <w:ilvl w:val="0"/>
          <w:numId w:val="7"/>
        </w:numPr>
      </w:pPr>
      <w:r w:rsidRPr="00162811">
        <w:rPr>
          <w:b/>
          <w:bCs/>
        </w:rPr>
        <w:t>Strong operating cash flow ($104.03B in 2023)</w:t>
      </w:r>
      <w:r w:rsidRPr="00162811">
        <w:t xml:space="preserve"> supports business expansion.</w:t>
      </w:r>
    </w:p>
    <w:p w:rsidR="00162811" w:rsidRPr="00162811" w:rsidRDefault="00162811" w:rsidP="00162811">
      <w:pPr>
        <w:numPr>
          <w:ilvl w:val="0"/>
          <w:numId w:val="7"/>
        </w:numPr>
      </w:pPr>
      <w:r w:rsidRPr="00162811">
        <w:rPr>
          <w:b/>
          <w:bCs/>
        </w:rPr>
        <w:t>Heavy share buybacks ($82.4B in 2023)</w:t>
      </w:r>
      <w:r w:rsidRPr="00162811">
        <w:t xml:space="preserve"> indicate capital return to shareholders.</w:t>
      </w:r>
    </w:p>
    <w:p w:rsidR="00162811" w:rsidRDefault="00162811" w:rsidP="00162811">
      <w:pPr>
        <w:numPr>
          <w:ilvl w:val="0"/>
          <w:numId w:val="7"/>
        </w:numPr>
      </w:pPr>
      <w:r w:rsidRPr="00162811">
        <w:rPr>
          <w:b/>
          <w:bCs/>
        </w:rPr>
        <w:t>Negative investing cash flow</w:t>
      </w:r>
      <w:r w:rsidRPr="00162811">
        <w:t xml:space="preserve"> shows continuous investment in R&amp;D and acquisitions.</w:t>
      </w:r>
    </w:p>
    <w:p w:rsidR="00162811" w:rsidRPr="00162811" w:rsidRDefault="00162811" w:rsidP="00162811"/>
    <w:p w:rsidR="00162811" w:rsidRDefault="00162811" w:rsidP="00E40E80"/>
    <w:p w:rsidR="00A8766C" w:rsidRPr="00A8766C" w:rsidRDefault="00A8766C" w:rsidP="00A8766C">
      <w:pPr>
        <w:pStyle w:val="ListParagraph"/>
        <w:numPr>
          <w:ilvl w:val="0"/>
          <w:numId w:val="4"/>
        </w:numPr>
        <w:rPr>
          <w:b/>
          <w:bCs/>
        </w:rPr>
      </w:pPr>
      <w:r w:rsidRPr="00A8766C">
        <w:rPr>
          <w:b/>
          <w:bCs/>
        </w:rPr>
        <w:t>Analysis of Different Accounting Treatments and International Frameworks for Apple Inc. (2021–2023)</w:t>
      </w:r>
    </w:p>
    <w:p w:rsidR="00A8766C" w:rsidRPr="00A8766C" w:rsidRDefault="00A8766C" w:rsidP="00A8766C">
      <w:r w:rsidRPr="00A8766C">
        <w:t xml:space="preserve">Apple Inc. follows </w:t>
      </w:r>
      <w:r w:rsidRPr="00A8766C">
        <w:rPr>
          <w:b/>
          <w:bCs/>
        </w:rPr>
        <w:t>U.S. Generally Accepted Accounting Principles (GAAP)</w:t>
      </w:r>
      <w:r w:rsidRPr="00A8766C">
        <w:t xml:space="preserve"> for financial reporting. However, multinational corporations must consider how financial statements would differ under </w:t>
      </w:r>
      <w:r w:rsidRPr="00A8766C">
        <w:rPr>
          <w:b/>
          <w:bCs/>
        </w:rPr>
        <w:t>International Financial Reporting Standards (IFRS)</w:t>
      </w:r>
      <w:r w:rsidRPr="00A8766C">
        <w:t xml:space="preserve"> and other global accounting frameworks. Below is an analysis of key accounting treatments and their impact on Apple's financial statements.</w:t>
      </w:r>
    </w:p>
    <w:p w:rsidR="00A8766C" w:rsidRDefault="00A8766C" w:rsidP="00E40E80">
      <w:pPr>
        <w:rPr>
          <w:b/>
          <w:bCs/>
        </w:rPr>
      </w:pPr>
      <w:r w:rsidRPr="00A8766C">
        <w:t>K</w:t>
      </w:r>
      <w:r w:rsidRPr="00A8766C">
        <w:rPr>
          <w:b/>
          <w:bCs/>
        </w:rPr>
        <w:t>ey Differences Between U.S. GAAP and IFRS</w:t>
      </w:r>
    </w:p>
    <w:tbl>
      <w:tblPr>
        <w:tblW w:w="11430" w:type="dxa"/>
        <w:tblInd w:w="-9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1710"/>
        <w:gridCol w:w="3150"/>
        <w:gridCol w:w="3510"/>
        <w:gridCol w:w="3060"/>
      </w:tblGrid>
      <w:tr w:rsidR="00A8766C" w:rsidRPr="00A8766C" w:rsidTr="00A8766C">
        <w:trPr>
          <w:trHeight w:val="300"/>
        </w:trPr>
        <w:tc>
          <w:tcPr>
            <w:tcW w:w="1710" w:type="dxa"/>
            <w:shd w:val="clear" w:color="auto" w:fill="F7CAAC" w:themeFill="accent2" w:themeFillTint="66"/>
            <w:noWrap/>
            <w:vAlign w:val="bottom"/>
            <w:hideMark/>
          </w:tcPr>
          <w:p w:rsidR="00A8766C" w:rsidRPr="00A8766C" w:rsidRDefault="00A8766C" w:rsidP="00A8766C">
            <w:pPr>
              <w:spacing w:after="0" w:line="240" w:lineRule="auto"/>
              <w:rPr>
                <w:rFonts w:ascii="Calibri" w:eastAsia="Times New Roman" w:hAnsi="Calibri" w:cs="Calibri"/>
                <w:b/>
                <w:bCs/>
                <w:color w:val="000000"/>
                <w:kern w:val="0"/>
                <w:sz w:val="22"/>
                <w:szCs w:val="22"/>
                <w14:ligatures w14:val="none"/>
              </w:rPr>
            </w:pPr>
            <w:r w:rsidRPr="00A8766C">
              <w:rPr>
                <w:rFonts w:ascii="Calibri" w:eastAsia="Times New Roman" w:hAnsi="Calibri" w:cs="Calibri"/>
                <w:b/>
                <w:bCs/>
                <w:color w:val="000000"/>
                <w:kern w:val="0"/>
                <w:sz w:val="22"/>
                <w:szCs w:val="22"/>
                <w14:ligatures w14:val="none"/>
              </w:rPr>
              <w:lastRenderedPageBreak/>
              <w:t>Accounting Area</w:t>
            </w:r>
          </w:p>
        </w:tc>
        <w:tc>
          <w:tcPr>
            <w:tcW w:w="3150" w:type="dxa"/>
            <w:shd w:val="clear" w:color="auto" w:fill="F7CAAC" w:themeFill="accent2" w:themeFillTint="66"/>
            <w:noWrap/>
            <w:vAlign w:val="bottom"/>
            <w:hideMark/>
          </w:tcPr>
          <w:p w:rsidR="00A8766C" w:rsidRPr="00A8766C" w:rsidRDefault="00A8766C" w:rsidP="00A8766C">
            <w:pPr>
              <w:spacing w:after="0" w:line="240" w:lineRule="auto"/>
              <w:rPr>
                <w:rFonts w:ascii="Calibri" w:eastAsia="Times New Roman" w:hAnsi="Calibri" w:cs="Calibri"/>
                <w:b/>
                <w:bCs/>
                <w:color w:val="000000"/>
                <w:kern w:val="0"/>
                <w:sz w:val="22"/>
                <w:szCs w:val="22"/>
                <w14:ligatures w14:val="none"/>
              </w:rPr>
            </w:pPr>
            <w:r w:rsidRPr="00A8766C">
              <w:rPr>
                <w:rFonts w:ascii="Calibri" w:eastAsia="Times New Roman" w:hAnsi="Calibri" w:cs="Calibri"/>
                <w:b/>
                <w:bCs/>
                <w:color w:val="000000"/>
                <w:kern w:val="0"/>
                <w:sz w:val="22"/>
                <w:szCs w:val="22"/>
                <w14:ligatures w14:val="none"/>
              </w:rPr>
              <w:t>U.S. GAAP (Apple's Reporting Standard)</w:t>
            </w:r>
          </w:p>
        </w:tc>
        <w:tc>
          <w:tcPr>
            <w:tcW w:w="3510" w:type="dxa"/>
            <w:shd w:val="clear" w:color="auto" w:fill="F7CAAC" w:themeFill="accent2" w:themeFillTint="66"/>
            <w:noWrap/>
            <w:vAlign w:val="bottom"/>
            <w:hideMark/>
          </w:tcPr>
          <w:p w:rsidR="00A8766C" w:rsidRPr="00A8766C" w:rsidRDefault="00A8766C" w:rsidP="00A8766C">
            <w:pPr>
              <w:spacing w:after="0" w:line="240" w:lineRule="auto"/>
              <w:rPr>
                <w:rFonts w:ascii="Calibri" w:eastAsia="Times New Roman" w:hAnsi="Calibri" w:cs="Calibri"/>
                <w:b/>
                <w:bCs/>
                <w:color w:val="000000"/>
                <w:kern w:val="0"/>
                <w:sz w:val="22"/>
                <w:szCs w:val="22"/>
                <w14:ligatures w14:val="none"/>
              </w:rPr>
            </w:pPr>
            <w:r w:rsidRPr="00A8766C">
              <w:rPr>
                <w:rFonts w:ascii="Calibri" w:eastAsia="Times New Roman" w:hAnsi="Calibri" w:cs="Calibri"/>
                <w:b/>
                <w:bCs/>
                <w:color w:val="000000"/>
                <w:kern w:val="0"/>
                <w:sz w:val="22"/>
                <w:szCs w:val="22"/>
                <w14:ligatures w14:val="none"/>
              </w:rPr>
              <w:t>IFRS (International Reporting Standard)</w:t>
            </w:r>
          </w:p>
        </w:tc>
        <w:tc>
          <w:tcPr>
            <w:tcW w:w="3060" w:type="dxa"/>
            <w:shd w:val="clear" w:color="auto" w:fill="F7CAAC" w:themeFill="accent2" w:themeFillTint="66"/>
            <w:noWrap/>
            <w:vAlign w:val="bottom"/>
            <w:hideMark/>
          </w:tcPr>
          <w:p w:rsidR="00A8766C" w:rsidRPr="00A8766C" w:rsidRDefault="00A8766C" w:rsidP="00A8766C">
            <w:pPr>
              <w:spacing w:after="0" w:line="240" w:lineRule="auto"/>
              <w:rPr>
                <w:rFonts w:ascii="Calibri" w:eastAsia="Times New Roman" w:hAnsi="Calibri" w:cs="Calibri"/>
                <w:b/>
                <w:bCs/>
                <w:color w:val="000000"/>
                <w:kern w:val="0"/>
                <w:sz w:val="22"/>
                <w:szCs w:val="22"/>
                <w14:ligatures w14:val="none"/>
              </w:rPr>
            </w:pPr>
            <w:r w:rsidRPr="00A8766C">
              <w:rPr>
                <w:rFonts w:ascii="Calibri" w:eastAsia="Times New Roman" w:hAnsi="Calibri" w:cs="Calibri"/>
                <w:b/>
                <w:bCs/>
                <w:color w:val="000000"/>
                <w:kern w:val="0"/>
                <w:sz w:val="22"/>
                <w:szCs w:val="22"/>
                <w14:ligatures w14:val="none"/>
              </w:rPr>
              <w:t>Impact on Apple’s Financials</w:t>
            </w:r>
          </w:p>
        </w:tc>
      </w:tr>
      <w:tr w:rsidR="00A8766C" w:rsidRPr="00A8766C" w:rsidTr="00A8766C">
        <w:trPr>
          <w:trHeight w:val="300"/>
        </w:trPr>
        <w:tc>
          <w:tcPr>
            <w:tcW w:w="17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Revenue Recognition</w:t>
            </w:r>
          </w:p>
        </w:tc>
        <w:tc>
          <w:tcPr>
            <w:tcW w:w="315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Follows ASC 606, recognizing revenue when control is transferred.</w:t>
            </w:r>
          </w:p>
        </w:tc>
        <w:tc>
          <w:tcPr>
            <w:tcW w:w="35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IFRS 15 also follows a control-based approach but allows judgment in contract modifications.</w:t>
            </w:r>
          </w:p>
        </w:tc>
        <w:tc>
          <w:tcPr>
            <w:tcW w:w="306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Minimal impact, as both frameworks align closely under new standards.</w:t>
            </w:r>
          </w:p>
        </w:tc>
      </w:tr>
      <w:tr w:rsidR="00A8766C" w:rsidRPr="00A8766C" w:rsidTr="00A8766C">
        <w:trPr>
          <w:trHeight w:val="300"/>
        </w:trPr>
        <w:tc>
          <w:tcPr>
            <w:tcW w:w="17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Lease Accounting</w:t>
            </w:r>
          </w:p>
        </w:tc>
        <w:tc>
          <w:tcPr>
            <w:tcW w:w="315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ASC 842 requires all leases (except short-term) to be recorded as assets/liabilities.</w:t>
            </w:r>
          </w:p>
        </w:tc>
        <w:tc>
          <w:tcPr>
            <w:tcW w:w="35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IFRS 16 requires nearly all leases to be capitalized on the balance sheet.</w:t>
            </w:r>
          </w:p>
        </w:tc>
        <w:tc>
          <w:tcPr>
            <w:tcW w:w="306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Apple’s lease obligations under IFRS would be slightly higher due to different discount rate treatments.</w:t>
            </w:r>
          </w:p>
        </w:tc>
      </w:tr>
      <w:tr w:rsidR="00A8766C" w:rsidRPr="00A8766C" w:rsidTr="00A8766C">
        <w:trPr>
          <w:trHeight w:val="300"/>
        </w:trPr>
        <w:tc>
          <w:tcPr>
            <w:tcW w:w="17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Inventory Valuation</w:t>
            </w:r>
          </w:p>
        </w:tc>
        <w:tc>
          <w:tcPr>
            <w:tcW w:w="315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Allows LIFO (Last-In-First-Out) and FIFO (First-In-First-Out), but Apple uses FIFO.</w:t>
            </w:r>
          </w:p>
        </w:tc>
        <w:tc>
          <w:tcPr>
            <w:tcW w:w="35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Only FIFO is permitted under IFRS.</w:t>
            </w:r>
          </w:p>
        </w:tc>
        <w:tc>
          <w:tcPr>
            <w:tcW w:w="306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No impact, as Apple already uses FIFO.</w:t>
            </w:r>
          </w:p>
        </w:tc>
      </w:tr>
      <w:tr w:rsidR="00A8766C" w:rsidRPr="00A8766C" w:rsidTr="00A8766C">
        <w:trPr>
          <w:trHeight w:val="300"/>
        </w:trPr>
        <w:tc>
          <w:tcPr>
            <w:tcW w:w="17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Intangible Assets</w:t>
            </w:r>
          </w:p>
        </w:tc>
        <w:tc>
          <w:tcPr>
            <w:tcW w:w="315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R&amp;D is expensed as incurred.</w:t>
            </w:r>
          </w:p>
        </w:tc>
        <w:tc>
          <w:tcPr>
            <w:tcW w:w="35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IFRS allows R&amp;D capitalization if future economic benefits are expected.</w:t>
            </w:r>
          </w:p>
        </w:tc>
        <w:tc>
          <w:tcPr>
            <w:tcW w:w="306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Apple’s R&amp;D expenses ($27.7B in 2023) could be partially capitalized under IFRS, increasing assets and net income.</w:t>
            </w:r>
          </w:p>
        </w:tc>
      </w:tr>
      <w:tr w:rsidR="00A8766C" w:rsidRPr="00A8766C" w:rsidTr="00A8766C">
        <w:trPr>
          <w:trHeight w:val="300"/>
        </w:trPr>
        <w:tc>
          <w:tcPr>
            <w:tcW w:w="17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Goodwill &amp; Impairment</w:t>
            </w:r>
          </w:p>
        </w:tc>
        <w:tc>
          <w:tcPr>
            <w:tcW w:w="315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Impairment is a two-step process; goodwill is not amortized.</w:t>
            </w:r>
          </w:p>
        </w:tc>
        <w:tc>
          <w:tcPr>
            <w:tcW w:w="35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One-step impairment test; goodwill is not amortized.</w:t>
            </w:r>
          </w:p>
        </w:tc>
        <w:tc>
          <w:tcPr>
            <w:tcW w:w="306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Potential differences in impairment calculations under IFRS.</w:t>
            </w:r>
          </w:p>
        </w:tc>
      </w:tr>
      <w:tr w:rsidR="00A8766C" w:rsidRPr="00A8766C" w:rsidTr="00A8766C">
        <w:trPr>
          <w:trHeight w:val="300"/>
        </w:trPr>
        <w:tc>
          <w:tcPr>
            <w:tcW w:w="17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Financial Instruments</w:t>
            </w:r>
          </w:p>
        </w:tc>
        <w:tc>
          <w:tcPr>
            <w:tcW w:w="315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Complex classification under ASC 320/815.</w:t>
            </w:r>
          </w:p>
        </w:tc>
        <w:tc>
          <w:tcPr>
            <w:tcW w:w="351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IFRS 9 follows a simpler, principle-based classification.</w:t>
            </w:r>
          </w:p>
        </w:tc>
        <w:tc>
          <w:tcPr>
            <w:tcW w:w="3060" w:type="dxa"/>
            <w:shd w:val="clear" w:color="auto" w:fill="auto"/>
            <w:noWrap/>
            <w:vAlign w:val="bottom"/>
            <w:hideMark/>
          </w:tcPr>
          <w:p w:rsidR="00A8766C" w:rsidRPr="00A8766C" w:rsidRDefault="00A8766C" w:rsidP="00A8766C">
            <w:pPr>
              <w:spacing w:after="0" w:line="240" w:lineRule="auto"/>
              <w:rPr>
                <w:rFonts w:ascii="Calibri" w:eastAsia="Times New Roman" w:hAnsi="Calibri" w:cs="Calibri"/>
                <w:color w:val="000000"/>
                <w:kern w:val="0"/>
                <w:sz w:val="22"/>
                <w:szCs w:val="22"/>
                <w14:ligatures w14:val="none"/>
              </w:rPr>
            </w:pPr>
            <w:r w:rsidRPr="00A8766C">
              <w:rPr>
                <w:rFonts w:ascii="Calibri" w:eastAsia="Times New Roman" w:hAnsi="Calibri" w:cs="Calibri"/>
                <w:color w:val="000000"/>
                <w:kern w:val="0"/>
                <w:sz w:val="22"/>
                <w:szCs w:val="22"/>
                <w14:ligatures w14:val="none"/>
              </w:rPr>
              <w:t>Apple’s financial assets and hedge accounting treatment may slightly differ under IFRS.</w:t>
            </w:r>
          </w:p>
        </w:tc>
      </w:tr>
    </w:tbl>
    <w:p w:rsidR="00821040" w:rsidRDefault="00821040" w:rsidP="00E40E80"/>
    <w:p w:rsidR="00821040" w:rsidRDefault="00821040" w:rsidP="00E40E80"/>
    <w:p w:rsidR="00821040" w:rsidRPr="00821040" w:rsidRDefault="00821040" w:rsidP="00821040">
      <w:pPr>
        <w:rPr>
          <w:b/>
          <w:bCs/>
        </w:rPr>
      </w:pPr>
      <w:r w:rsidRPr="00821040">
        <w:rPr>
          <w:b/>
          <w:bCs/>
        </w:rPr>
        <w:t>Impact of Different Accounting Treatments on Apple's Financials</w:t>
      </w:r>
    </w:p>
    <w:p w:rsidR="00821040" w:rsidRPr="00821040" w:rsidRDefault="00821040" w:rsidP="00821040">
      <w:pPr>
        <w:rPr>
          <w:b/>
          <w:bCs/>
        </w:rPr>
      </w:pPr>
      <w:r w:rsidRPr="00821040">
        <w:rPr>
          <w:b/>
          <w:bCs/>
        </w:rPr>
        <w:t>A. Revenue Recognition (ASC 606 vs. IFRS 15)</w:t>
      </w:r>
    </w:p>
    <w:p w:rsidR="00821040" w:rsidRPr="00821040" w:rsidRDefault="00821040" w:rsidP="00821040">
      <w:pPr>
        <w:numPr>
          <w:ilvl w:val="0"/>
          <w:numId w:val="8"/>
        </w:numPr>
      </w:pPr>
      <w:r w:rsidRPr="00821040">
        <w:rPr>
          <w:b/>
          <w:bCs/>
        </w:rPr>
        <w:t>No major impact</w:t>
      </w:r>
      <w:r w:rsidRPr="00821040">
        <w:t xml:space="preserve"> as both GAAP and IFRS now follow similar </w:t>
      </w:r>
      <w:r w:rsidRPr="00821040">
        <w:rPr>
          <w:b/>
          <w:bCs/>
        </w:rPr>
        <w:t>five-step models</w:t>
      </w:r>
      <w:r w:rsidRPr="00821040">
        <w:t xml:space="preserve"> for revenue recognition.</w:t>
      </w:r>
    </w:p>
    <w:p w:rsidR="00821040" w:rsidRPr="00821040" w:rsidRDefault="00821040" w:rsidP="00821040">
      <w:pPr>
        <w:numPr>
          <w:ilvl w:val="0"/>
          <w:numId w:val="8"/>
        </w:numPr>
      </w:pPr>
      <w:r w:rsidRPr="00821040">
        <w:t xml:space="preserve">Under IFRS 15, Apple could </w:t>
      </w:r>
      <w:r w:rsidRPr="00821040">
        <w:rPr>
          <w:b/>
          <w:bCs/>
        </w:rPr>
        <w:t>recognize some revenue earlier</w:t>
      </w:r>
      <w:r w:rsidRPr="00821040">
        <w:t xml:space="preserve"> for bundled products/services with modifications.</w:t>
      </w:r>
    </w:p>
    <w:p w:rsidR="00D01A2F" w:rsidRDefault="00D01A2F" w:rsidP="00E40E80"/>
    <w:p w:rsidR="00D01A2F" w:rsidRPr="00D01A2F" w:rsidRDefault="00D01A2F" w:rsidP="00D01A2F">
      <w:pPr>
        <w:rPr>
          <w:b/>
          <w:bCs/>
        </w:rPr>
      </w:pPr>
      <w:r w:rsidRPr="00D01A2F">
        <w:rPr>
          <w:b/>
          <w:bCs/>
        </w:rPr>
        <w:t>Conclusion</w:t>
      </w:r>
    </w:p>
    <w:p w:rsidR="00D01A2F" w:rsidRDefault="00D01A2F" w:rsidP="00D01A2F">
      <w:r w:rsidRPr="00D01A2F">
        <w:t xml:space="preserve">Apple Inc. remains financially strong despite the revenue decline in 2023. The company maintains solid profitability, efficient cost management, and effective capital allocation strategies through stock buybacks. However, challenges such as macroeconomic factors, exchange rate fluctuations, and rising operational costs require continuous financial monitoring. </w:t>
      </w:r>
      <w:r w:rsidRPr="00D01A2F">
        <w:lastRenderedPageBreak/>
        <w:t>Adapting AI-driven financial analysis can enhance predictive capabilities, ensuring Apple sustains its industry leadership and financial stability.</w:t>
      </w:r>
    </w:p>
    <w:p w:rsidR="0074244A" w:rsidRDefault="0074244A" w:rsidP="00D01A2F"/>
    <w:p w:rsidR="00D01A2F" w:rsidRPr="000768DB" w:rsidRDefault="0074244A" w:rsidP="00E40E80">
      <w:pPr>
        <w:rPr>
          <w:b/>
          <w:bCs/>
        </w:rPr>
      </w:pPr>
      <w:r w:rsidRPr="0074244A">
        <w:rPr>
          <w:b/>
          <w:bCs/>
        </w:rPr>
        <w:t>References</w:t>
      </w:r>
    </w:p>
    <w:p w:rsidR="0074244A" w:rsidRDefault="0074244A" w:rsidP="0074244A">
      <w:r w:rsidRPr="0074244A">
        <w:t xml:space="preserve">Apple Inc. (2021). </w:t>
      </w:r>
      <w:r w:rsidRPr="0074244A">
        <w:rPr>
          <w:i/>
          <w:iCs/>
        </w:rPr>
        <w:t>Annual Report 2021</w:t>
      </w:r>
      <w:r w:rsidRPr="0074244A">
        <w:t xml:space="preserve">. Retrieved from </w:t>
      </w:r>
      <w:hyperlink r:id="rId5" w:tgtFrame="_new" w:history="1">
        <w:r w:rsidRPr="0074244A">
          <w:rPr>
            <w:rStyle w:val="Hyperlink"/>
          </w:rPr>
          <w:t>https://investor.apple.com</w:t>
        </w:r>
      </w:hyperlink>
    </w:p>
    <w:p w:rsidR="0074244A" w:rsidRPr="0074244A" w:rsidRDefault="0074244A" w:rsidP="0074244A">
      <w:r w:rsidRPr="0074244A">
        <w:t xml:space="preserve">Apple Inc. (2022). </w:t>
      </w:r>
      <w:r w:rsidRPr="0074244A">
        <w:rPr>
          <w:i/>
          <w:iCs/>
        </w:rPr>
        <w:t>Annual Report 2022</w:t>
      </w:r>
      <w:r w:rsidRPr="0074244A">
        <w:t xml:space="preserve">. Retrieved from </w:t>
      </w:r>
      <w:hyperlink r:id="rId6" w:tgtFrame="_new" w:history="1">
        <w:r w:rsidRPr="0074244A">
          <w:rPr>
            <w:rStyle w:val="Hyperlink"/>
          </w:rPr>
          <w:t>https://investor.apple.com</w:t>
        </w:r>
      </w:hyperlink>
    </w:p>
    <w:p w:rsidR="0074244A" w:rsidRPr="0074244A" w:rsidRDefault="0074244A" w:rsidP="0074244A">
      <w:r w:rsidRPr="0074244A">
        <w:t xml:space="preserve">Apple Inc. (2023). </w:t>
      </w:r>
      <w:r w:rsidRPr="0074244A">
        <w:rPr>
          <w:i/>
          <w:iCs/>
        </w:rPr>
        <w:t>Annual Report 2023</w:t>
      </w:r>
      <w:r w:rsidRPr="0074244A">
        <w:t xml:space="preserve">. Retrieved from </w:t>
      </w:r>
      <w:hyperlink r:id="rId7" w:tgtFrame="_new" w:history="1">
        <w:r w:rsidRPr="0074244A">
          <w:rPr>
            <w:rStyle w:val="Hyperlink"/>
          </w:rPr>
          <w:t>https://investor.apple.com</w:t>
        </w:r>
      </w:hyperlink>
    </w:p>
    <w:p w:rsidR="0074244A" w:rsidRPr="0074244A" w:rsidRDefault="0074244A" w:rsidP="0074244A">
      <w:r w:rsidRPr="0074244A">
        <w:t xml:space="preserve">Apple Inc. (2021). </w:t>
      </w:r>
      <w:r w:rsidRPr="0074244A">
        <w:rPr>
          <w:i/>
          <w:iCs/>
        </w:rPr>
        <w:t>Form 10-K Annual Report 2021</w:t>
      </w:r>
      <w:r w:rsidRPr="0074244A">
        <w:t xml:space="preserve">. U.S. Securities and Exchange Commission. Retrieved from </w:t>
      </w:r>
      <w:hyperlink r:id="rId8" w:tgtFrame="_new" w:history="1">
        <w:r w:rsidRPr="0074244A">
          <w:rPr>
            <w:rStyle w:val="Hyperlink"/>
          </w:rPr>
          <w:t>https://www.sec.gov/</w:t>
        </w:r>
      </w:hyperlink>
    </w:p>
    <w:p w:rsidR="0074244A" w:rsidRPr="0074244A" w:rsidRDefault="0074244A" w:rsidP="0074244A">
      <w:r w:rsidRPr="0074244A">
        <w:t xml:space="preserve">Apple Inc. (2022). </w:t>
      </w:r>
      <w:r w:rsidRPr="0074244A">
        <w:rPr>
          <w:i/>
          <w:iCs/>
        </w:rPr>
        <w:t>Form 10-K Annual Report 2022</w:t>
      </w:r>
      <w:r w:rsidRPr="0074244A">
        <w:t xml:space="preserve">. U.S. Securities and Exchange Commission. Retrieved from </w:t>
      </w:r>
      <w:hyperlink r:id="rId9" w:tgtFrame="_new" w:history="1">
        <w:r w:rsidRPr="0074244A">
          <w:rPr>
            <w:rStyle w:val="Hyperlink"/>
          </w:rPr>
          <w:t>https://www.sec.gov/</w:t>
        </w:r>
      </w:hyperlink>
    </w:p>
    <w:p w:rsidR="0074244A" w:rsidRPr="0074244A" w:rsidRDefault="0074244A" w:rsidP="0074244A">
      <w:r w:rsidRPr="0074244A">
        <w:t xml:space="preserve">Apple Inc. (2023). </w:t>
      </w:r>
      <w:r w:rsidRPr="0074244A">
        <w:rPr>
          <w:i/>
          <w:iCs/>
        </w:rPr>
        <w:t>Form 10-K Annual Report 2023</w:t>
      </w:r>
      <w:r w:rsidRPr="0074244A">
        <w:t xml:space="preserve">. U.S. Securities and Exchange Commission. Retrieved from </w:t>
      </w:r>
      <w:hyperlink r:id="rId10" w:tgtFrame="_new" w:history="1">
        <w:r w:rsidRPr="0074244A">
          <w:rPr>
            <w:rStyle w:val="Hyperlink"/>
          </w:rPr>
          <w:t>https://www.sec.gov/</w:t>
        </w:r>
      </w:hyperlink>
    </w:p>
    <w:p w:rsidR="0074244A" w:rsidRPr="0074244A" w:rsidRDefault="0074244A" w:rsidP="0074244A">
      <w:r w:rsidRPr="0074244A">
        <w:t xml:space="preserve">Yahoo Finance (2024). </w:t>
      </w:r>
      <w:r w:rsidRPr="0074244A">
        <w:rPr>
          <w:i/>
          <w:iCs/>
        </w:rPr>
        <w:t>Apple Inc. Financial Statements (2021-2023)</w:t>
      </w:r>
      <w:r w:rsidRPr="0074244A">
        <w:t xml:space="preserve">. Retrieved from </w:t>
      </w:r>
      <w:hyperlink r:id="rId11" w:tgtFrame="_new" w:history="1">
        <w:r w:rsidRPr="0074244A">
          <w:rPr>
            <w:rStyle w:val="Hyperlink"/>
          </w:rPr>
          <w:t>https://finance.yahoo.com/</w:t>
        </w:r>
      </w:hyperlink>
    </w:p>
    <w:p w:rsidR="0074244A" w:rsidRPr="0074244A" w:rsidRDefault="0074244A" w:rsidP="0074244A">
      <w:r w:rsidRPr="0074244A">
        <w:t xml:space="preserve">Bloomberg (2024). </w:t>
      </w:r>
      <w:r w:rsidRPr="0074244A">
        <w:rPr>
          <w:i/>
          <w:iCs/>
        </w:rPr>
        <w:t>Apple Inc. Financial Performance Review</w:t>
      </w:r>
      <w:r w:rsidRPr="0074244A">
        <w:t xml:space="preserve">. Retrieved from </w:t>
      </w:r>
      <w:hyperlink r:id="rId12" w:tgtFrame="_new" w:history="1">
        <w:r w:rsidRPr="0074244A">
          <w:rPr>
            <w:rStyle w:val="Hyperlink"/>
          </w:rPr>
          <w:t>https://www.bloomberg.com/</w:t>
        </w:r>
      </w:hyperlink>
    </w:p>
    <w:p w:rsidR="0074244A" w:rsidRPr="0074244A" w:rsidRDefault="0074244A" w:rsidP="0074244A">
      <w:r w:rsidRPr="0074244A">
        <w:t xml:space="preserve">Morningstar (2024). </w:t>
      </w:r>
      <w:r w:rsidRPr="0074244A">
        <w:rPr>
          <w:i/>
          <w:iCs/>
        </w:rPr>
        <w:t>Apple Inc. Key Financial Ratios &amp; Performance Analysis</w:t>
      </w:r>
      <w:r w:rsidRPr="0074244A">
        <w:t xml:space="preserve">. Retrieved from </w:t>
      </w:r>
      <w:hyperlink r:id="rId13" w:tgtFrame="_new" w:history="1">
        <w:r w:rsidRPr="0074244A">
          <w:rPr>
            <w:rStyle w:val="Hyperlink"/>
          </w:rPr>
          <w:t>https://www.morningstar.com/</w:t>
        </w:r>
      </w:hyperlink>
    </w:p>
    <w:p w:rsidR="0074244A" w:rsidRPr="0074244A" w:rsidRDefault="0074244A" w:rsidP="0074244A">
      <w:r w:rsidRPr="0074244A">
        <w:t xml:space="preserve">IFRS Foundation (2023). </w:t>
      </w:r>
      <w:r w:rsidRPr="0074244A">
        <w:rPr>
          <w:i/>
          <w:iCs/>
        </w:rPr>
        <w:t>IFRS Standards for Financial Reporting</w:t>
      </w:r>
      <w:r w:rsidRPr="0074244A">
        <w:t xml:space="preserve">. Retrieved from </w:t>
      </w:r>
      <w:hyperlink r:id="rId14" w:tgtFrame="_new" w:history="1">
        <w:r w:rsidRPr="0074244A">
          <w:rPr>
            <w:rStyle w:val="Hyperlink"/>
          </w:rPr>
          <w:t>https://www.ifrs.org/</w:t>
        </w:r>
      </w:hyperlink>
    </w:p>
    <w:p w:rsidR="0074244A" w:rsidRPr="0074244A" w:rsidRDefault="0074244A" w:rsidP="0074244A">
      <w:r w:rsidRPr="0074244A">
        <w:t xml:space="preserve">Financial Accounting Standards Board (FASB) (2023). </w:t>
      </w:r>
      <w:r w:rsidRPr="0074244A">
        <w:rPr>
          <w:i/>
          <w:iCs/>
        </w:rPr>
        <w:t>U.S. GAAP Overview</w:t>
      </w:r>
      <w:r w:rsidRPr="0074244A">
        <w:t xml:space="preserve">. Retrieved from </w:t>
      </w:r>
      <w:hyperlink r:id="rId15" w:tgtFrame="_new" w:history="1">
        <w:r w:rsidRPr="0074244A">
          <w:rPr>
            <w:rStyle w:val="Hyperlink"/>
          </w:rPr>
          <w:t>https://www.fasb.org/</w:t>
        </w:r>
      </w:hyperlink>
    </w:p>
    <w:p w:rsidR="0074244A" w:rsidRPr="00162811" w:rsidRDefault="0074244A" w:rsidP="00E40E80"/>
    <w:sectPr w:rsidR="0074244A" w:rsidRPr="00162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F7C57"/>
    <w:multiLevelType w:val="multilevel"/>
    <w:tmpl w:val="BB94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84BF4"/>
    <w:multiLevelType w:val="multilevel"/>
    <w:tmpl w:val="37A4DF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94E74"/>
    <w:multiLevelType w:val="multilevel"/>
    <w:tmpl w:val="E882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1611E"/>
    <w:multiLevelType w:val="hybridMultilevel"/>
    <w:tmpl w:val="26002530"/>
    <w:lvl w:ilvl="0" w:tplc="09D68FD0">
      <w:start w:val="1"/>
      <w:numFmt w:val="bullet"/>
      <w:lvlText w:val="•"/>
      <w:lvlJc w:val="left"/>
      <w:pPr>
        <w:tabs>
          <w:tab w:val="num" w:pos="720"/>
        </w:tabs>
        <w:ind w:left="720" w:hanging="360"/>
      </w:pPr>
      <w:rPr>
        <w:rFonts w:ascii="Arial" w:hAnsi="Arial" w:hint="default"/>
      </w:rPr>
    </w:lvl>
    <w:lvl w:ilvl="1" w:tplc="8F648846" w:tentative="1">
      <w:start w:val="1"/>
      <w:numFmt w:val="bullet"/>
      <w:lvlText w:val="•"/>
      <w:lvlJc w:val="left"/>
      <w:pPr>
        <w:tabs>
          <w:tab w:val="num" w:pos="1440"/>
        </w:tabs>
        <w:ind w:left="1440" w:hanging="360"/>
      </w:pPr>
      <w:rPr>
        <w:rFonts w:ascii="Arial" w:hAnsi="Arial" w:hint="default"/>
      </w:rPr>
    </w:lvl>
    <w:lvl w:ilvl="2" w:tplc="6E925FC4" w:tentative="1">
      <w:start w:val="1"/>
      <w:numFmt w:val="bullet"/>
      <w:lvlText w:val="•"/>
      <w:lvlJc w:val="left"/>
      <w:pPr>
        <w:tabs>
          <w:tab w:val="num" w:pos="2160"/>
        </w:tabs>
        <w:ind w:left="2160" w:hanging="360"/>
      </w:pPr>
      <w:rPr>
        <w:rFonts w:ascii="Arial" w:hAnsi="Arial" w:hint="default"/>
      </w:rPr>
    </w:lvl>
    <w:lvl w:ilvl="3" w:tplc="5D5646B8" w:tentative="1">
      <w:start w:val="1"/>
      <w:numFmt w:val="bullet"/>
      <w:lvlText w:val="•"/>
      <w:lvlJc w:val="left"/>
      <w:pPr>
        <w:tabs>
          <w:tab w:val="num" w:pos="2880"/>
        </w:tabs>
        <w:ind w:left="2880" w:hanging="360"/>
      </w:pPr>
      <w:rPr>
        <w:rFonts w:ascii="Arial" w:hAnsi="Arial" w:hint="default"/>
      </w:rPr>
    </w:lvl>
    <w:lvl w:ilvl="4" w:tplc="809A3C96" w:tentative="1">
      <w:start w:val="1"/>
      <w:numFmt w:val="bullet"/>
      <w:lvlText w:val="•"/>
      <w:lvlJc w:val="left"/>
      <w:pPr>
        <w:tabs>
          <w:tab w:val="num" w:pos="3600"/>
        </w:tabs>
        <w:ind w:left="3600" w:hanging="360"/>
      </w:pPr>
      <w:rPr>
        <w:rFonts w:ascii="Arial" w:hAnsi="Arial" w:hint="default"/>
      </w:rPr>
    </w:lvl>
    <w:lvl w:ilvl="5" w:tplc="AACC0758" w:tentative="1">
      <w:start w:val="1"/>
      <w:numFmt w:val="bullet"/>
      <w:lvlText w:val="•"/>
      <w:lvlJc w:val="left"/>
      <w:pPr>
        <w:tabs>
          <w:tab w:val="num" w:pos="4320"/>
        </w:tabs>
        <w:ind w:left="4320" w:hanging="360"/>
      </w:pPr>
      <w:rPr>
        <w:rFonts w:ascii="Arial" w:hAnsi="Arial" w:hint="default"/>
      </w:rPr>
    </w:lvl>
    <w:lvl w:ilvl="6" w:tplc="05249404" w:tentative="1">
      <w:start w:val="1"/>
      <w:numFmt w:val="bullet"/>
      <w:lvlText w:val="•"/>
      <w:lvlJc w:val="left"/>
      <w:pPr>
        <w:tabs>
          <w:tab w:val="num" w:pos="5040"/>
        </w:tabs>
        <w:ind w:left="5040" w:hanging="360"/>
      </w:pPr>
      <w:rPr>
        <w:rFonts w:ascii="Arial" w:hAnsi="Arial" w:hint="default"/>
      </w:rPr>
    </w:lvl>
    <w:lvl w:ilvl="7" w:tplc="FDC65126" w:tentative="1">
      <w:start w:val="1"/>
      <w:numFmt w:val="bullet"/>
      <w:lvlText w:val="•"/>
      <w:lvlJc w:val="left"/>
      <w:pPr>
        <w:tabs>
          <w:tab w:val="num" w:pos="5760"/>
        </w:tabs>
        <w:ind w:left="5760" w:hanging="360"/>
      </w:pPr>
      <w:rPr>
        <w:rFonts w:ascii="Arial" w:hAnsi="Arial" w:hint="default"/>
      </w:rPr>
    </w:lvl>
    <w:lvl w:ilvl="8" w:tplc="7F5A357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CA4B47"/>
    <w:multiLevelType w:val="multilevel"/>
    <w:tmpl w:val="669E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27AE4"/>
    <w:multiLevelType w:val="multilevel"/>
    <w:tmpl w:val="8EEC73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729E9"/>
    <w:multiLevelType w:val="multilevel"/>
    <w:tmpl w:val="1290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07950"/>
    <w:multiLevelType w:val="multilevel"/>
    <w:tmpl w:val="68BE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31B9E"/>
    <w:multiLevelType w:val="hybridMultilevel"/>
    <w:tmpl w:val="FF3A18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13C86"/>
    <w:multiLevelType w:val="multilevel"/>
    <w:tmpl w:val="58FE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C717A"/>
    <w:multiLevelType w:val="multilevel"/>
    <w:tmpl w:val="5728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A727B"/>
    <w:multiLevelType w:val="multilevel"/>
    <w:tmpl w:val="62EE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21614">
    <w:abstractNumId w:val="9"/>
  </w:num>
  <w:num w:numId="2" w16cid:durableId="1921020896">
    <w:abstractNumId w:val="4"/>
  </w:num>
  <w:num w:numId="3" w16cid:durableId="1145395134">
    <w:abstractNumId w:val="7"/>
  </w:num>
  <w:num w:numId="4" w16cid:durableId="486672619">
    <w:abstractNumId w:val="8"/>
  </w:num>
  <w:num w:numId="5" w16cid:durableId="384571901">
    <w:abstractNumId w:val="11"/>
  </w:num>
  <w:num w:numId="6" w16cid:durableId="1280985976">
    <w:abstractNumId w:val="6"/>
  </w:num>
  <w:num w:numId="7" w16cid:durableId="405491410">
    <w:abstractNumId w:val="10"/>
  </w:num>
  <w:num w:numId="8" w16cid:durableId="559051293">
    <w:abstractNumId w:val="2"/>
  </w:num>
  <w:num w:numId="9" w16cid:durableId="118645504">
    <w:abstractNumId w:val="0"/>
  </w:num>
  <w:num w:numId="10" w16cid:durableId="1843423673">
    <w:abstractNumId w:val="5"/>
  </w:num>
  <w:num w:numId="11" w16cid:durableId="1088236593">
    <w:abstractNumId w:val="1"/>
  </w:num>
  <w:num w:numId="12" w16cid:durableId="778841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86"/>
    <w:rsid w:val="00027311"/>
    <w:rsid w:val="00055E29"/>
    <w:rsid w:val="000768DB"/>
    <w:rsid w:val="00162811"/>
    <w:rsid w:val="00196886"/>
    <w:rsid w:val="002B2DEE"/>
    <w:rsid w:val="00430084"/>
    <w:rsid w:val="004A1AA7"/>
    <w:rsid w:val="00575AA3"/>
    <w:rsid w:val="005F3D86"/>
    <w:rsid w:val="00704063"/>
    <w:rsid w:val="00731BD2"/>
    <w:rsid w:val="0074244A"/>
    <w:rsid w:val="007E27BC"/>
    <w:rsid w:val="00821040"/>
    <w:rsid w:val="008B2590"/>
    <w:rsid w:val="009C2B28"/>
    <w:rsid w:val="00A8766C"/>
    <w:rsid w:val="00D01A2F"/>
    <w:rsid w:val="00E40E80"/>
    <w:rsid w:val="00FF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A45C"/>
  <w15:chartTrackingRefBased/>
  <w15:docId w15:val="{B2F4B1FE-BF36-4A30-A835-F9A99AB5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8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68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68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68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68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6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8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68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68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68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68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6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886"/>
    <w:rPr>
      <w:rFonts w:eastAsiaTheme="majorEastAsia" w:cstheme="majorBidi"/>
      <w:color w:val="272727" w:themeColor="text1" w:themeTint="D8"/>
    </w:rPr>
  </w:style>
  <w:style w:type="paragraph" w:styleId="Title">
    <w:name w:val="Title"/>
    <w:basedOn w:val="Normal"/>
    <w:next w:val="Normal"/>
    <w:link w:val="TitleChar"/>
    <w:uiPriority w:val="10"/>
    <w:qFormat/>
    <w:rsid w:val="00196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886"/>
    <w:pPr>
      <w:spacing w:before="160"/>
      <w:jc w:val="center"/>
    </w:pPr>
    <w:rPr>
      <w:i/>
      <w:iCs/>
      <w:color w:val="404040" w:themeColor="text1" w:themeTint="BF"/>
    </w:rPr>
  </w:style>
  <w:style w:type="character" w:customStyle="1" w:styleId="QuoteChar">
    <w:name w:val="Quote Char"/>
    <w:basedOn w:val="DefaultParagraphFont"/>
    <w:link w:val="Quote"/>
    <w:uiPriority w:val="29"/>
    <w:rsid w:val="00196886"/>
    <w:rPr>
      <w:i/>
      <w:iCs/>
      <w:color w:val="404040" w:themeColor="text1" w:themeTint="BF"/>
    </w:rPr>
  </w:style>
  <w:style w:type="paragraph" w:styleId="ListParagraph">
    <w:name w:val="List Paragraph"/>
    <w:basedOn w:val="Normal"/>
    <w:uiPriority w:val="34"/>
    <w:qFormat/>
    <w:rsid w:val="00196886"/>
    <w:pPr>
      <w:ind w:left="720"/>
      <w:contextualSpacing/>
    </w:pPr>
  </w:style>
  <w:style w:type="character" w:styleId="IntenseEmphasis">
    <w:name w:val="Intense Emphasis"/>
    <w:basedOn w:val="DefaultParagraphFont"/>
    <w:uiPriority w:val="21"/>
    <w:qFormat/>
    <w:rsid w:val="00196886"/>
    <w:rPr>
      <w:i/>
      <w:iCs/>
      <w:color w:val="2F5496" w:themeColor="accent1" w:themeShade="BF"/>
    </w:rPr>
  </w:style>
  <w:style w:type="paragraph" w:styleId="IntenseQuote">
    <w:name w:val="Intense Quote"/>
    <w:basedOn w:val="Normal"/>
    <w:next w:val="Normal"/>
    <w:link w:val="IntenseQuoteChar"/>
    <w:uiPriority w:val="30"/>
    <w:qFormat/>
    <w:rsid w:val="001968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6886"/>
    <w:rPr>
      <w:i/>
      <w:iCs/>
      <w:color w:val="2F5496" w:themeColor="accent1" w:themeShade="BF"/>
    </w:rPr>
  </w:style>
  <w:style w:type="character" w:styleId="IntenseReference">
    <w:name w:val="Intense Reference"/>
    <w:basedOn w:val="DefaultParagraphFont"/>
    <w:uiPriority w:val="32"/>
    <w:qFormat/>
    <w:rsid w:val="00196886"/>
    <w:rPr>
      <w:b/>
      <w:bCs/>
      <w:smallCaps/>
      <w:color w:val="2F5496" w:themeColor="accent1" w:themeShade="BF"/>
      <w:spacing w:val="5"/>
    </w:rPr>
  </w:style>
  <w:style w:type="character" w:styleId="Hyperlink">
    <w:name w:val="Hyperlink"/>
    <w:basedOn w:val="DefaultParagraphFont"/>
    <w:uiPriority w:val="99"/>
    <w:unhideWhenUsed/>
    <w:rsid w:val="0074244A"/>
    <w:rPr>
      <w:color w:val="0563C1" w:themeColor="hyperlink"/>
      <w:u w:val="single"/>
    </w:rPr>
  </w:style>
  <w:style w:type="character" w:styleId="UnresolvedMention">
    <w:name w:val="Unresolved Mention"/>
    <w:basedOn w:val="DefaultParagraphFont"/>
    <w:uiPriority w:val="99"/>
    <w:semiHidden/>
    <w:unhideWhenUsed/>
    <w:rsid w:val="00742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1281">
      <w:bodyDiv w:val="1"/>
      <w:marLeft w:val="0"/>
      <w:marRight w:val="0"/>
      <w:marTop w:val="0"/>
      <w:marBottom w:val="0"/>
      <w:divBdr>
        <w:top w:val="none" w:sz="0" w:space="0" w:color="auto"/>
        <w:left w:val="none" w:sz="0" w:space="0" w:color="auto"/>
        <w:bottom w:val="none" w:sz="0" w:space="0" w:color="auto"/>
        <w:right w:val="none" w:sz="0" w:space="0" w:color="auto"/>
      </w:divBdr>
    </w:div>
    <w:div w:id="44569887">
      <w:bodyDiv w:val="1"/>
      <w:marLeft w:val="0"/>
      <w:marRight w:val="0"/>
      <w:marTop w:val="0"/>
      <w:marBottom w:val="0"/>
      <w:divBdr>
        <w:top w:val="none" w:sz="0" w:space="0" w:color="auto"/>
        <w:left w:val="none" w:sz="0" w:space="0" w:color="auto"/>
        <w:bottom w:val="none" w:sz="0" w:space="0" w:color="auto"/>
        <w:right w:val="none" w:sz="0" w:space="0" w:color="auto"/>
      </w:divBdr>
    </w:div>
    <w:div w:id="47193819">
      <w:bodyDiv w:val="1"/>
      <w:marLeft w:val="0"/>
      <w:marRight w:val="0"/>
      <w:marTop w:val="0"/>
      <w:marBottom w:val="0"/>
      <w:divBdr>
        <w:top w:val="none" w:sz="0" w:space="0" w:color="auto"/>
        <w:left w:val="none" w:sz="0" w:space="0" w:color="auto"/>
        <w:bottom w:val="none" w:sz="0" w:space="0" w:color="auto"/>
        <w:right w:val="none" w:sz="0" w:space="0" w:color="auto"/>
      </w:divBdr>
    </w:div>
    <w:div w:id="67583130">
      <w:bodyDiv w:val="1"/>
      <w:marLeft w:val="0"/>
      <w:marRight w:val="0"/>
      <w:marTop w:val="0"/>
      <w:marBottom w:val="0"/>
      <w:divBdr>
        <w:top w:val="none" w:sz="0" w:space="0" w:color="auto"/>
        <w:left w:val="none" w:sz="0" w:space="0" w:color="auto"/>
        <w:bottom w:val="none" w:sz="0" w:space="0" w:color="auto"/>
        <w:right w:val="none" w:sz="0" w:space="0" w:color="auto"/>
      </w:divBdr>
    </w:div>
    <w:div w:id="79986376">
      <w:bodyDiv w:val="1"/>
      <w:marLeft w:val="0"/>
      <w:marRight w:val="0"/>
      <w:marTop w:val="0"/>
      <w:marBottom w:val="0"/>
      <w:divBdr>
        <w:top w:val="none" w:sz="0" w:space="0" w:color="auto"/>
        <w:left w:val="none" w:sz="0" w:space="0" w:color="auto"/>
        <w:bottom w:val="none" w:sz="0" w:space="0" w:color="auto"/>
        <w:right w:val="none" w:sz="0" w:space="0" w:color="auto"/>
      </w:divBdr>
    </w:div>
    <w:div w:id="89278540">
      <w:bodyDiv w:val="1"/>
      <w:marLeft w:val="0"/>
      <w:marRight w:val="0"/>
      <w:marTop w:val="0"/>
      <w:marBottom w:val="0"/>
      <w:divBdr>
        <w:top w:val="none" w:sz="0" w:space="0" w:color="auto"/>
        <w:left w:val="none" w:sz="0" w:space="0" w:color="auto"/>
        <w:bottom w:val="none" w:sz="0" w:space="0" w:color="auto"/>
        <w:right w:val="none" w:sz="0" w:space="0" w:color="auto"/>
      </w:divBdr>
    </w:div>
    <w:div w:id="90128382">
      <w:bodyDiv w:val="1"/>
      <w:marLeft w:val="0"/>
      <w:marRight w:val="0"/>
      <w:marTop w:val="0"/>
      <w:marBottom w:val="0"/>
      <w:divBdr>
        <w:top w:val="none" w:sz="0" w:space="0" w:color="auto"/>
        <w:left w:val="none" w:sz="0" w:space="0" w:color="auto"/>
        <w:bottom w:val="none" w:sz="0" w:space="0" w:color="auto"/>
        <w:right w:val="none" w:sz="0" w:space="0" w:color="auto"/>
      </w:divBdr>
    </w:div>
    <w:div w:id="128131927">
      <w:bodyDiv w:val="1"/>
      <w:marLeft w:val="0"/>
      <w:marRight w:val="0"/>
      <w:marTop w:val="0"/>
      <w:marBottom w:val="0"/>
      <w:divBdr>
        <w:top w:val="none" w:sz="0" w:space="0" w:color="auto"/>
        <w:left w:val="none" w:sz="0" w:space="0" w:color="auto"/>
        <w:bottom w:val="none" w:sz="0" w:space="0" w:color="auto"/>
        <w:right w:val="none" w:sz="0" w:space="0" w:color="auto"/>
      </w:divBdr>
    </w:div>
    <w:div w:id="130443049">
      <w:bodyDiv w:val="1"/>
      <w:marLeft w:val="0"/>
      <w:marRight w:val="0"/>
      <w:marTop w:val="0"/>
      <w:marBottom w:val="0"/>
      <w:divBdr>
        <w:top w:val="none" w:sz="0" w:space="0" w:color="auto"/>
        <w:left w:val="none" w:sz="0" w:space="0" w:color="auto"/>
        <w:bottom w:val="none" w:sz="0" w:space="0" w:color="auto"/>
        <w:right w:val="none" w:sz="0" w:space="0" w:color="auto"/>
      </w:divBdr>
    </w:div>
    <w:div w:id="144318513">
      <w:bodyDiv w:val="1"/>
      <w:marLeft w:val="0"/>
      <w:marRight w:val="0"/>
      <w:marTop w:val="0"/>
      <w:marBottom w:val="0"/>
      <w:divBdr>
        <w:top w:val="none" w:sz="0" w:space="0" w:color="auto"/>
        <w:left w:val="none" w:sz="0" w:space="0" w:color="auto"/>
        <w:bottom w:val="none" w:sz="0" w:space="0" w:color="auto"/>
        <w:right w:val="none" w:sz="0" w:space="0" w:color="auto"/>
      </w:divBdr>
    </w:div>
    <w:div w:id="147210435">
      <w:bodyDiv w:val="1"/>
      <w:marLeft w:val="0"/>
      <w:marRight w:val="0"/>
      <w:marTop w:val="0"/>
      <w:marBottom w:val="0"/>
      <w:divBdr>
        <w:top w:val="none" w:sz="0" w:space="0" w:color="auto"/>
        <w:left w:val="none" w:sz="0" w:space="0" w:color="auto"/>
        <w:bottom w:val="none" w:sz="0" w:space="0" w:color="auto"/>
        <w:right w:val="none" w:sz="0" w:space="0" w:color="auto"/>
      </w:divBdr>
    </w:div>
    <w:div w:id="166603837">
      <w:bodyDiv w:val="1"/>
      <w:marLeft w:val="0"/>
      <w:marRight w:val="0"/>
      <w:marTop w:val="0"/>
      <w:marBottom w:val="0"/>
      <w:divBdr>
        <w:top w:val="none" w:sz="0" w:space="0" w:color="auto"/>
        <w:left w:val="none" w:sz="0" w:space="0" w:color="auto"/>
        <w:bottom w:val="none" w:sz="0" w:space="0" w:color="auto"/>
        <w:right w:val="none" w:sz="0" w:space="0" w:color="auto"/>
      </w:divBdr>
    </w:div>
    <w:div w:id="178935925">
      <w:bodyDiv w:val="1"/>
      <w:marLeft w:val="0"/>
      <w:marRight w:val="0"/>
      <w:marTop w:val="0"/>
      <w:marBottom w:val="0"/>
      <w:divBdr>
        <w:top w:val="none" w:sz="0" w:space="0" w:color="auto"/>
        <w:left w:val="none" w:sz="0" w:space="0" w:color="auto"/>
        <w:bottom w:val="none" w:sz="0" w:space="0" w:color="auto"/>
        <w:right w:val="none" w:sz="0" w:space="0" w:color="auto"/>
      </w:divBdr>
    </w:div>
    <w:div w:id="274949549">
      <w:bodyDiv w:val="1"/>
      <w:marLeft w:val="0"/>
      <w:marRight w:val="0"/>
      <w:marTop w:val="0"/>
      <w:marBottom w:val="0"/>
      <w:divBdr>
        <w:top w:val="none" w:sz="0" w:space="0" w:color="auto"/>
        <w:left w:val="none" w:sz="0" w:space="0" w:color="auto"/>
        <w:bottom w:val="none" w:sz="0" w:space="0" w:color="auto"/>
        <w:right w:val="none" w:sz="0" w:space="0" w:color="auto"/>
      </w:divBdr>
    </w:div>
    <w:div w:id="279533857">
      <w:bodyDiv w:val="1"/>
      <w:marLeft w:val="0"/>
      <w:marRight w:val="0"/>
      <w:marTop w:val="0"/>
      <w:marBottom w:val="0"/>
      <w:divBdr>
        <w:top w:val="none" w:sz="0" w:space="0" w:color="auto"/>
        <w:left w:val="none" w:sz="0" w:space="0" w:color="auto"/>
        <w:bottom w:val="none" w:sz="0" w:space="0" w:color="auto"/>
        <w:right w:val="none" w:sz="0" w:space="0" w:color="auto"/>
      </w:divBdr>
    </w:div>
    <w:div w:id="331567723">
      <w:bodyDiv w:val="1"/>
      <w:marLeft w:val="0"/>
      <w:marRight w:val="0"/>
      <w:marTop w:val="0"/>
      <w:marBottom w:val="0"/>
      <w:divBdr>
        <w:top w:val="none" w:sz="0" w:space="0" w:color="auto"/>
        <w:left w:val="none" w:sz="0" w:space="0" w:color="auto"/>
        <w:bottom w:val="none" w:sz="0" w:space="0" w:color="auto"/>
        <w:right w:val="none" w:sz="0" w:space="0" w:color="auto"/>
      </w:divBdr>
    </w:div>
    <w:div w:id="356925761">
      <w:bodyDiv w:val="1"/>
      <w:marLeft w:val="0"/>
      <w:marRight w:val="0"/>
      <w:marTop w:val="0"/>
      <w:marBottom w:val="0"/>
      <w:divBdr>
        <w:top w:val="none" w:sz="0" w:space="0" w:color="auto"/>
        <w:left w:val="none" w:sz="0" w:space="0" w:color="auto"/>
        <w:bottom w:val="none" w:sz="0" w:space="0" w:color="auto"/>
        <w:right w:val="none" w:sz="0" w:space="0" w:color="auto"/>
      </w:divBdr>
    </w:div>
    <w:div w:id="381750280">
      <w:bodyDiv w:val="1"/>
      <w:marLeft w:val="0"/>
      <w:marRight w:val="0"/>
      <w:marTop w:val="0"/>
      <w:marBottom w:val="0"/>
      <w:divBdr>
        <w:top w:val="none" w:sz="0" w:space="0" w:color="auto"/>
        <w:left w:val="none" w:sz="0" w:space="0" w:color="auto"/>
        <w:bottom w:val="none" w:sz="0" w:space="0" w:color="auto"/>
        <w:right w:val="none" w:sz="0" w:space="0" w:color="auto"/>
      </w:divBdr>
    </w:div>
    <w:div w:id="452677784">
      <w:bodyDiv w:val="1"/>
      <w:marLeft w:val="0"/>
      <w:marRight w:val="0"/>
      <w:marTop w:val="0"/>
      <w:marBottom w:val="0"/>
      <w:divBdr>
        <w:top w:val="none" w:sz="0" w:space="0" w:color="auto"/>
        <w:left w:val="none" w:sz="0" w:space="0" w:color="auto"/>
        <w:bottom w:val="none" w:sz="0" w:space="0" w:color="auto"/>
        <w:right w:val="none" w:sz="0" w:space="0" w:color="auto"/>
      </w:divBdr>
    </w:div>
    <w:div w:id="470056366">
      <w:bodyDiv w:val="1"/>
      <w:marLeft w:val="0"/>
      <w:marRight w:val="0"/>
      <w:marTop w:val="0"/>
      <w:marBottom w:val="0"/>
      <w:divBdr>
        <w:top w:val="none" w:sz="0" w:space="0" w:color="auto"/>
        <w:left w:val="none" w:sz="0" w:space="0" w:color="auto"/>
        <w:bottom w:val="none" w:sz="0" w:space="0" w:color="auto"/>
        <w:right w:val="none" w:sz="0" w:space="0" w:color="auto"/>
      </w:divBdr>
    </w:div>
    <w:div w:id="482354587">
      <w:bodyDiv w:val="1"/>
      <w:marLeft w:val="0"/>
      <w:marRight w:val="0"/>
      <w:marTop w:val="0"/>
      <w:marBottom w:val="0"/>
      <w:divBdr>
        <w:top w:val="none" w:sz="0" w:space="0" w:color="auto"/>
        <w:left w:val="none" w:sz="0" w:space="0" w:color="auto"/>
        <w:bottom w:val="none" w:sz="0" w:space="0" w:color="auto"/>
        <w:right w:val="none" w:sz="0" w:space="0" w:color="auto"/>
      </w:divBdr>
    </w:div>
    <w:div w:id="509485702">
      <w:bodyDiv w:val="1"/>
      <w:marLeft w:val="0"/>
      <w:marRight w:val="0"/>
      <w:marTop w:val="0"/>
      <w:marBottom w:val="0"/>
      <w:divBdr>
        <w:top w:val="none" w:sz="0" w:space="0" w:color="auto"/>
        <w:left w:val="none" w:sz="0" w:space="0" w:color="auto"/>
        <w:bottom w:val="none" w:sz="0" w:space="0" w:color="auto"/>
        <w:right w:val="none" w:sz="0" w:space="0" w:color="auto"/>
      </w:divBdr>
    </w:div>
    <w:div w:id="536625207">
      <w:bodyDiv w:val="1"/>
      <w:marLeft w:val="0"/>
      <w:marRight w:val="0"/>
      <w:marTop w:val="0"/>
      <w:marBottom w:val="0"/>
      <w:divBdr>
        <w:top w:val="none" w:sz="0" w:space="0" w:color="auto"/>
        <w:left w:val="none" w:sz="0" w:space="0" w:color="auto"/>
        <w:bottom w:val="none" w:sz="0" w:space="0" w:color="auto"/>
        <w:right w:val="none" w:sz="0" w:space="0" w:color="auto"/>
      </w:divBdr>
    </w:div>
    <w:div w:id="562257427">
      <w:bodyDiv w:val="1"/>
      <w:marLeft w:val="0"/>
      <w:marRight w:val="0"/>
      <w:marTop w:val="0"/>
      <w:marBottom w:val="0"/>
      <w:divBdr>
        <w:top w:val="none" w:sz="0" w:space="0" w:color="auto"/>
        <w:left w:val="none" w:sz="0" w:space="0" w:color="auto"/>
        <w:bottom w:val="none" w:sz="0" w:space="0" w:color="auto"/>
        <w:right w:val="none" w:sz="0" w:space="0" w:color="auto"/>
      </w:divBdr>
    </w:div>
    <w:div w:id="565844961">
      <w:bodyDiv w:val="1"/>
      <w:marLeft w:val="0"/>
      <w:marRight w:val="0"/>
      <w:marTop w:val="0"/>
      <w:marBottom w:val="0"/>
      <w:divBdr>
        <w:top w:val="none" w:sz="0" w:space="0" w:color="auto"/>
        <w:left w:val="none" w:sz="0" w:space="0" w:color="auto"/>
        <w:bottom w:val="none" w:sz="0" w:space="0" w:color="auto"/>
        <w:right w:val="none" w:sz="0" w:space="0" w:color="auto"/>
      </w:divBdr>
    </w:div>
    <w:div w:id="595140723">
      <w:bodyDiv w:val="1"/>
      <w:marLeft w:val="0"/>
      <w:marRight w:val="0"/>
      <w:marTop w:val="0"/>
      <w:marBottom w:val="0"/>
      <w:divBdr>
        <w:top w:val="none" w:sz="0" w:space="0" w:color="auto"/>
        <w:left w:val="none" w:sz="0" w:space="0" w:color="auto"/>
        <w:bottom w:val="none" w:sz="0" w:space="0" w:color="auto"/>
        <w:right w:val="none" w:sz="0" w:space="0" w:color="auto"/>
      </w:divBdr>
    </w:div>
    <w:div w:id="607203327">
      <w:bodyDiv w:val="1"/>
      <w:marLeft w:val="0"/>
      <w:marRight w:val="0"/>
      <w:marTop w:val="0"/>
      <w:marBottom w:val="0"/>
      <w:divBdr>
        <w:top w:val="none" w:sz="0" w:space="0" w:color="auto"/>
        <w:left w:val="none" w:sz="0" w:space="0" w:color="auto"/>
        <w:bottom w:val="none" w:sz="0" w:space="0" w:color="auto"/>
        <w:right w:val="none" w:sz="0" w:space="0" w:color="auto"/>
      </w:divBdr>
    </w:div>
    <w:div w:id="652828980">
      <w:bodyDiv w:val="1"/>
      <w:marLeft w:val="0"/>
      <w:marRight w:val="0"/>
      <w:marTop w:val="0"/>
      <w:marBottom w:val="0"/>
      <w:divBdr>
        <w:top w:val="none" w:sz="0" w:space="0" w:color="auto"/>
        <w:left w:val="none" w:sz="0" w:space="0" w:color="auto"/>
        <w:bottom w:val="none" w:sz="0" w:space="0" w:color="auto"/>
        <w:right w:val="none" w:sz="0" w:space="0" w:color="auto"/>
      </w:divBdr>
    </w:div>
    <w:div w:id="665593412">
      <w:bodyDiv w:val="1"/>
      <w:marLeft w:val="0"/>
      <w:marRight w:val="0"/>
      <w:marTop w:val="0"/>
      <w:marBottom w:val="0"/>
      <w:divBdr>
        <w:top w:val="none" w:sz="0" w:space="0" w:color="auto"/>
        <w:left w:val="none" w:sz="0" w:space="0" w:color="auto"/>
        <w:bottom w:val="none" w:sz="0" w:space="0" w:color="auto"/>
        <w:right w:val="none" w:sz="0" w:space="0" w:color="auto"/>
      </w:divBdr>
    </w:div>
    <w:div w:id="679351832">
      <w:bodyDiv w:val="1"/>
      <w:marLeft w:val="0"/>
      <w:marRight w:val="0"/>
      <w:marTop w:val="0"/>
      <w:marBottom w:val="0"/>
      <w:divBdr>
        <w:top w:val="none" w:sz="0" w:space="0" w:color="auto"/>
        <w:left w:val="none" w:sz="0" w:space="0" w:color="auto"/>
        <w:bottom w:val="none" w:sz="0" w:space="0" w:color="auto"/>
        <w:right w:val="none" w:sz="0" w:space="0" w:color="auto"/>
      </w:divBdr>
    </w:div>
    <w:div w:id="686448453">
      <w:bodyDiv w:val="1"/>
      <w:marLeft w:val="0"/>
      <w:marRight w:val="0"/>
      <w:marTop w:val="0"/>
      <w:marBottom w:val="0"/>
      <w:divBdr>
        <w:top w:val="none" w:sz="0" w:space="0" w:color="auto"/>
        <w:left w:val="none" w:sz="0" w:space="0" w:color="auto"/>
        <w:bottom w:val="none" w:sz="0" w:space="0" w:color="auto"/>
        <w:right w:val="none" w:sz="0" w:space="0" w:color="auto"/>
      </w:divBdr>
    </w:div>
    <w:div w:id="691614344">
      <w:bodyDiv w:val="1"/>
      <w:marLeft w:val="0"/>
      <w:marRight w:val="0"/>
      <w:marTop w:val="0"/>
      <w:marBottom w:val="0"/>
      <w:divBdr>
        <w:top w:val="none" w:sz="0" w:space="0" w:color="auto"/>
        <w:left w:val="none" w:sz="0" w:space="0" w:color="auto"/>
        <w:bottom w:val="none" w:sz="0" w:space="0" w:color="auto"/>
        <w:right w:val="none" w:sz="0" w:space="0" w:color="auto"/>
      </w:divBdr>
    </w:div>
    <w:div w:id="720712763">
      <w:bodyDiv w:val="1"/>
      <w:marLeft w:val="0"/>
      <w:marRight w:val="0"/>
      <w:marTop w:val="0"/>
      <w:marBottom w:val="0"/>
      <w:divBdr>
        <w:top w:val="none" w:sz="0" w:space="0" w:color="auto"/>
        <w:left w:val="none" w:sz="0" w:space="0" w:color="auto"/>
        <w:bottom w:val="none" w:sz="0" w:space="0" w:color="auto"/>
        <w:right w:val="none" w:sz="0" w:space="0" w:color="auto"/>
      </w:divBdr>
    </w:div>
    <w:div w:id="732316607">
      <w:bodyDiv w:val="1"/>
      <w:marLeft w:val="0"/>
      <w:marRight w:val="0"/>
      <w:marTop w:val="0"/>
      <w:marBottom w:val="0"/>
      <w:divBdr>
        <w:top w:val="none" w:sz="0" w:space="0" w:color="auto"/>
        <w:left w:val="none" w:sz="0" w:space="0" w:color="auto"/>
        <w:bottom w:val="none" w:sz="0" w:space="0" w:color="auto"/>
        <w:right w:val="none" w:sz="0" w:space="0" w:color="auto"/>
      </w:divBdr>
    </w:div>
    <w:div w:id="738939403">
      <w:bodyDiv w:val="1"/>
      <w:marLeft w:val="0"/>
      <w:marRight w:val="0"/>
      <w:marTop w:val="0"/>
      <w:marBottom w:val="0"/>
      <w:divBdr>
        <w:top w:val="none" w:sz="0" w:space="0" w:color="auto"/>
        <w:left w:val="none" w:sz="0" w:space="0" w:color="auto"/>
        <w:bottom w:val="none" w:sz="0" w:space="0" w:color="auto"/>
        <w:right w:val="none" w:sz="0" w:space="0" w:color="auto"/>
      </w:divBdr>
    </w:div>
    <w:div w:id="750812280">
      <w:bodyDiv w:val="1"/>
      <w:marLeft w:val="0"/>
      <w:marRight w:val="0"/>
      <w:marTop w:val="0"/>
      <w:marBottom w:val="0"/>
      <w:divBdr>
        <w:top w:val="none" w:sz="0" w:space="0" w:color="auto"/>
        <w:left w:val="none" w:sz="0" w:space="0" w:color="auto"/>
        <w:bottom w:val="none" w:sz="0" w:space="0" w:color="auto"/>
        <w:right w:val="none" w:sz="0" w:space="0" w:color="auto"/>
      </w:divBdr>
    </w:div>
    <w:div w:id="752359015">
      <w:bodyDiv w:val="1"/>
      <w:marLeft w:val="0"/>
      <w:marRight w:val="0"/>
      <w:marTop w:val="0"/>
      <w:marBottom w:val="0"/>
      <w:divBdr>
        <w:top w:val="none" w:sz="0" w:space="0" w:color="auto"/>
        <w:left w:val="none" w:sz="0" w:space="0" w:color="auto"/>
        <w:bottom w:val="none" w:sz="0" w:space="0" w:color="auto"/>
        <w:right w:val="none" w:sz="0" w:space="0" w:color="auto"/>
      </w:divBdr>
    </w:div>
    <w:div w:id="832570078">
      <w:bodyDiv w:val="1"/>
      <w:marLeft w:val="0"/>
      <w:marRight w:val="0"/>
      <w:marTop w:val="0"/>
      <w:marBottom w:val="0"/>
      <w:divBdr>
        <w:top w:val="none" w:sz="0" w:space="0" w:color="auto"/>
        <w:left w:val="none" w:sz="0" w:space="0" w:color="auto"/>
        <w:bottom w:val="none" w:sz="0" w:space="0" w:color="auto"/>
        <w:right w:val="none" w:sz="0" w:space="0" w:color="auto"/>
      </w:divBdr>
    </w:div>
    <w:div w:id="896470737">
      <w:bodyDiv w:val="1"/>
      <w:marLeft w:val="0"/>
      <w:marRight w:val="0"/>
      <w:marTop w:val="0"/>
      <w:marBottom w:val="0"/>
      <w:divBdr>
        <w:top w:val="none" w:sz="0" w:space="0" w:color="auto"/>
        <w:left w:val="none" w:sz="0" w:space="0" w:color="auto"/>
        <w:bottom w:val="none" w:sz="0" w:space="0" w:color="auto"/>
        <w:right w:val="none" w:sz="0" w:space="0" w:color="auto"/>
      </w:divBdr>
    </w:div>
    <w:div w:id="906181805">
      <w:bodyDiv w:val="1"/>
      <w:marLeft w:val="0"/>
      <w:marRight w:val="0"/>
      <w:marTop w:val="0"/>
      <w:marBottom w:val="0"/>
      <w:divBdr>
        <w:top w:val="none" w:sz="0" w:space="0" w:color="auto"/>
        <w:left w:val="none" w:sz="0" w:space="0" w:color="auto"/>
        <w:bottom w:val="none" w:sz="0" w:space="0" w:color="auto"/>
        <w:right w:val="none" w:sz="0" w:space="0" w:color="auto"/>
      </w:divBdr>
    </w:div>
    <w:div w:id="909851492">
      <w:bodyDiv w:val="1"/>
      <w:marLeft w:val="0"/>
      <w:marRight w:val="0"/>
      <w:marTop w:val="0"/>
      <w:marBottom w:val="0"/>
      <w:divBdr>
        <w:top w:val="none" w:sz="0" w:space="0" w:color="auto"/>
        <w:left w:val="none" w:sz="0" w:space="0" w:color="auto"/>
        <w:bottom w:val="none" w:sz="0" w:space="0" w:color="auto"/>
        <w:right w:val="none" w:sz="0" w:space="0" w:color="auto"/>
      </w:divBdr>
    </w:div>
    <w:div w:id="997925893">
      <w:bodyDiv w:val="1"/>
      <w:marLeft w:val="0"/>
      <w:marRight w:val="0"/>
      <w:marTop w:val="0"/>
      <w:marBottom w:val="0"/>
      <w:divBdr>
        <w:top w:val="none" w:sz="0" w:space="0" w:color="auto"/>
        <w:left w:val="none" w:sz="0" w:space="0" w:color="auto"/>
        <w:bottom w:val="none" w:sz="0" w:space="0" w:color="auto"/>
        <w:right w:val="none" w:sz="0" w:space="0" w:color="auto"/>
      </w:divBdr>
    </w:div>
    <w:div w:id="1018774640">
      <w:bodyDiv w:val="1"/>
      <w:marLeft w:val="0"/>
      <w:marRight w:val="0"/>
      <w:marTop w:val="0"/>
      <w:marBottom w:val="0"/>
      <w:divBdr>
        <w:top w:val="none" w:sz="0" w:space="0" w:color="auto"/>
        <w:left w:val="none" w:sz="0" w:space="0" w:color="auto"/>
        <w:bottom w:val="none" w:sz="0" w:space="0" w:color="auto"/>
        <w:right w:val="none" w:sz="0" w:space="0" w:color="auto"/>
      </w:divBdr>
    </w:div>
    <w:div w:id="1068304987">
      <w:bodyDiv w:val="1"/>
      <w:marLeft w:val="0"/>
      <w:marRight w:val="0"/>
      <w:marTop w:val="0"/>
      <w:marBottom w:val="0"/>
      <w:divBdr>
        <w:top w:val="none" w:sz="0" w:space="0" w:color="auto"/>
        <w:left w:val="none" w:sz="0" w:space="0" w:color="auto"/>
        <w:bottom w:val="none" w:sz="0" w:space="0" w:color="auto"/>
        <w:right w:val="none" w:sz="0" w:space="0" w:color="auto"/>
      </w:divBdr>
    </w:div>
    <w:div w:id="1196117007">
      <w:bodyDiv w:val="1"/>
      <w:marLeft w:val="0"/>
      <w:marRight w:val="0"/>
      <w:marTop w:val="0"/>
      <w:marBottom w:val="0"/>
      <w:divBdr>
        <w:top w:val="none" w:sz="0" w:space="0" w:color="auto"/>
        <w:left w:val="none" w:sz="0" w:space="0" w:color="auto"/>
        <w:bottom w:val="none" w:sz="0" w:space="0" w:color="auto"/>
        <w:right w:val="none" w:sz="0" w:space="0" w:color="auto"/>
      </w:divBdr>
    </w:div>
    <w:div w:id="1223515527">
      <w:bodyDiv w:val="1"/>
      <w:marLeft w:val="0"/>
      <w:marRight w:val="0"/>
      <w:marTop w:val="0"/>
      <w:marBottom w:val="0"/>
      <w:divBdr>
        <w:top w:val="none" w:sz="0" w:space="0" w:color="auto"/>
        <w:left w:val="none" w:sz="0" w:space="0" w:color="auto"/>
        <w:bottom w:val="none" w:sz="0" w:space="0" w:color="auto"/>
        <w:right w:val="none" w:sz="0" w:space="0" w:color="auto"/>
      </w:divBdr>
    </w:div>
    <w:div w:id="1244291970">
      <w:bodyDiv w:val="1"/>
      <w:marLeft w:val="0"/>
      <w:marRight w:val="0"/>
      <w:marTop w:val="0"/>
      <w:marBottom w:val="0"/>
      <w:divBdr>
        <w:top w:val="none" w:sz="0" w:space="0" w:color="auto"/>
        <w:left w:val="none" w:sz="0" w:space="0" w:color="auto"/>
        <w:bottom w:val="none" w:sz="0" w:space="0" w:color="auto"/>
        <w:right w:val="none" w:sz="0" w:space="0" w:color="auto"/>
      </w:divBdr>
    </w:div>
    <w:div w:id="1258750085">
      <w:bodyDiv w:val="1"/>
      <w:marLeft w:val="0"/>
      <w:marRight w:val="0"/>
      <w:marTop w:val="0"/>
      <w:marBottom w:val="0"/>
      <w:divBdr>
        <w:top w:val="none" w:sz="0" w:space="0" w:color="auto"/>
        <w:left w:val="none" w:sz="0" w:space="0" w:color="auto"/>
        <w:bottom w:val="none" w:sz="0" w:space="0" w:color="auto"/>
        <w:right w:val="none" w:sz="0" w:space="0" w:color="auto"/>
      </w:divBdr>
    </w:div>
    <w:div w:id="1312100528">
      <w:bodyDiv w:val="1"/>
      <w:marLeft w:val="0"/>
      <w:marRight w:val="0"/>
      <w:marTop w:val="0"/>
      <w:marBottom w:val="0"/>
      <w:divBdr>
        <w:top w:val="none" w:sz="0" w:space="0" w:color="auto"/>
        <w:left w:val="none" w:sz="0" w:space="0" w:color="auto"/>
        <w:bottom w:val="none" w:sz="0" w:space="0" w:color="auto"/>
        <w:right w:val="none" w:sz="0" w:space="0" w:color="auto"/>
      </w:divBdr>
    </w:div>
    <w:div w:id="1338115636">
      <w:bodyDiv w:val="1"/>
      <w:marLeft w:val="0"/>
      <w:marRight w:val="0"/>
      <w:marTop w:val="0"/>
      <w:marBottom w:val="0"/>
      <w:divBdr>
        <w:top w:val="none" w:sz="0" w:space="0" w:color="auto"/>
        <w:left w:val="none" w:sz="0" w:space="0" w:color="auto"/>
        <w:bottom w:val="none" w:sz="0" w:space="0" w:color="auto"/>
        <w:right w:val="none" w:sz="0" w:space="0" w:color="auto"/>
      </w:divBdr>
    </w:div>
    <w:div w:id="1384676023">
      <w:bodyDiv w:val="1"/>
      <w:marLeft w:val="0"/>
      <w:marRight w:val="0"/>
      <w:marTop w:val="0"/>
      <w:marBottom w:val="0"/>
      <w:divBdr>
        <w:top w:val="none" w:sz="0" w:space="0" w:color="auto"/>
        <w:left w:val="none" w:sz="0" w:space="0" w:color="auto"/>
        <w:bottom w:val="none" w:sz="0" w:space="0" w:color="auto"/>
        <w:right w:val="none" w:sz="0" w:space="0" w:color="auto"/>
      </w:divBdr>
    </w:div>
    <w:div w:id="1428428521">
      <w:bodyDiv w:val="1"/>
      <w:marLeft w:val="0"/>
      <w:marRight w:val="0"/>
      <w:marTop w:val="0"/>
      <w:marBottom w:val="0"/>
      <w:divBdr>
        <w:top w:val="none" w:sz="0" w:space="0" w:color="auto"/>
        <w:left w:val="none" w:sz="0" w:space="0" w:color="auto"/>
        <w:bottom w:val="none" w:sz="0" w:space="0" w:color="auto"/>
        <w:right w:val="none" w:sz="0" w:space="0" w:color="auto"/>
      </w:divBdr>
    </w:div>
    <w:div w:id="1485857374">
      <w:bodyDiv w:val="1"/>
      <w:marLeft w:val="0"/>
      <w:marRight w:val="0"/>
      <w:marTop w:val="0"/>
      <w:marBottom w:val="0"/>
      <w:divBdr>
        <w:top w:val="none" w:sz="0" w:space="0" w:color="auto"/>
        <w:left w:val="none" w:sz="0" w:space="0" w:color="auto"/>
        <w:bottom w:val="none" w:sz="0" w:space="0" w:color="auto"/>
        <w:right w:val="none" w:sz="0" w:space="0" w:color="auto"/>
      </w:divBdr>
    </w:div>
    <w:div w:id="1521116474">
      <w:bodyDiv w:val="1"/>
      <w:marLeft w:val="0"/>
      <w:marRight w:val="0"/>
      <w:marTop w:val="0"/>
      <w:marBottom w:val="0"/>
      <w:divBdr>
        <w:top w:val="none" w:sz="0" w:space="0" w:color="auto"/>
        <w:left w:val="none" w:sz="0" w:space="0" w:color="auto"/>
        <w:bottom w:val="none" w:sz="0" w:space="0" w:color="auto"/>
        <w:right w:val="none" w:sz="0" w:space="0" w:color="auto"/>
      </w:divBdr>
    </w:div>
    <w:div w:id="1550221028">
      <w:bodyDiv w:val="1"/>
      <w:marLeft w:val="0"/>
      <w:marRight w:val="0"/>
      <w:marTop w:val="0"/>
      <w:marBottom w:val="0"/>
      <w:divBdr>
        <w:top w:val="none" w:sz="0" w:space="0" w:color="auto"/>
        <w:left w:val="none" w:sz="0" w:space="0" w:color="auto"/>
        <w:bottom w:val="none" w:sz="0" w:space="0" w:color="auto"/>
        <w:right w:val="none" w:sz="0" w:space="0" w:color="auto"/>
      </w:divBdr>
    </w:div>
    <w:div w:id="1582838478">
      <w:bodyDiv w:val="1"/>
      <w:marLeft w:val="0"/>
      <w:marRight w:val="0"/>
      <w:marTop w:val="0"/>
      <w:marBottom w:val="0"/>
      <w:divBdr>
        <w:top w:val="none" w:sz="0" w:space="0" w:color="auto"/>
        <w:left w:val="none" w:sz="0" w:space="0" w:color="auto"/>
        <w:bottom w:val="none" w:sz="0" w:space="0" w:color="auto"/>
        <w:right w:val="none" w:sz="0" w:space="0" w:color="auto"/>
      </w:divBdr>
    </w:div>
    <w:div w:id="1634019952">
      <w:bodyDiv w:val="1"/>
      <w:marLeft w:val="0"/>
      <w:marRight w:val="0"/>
      <w:marTop w:val="0"/>
      <w:marBottom w:val="0"/>
      <w:divBdr>
        <w:top w:val="none" w:sz="0" w:space="0" w:color="auto"/>
        <w:left w:val="none" w:sz="0" w:space="0" w:color="auto"/>
        <w:bottom w:val="none" w:sz="0" w:space="0" w:color="auto"/>
        <w:right w:val="none" w:sz="0" w:space="0" w:color="auto"/>
      </w:divBdr>
    </w:div>
    <w:div w:id="1658605933">
      <w:bodyDiv w:val="1"/>
      <w:marLeft w:val="0"/>
      <w:marRight w:val="0"/>
      <w:marTop w:val="0"/>
      <w:marBottom w:val="0"/>
      <w:divBdr>
        <w:top w:val="none" w:sz="0" w:space="0" w:color="auto"/>
        <w:left w:val="none" w:sz="0" w:space="0" w:color="auto"/>
        <w:bottom w:val="none" w:sz="0" w:space="0" w:color="auto"/>
        <w:right w:val="none" w:sz="0" w:space="0" w:color="auto"/>
      </w:divBdr>
    </w:div>
    <w:div w:id="1689480783">
      <w:bodyDiv w:val="1"/>
      <w:marLeft w:val="0"/>
      <w:marRight w:val="0"/>
      <w:marTop w:val="0"/>
      <w:marBottom w:val="0"/>
      <w:divBdr>
        <w:top w:val="none" w:sz="0" w:space="0" w:color="auto"/>
        <w:left w:val="none" w:sz="0" w:space="0" w:color="auto"/>
        <w:bottom w:val="none" w:sz="0" w:space="0" w:color="auto"/>
        <w:right w:val="none" w:sz="0" w:space="0" w:color="auto"/>
      </w:divBdr>
    </w:div>
    <w:div w:id="1745833806">
      <w:bodyDiv w:val="1"/>
      <w:marLeft w:val="0"/>
      <w:marRight w:val="0"/>
      <w:marTop w:val="0"/>
      <w:marBottom w:val="0"/>
      <w:divBdr>
        <w:top w:val="none" w:sz="0" w:space="0" w:color="auto"/>
        <w:left w:val="none" w:sz="0" w:space="0" w:color="auto"/>
        <w:bottom w:val="none" w:sz="0" w:space="0" w:color="auto"/>
        <w:right w:val="none" w:sz="0" w:space="0" w:color="auto"/>
      </w:divBdr>
    </w:div>
    <w:div w:id="1793861163">
      <w:bodyDiv w:val="1"/>
      <w:marLeft w:val="0"/>
      <w:marRight w:val="0"/>
      <w:marTop w:val="0"/>
      <w:marBottom w:val="0"/>
      <w:divBdr>
        <w:top w:val="none" w:sz="0" w:space="0" w:color="auto"/>
        <w:left w:val="none" w:sz="0" w:space="0" w:color="auto"/>
        <w:bottom w:val="none" w:sz="0" w:space="0" w:color="auto"/>
        <w:right w:val="none" w:sz="0" w:space="0" w:color="auto"/>
      </w:divBdr>
    </w:div>
    <w:div w:id="1796755669">
      <w:bodyDiv w:val="1"/>
      <w:marLeft w:val="0"/>
      <w:marRight w:val="0"/>
      <w:marTop w:val="0"/>
      <w:marBottom w:val="0"/>
      <w:divBdr>
        <w:top w:val="none" w:sz="0" w:space="0" w:color="auto"/>
        <w:left w:val="none" w:sz="0" w:space="0" w:color="auto"/>
        <w:bottom w:val="none" w:sz="0" w:space="0" w:color="auto"/>
        <w:right w:val="none" w:sz="0" w:space="0" w:color="auto"/>
      </w:divBdr>
    </w:div>
    <w:div w:id="1897012279">
      <w:bodyDiv w:val="1"/>
      <w:marLeft w:val="0"/>
      <w:marRight w:val="0"/>
      <w:marTop w:val="0"/>
      <w:marBottom w:val="0"/>
      <w:divBdr>
        <w:top w:val="none" w:sz="0" w:space="0" w:color="auto"/>
        <w:left w:val="none" w:sz="0" w:space="0" w:color="auto"/>
        <w:bottom w:val="none" w:sz="0" w:space="0" w:color="auto"/>
        <w:right w:val="none" w:sz="0" w:space="0" w:color="auto"/>
      </w:divBdr>
    </w:div>
    <w:div w:id="1943495125">
      <w:bodyDiv w:val="1"/>
      <w:marLeft w:val="0"/>
      <w:marRight w:val="0"/>
      <w:marTop w:val="0"/>
      <w:marBottom w:val="0"/>
      <w:divBdr>
        <w:top w:val="none" w:sz="0" w:space="0" w:color="auto"/>
        <w:left w:val="none" w:sz="0" w:space="0" w:color="auto"/>
        <w:bottom w:val="none" w:sz="0" w:space="0" w:color="auto"/>
        <w:right w:val="none" w:sz="0" w:space="0" w:color="auto"/>
      </w:divBdr>
    </w:div>
    <w:div w:id="1951080975">
      <w:bodyDiv w:val="1"/>
      <w:marLeft w:val="0"/>
      <w:marRight w:val="0"/>
      <w:marTop w:val="0"/>
      <w:marBottom w:val="0"/>
      <w:divBdr>
        <w:top w:val="none" w:sz="0" w:space="0" w:color="auto"/>
        <w:left w:val="none" w:sz="0" w:space="0" w:color="auto"/>
        <w:bottom w:val="none" w:sz="0" w:space="0" w:color="auto"/>
        <w:right w:val="none" w:sz="0" w:space="0" w:color="auto"/>
      </w:divBdr>
    </w:div>
    <w:div w:id="1976521118">
      <w:bodyDiv w:val="1"/>
      <w:marLeft w:val="0"/>
      <w:marRight w:val="0"/>
      <w:marTop w:val="0"/>
      <w:marBottom w:val="0"/>
      <w:divBdr>
        <w:top w:val="none" w:sz="0" w:space="0" w:color="auto"/>
        <w:left w:val="none" w:sz="0" w:space="0" w:color="auto"/>
        <w:bottom w:val="none" w:sz="0" w:space="0" w:color="auto"/>
        <w:right w:val="none" w:sz="0" w:space="0" w:color="auto"/>
      </w:divBdr>
    </w:div>
    <w:div w:id="1983851713">
      <w:bodyDiv w:val="1"/>
      <w:marLeft w:val="0"/>
      <w:marRight w:val="0"/>
      <w:marTop w:val="0"/>
      <w:marBottom w:val="0"/>
      <w:divBdr>
        <w:top w:val="none" w:sz="0" w:space="0" w:color="auto"/>
        <w:left w:val="none" w:sz="0" w:space="0" w:color="auto"/>
        <w:bottom w:val="none" w:sz="0" w:space="0" w:color="auto"/>
        <w:right w:val="none" w:sz="0" w:space="0" w:color="auto"/>
      </w:divBdr>
    </w:div>
    <w:div w:id="1997948523">
      <w:bodyDiv w:val="1"/>
      <w:marLeft w:val="0"/>
      <w:marRight w:val="0"/>
      <w:marTop w:val="0"/>
      <w:marBottom w:val="0"/>
      <w:divBdr>
        <w:top w:val="none" w:sz="0" w:space="0" w:color="auto"/>
        <w:left w:val="none" w:sz="0" w:space="0" w:color="auto"/>
        <w:bottom w:val="none" w:sz="0" w:space="0" w:color="auto"/>
        <w:right w:val="none" w:sz="0" w:space="0" w:color="auto"/>
      </w:divBdr>
    </w:div>
    <w:div w:id="2013751841">
      <w:bodyDiv w:val="1"/>
      <w:marLeft w:val="0"/>
      <w:marRight w:val="0"/>
      <w:marTop w:val="0"/>
      <w:marBottom w:val="0"/>
      <w:divBdr>
        <w:top w:val="none" w:sz="0" w:space="0" w:color="auto"/>
        <w:left w:val="none" w:sz="0" w:space="0" w:color="auto"/>
        <w:bottom w:val="none" w:sz="0" w:space="0" w:color="auto"/>
        <w:right w:val="none" w:sz="0" w:space="0" w:color="auto"/>
      </w:divBdr>
    </w:div>
    <w:div w:id="2052611856">
      <w:bodyDiv w:val="1"/>
      <w:marLeft w:val="0"/>
      <w:marRight w:val="0"/>
      <w:marTop w:val="0"/>
      <w:marBottom w:val="0"/>
      <w:divBdr>
        <w:top w:val="none" w:sz="0" w:space="0" w:color="auto"/>
        <w:left w:val="none" w:sz="0" w:space="0" w:color="auto"/>
        <w:bottom w:val="none" w:sz="0" w:space="0" w:color="auto"/>
        <w:right w:val="none" w:sz="0" w:space="0" w:color="auto"/>
      </w:divBdr>
    </w:div>
    <w:div w:id="2093315527">
      <w:bodyDiv w:val="1"/>
      <w:marLeft w:val="0"/>
      <w:marRight w:val="0"/>
      <w:marTop w:val="0"/>
      <w:marBottom w:val="0"/>
      <w:divBdr>
        <w:top w:val="none" w:sz="0" w:space="0" w:color="auto"/>
        <w:left w:val="none" w:sz="0" w:space="0" w:color="auto"/>
        <w:bottom w:val="none" w:sz="0" w:space="0" w:color="auto"/>
        <w:right w:val="none" w:sz="0" w:space="0" w:color="auto"/>
      </w:divBdr>
    </w:div>
    <w:div w:id="209474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 TargetMode="External"/><Relationship Id="rId13" Type="http://schemas.openxmlformats.org/officeDocument/2006/relationships/hyperlink" Target="https://www.morningstar.com/" TargetMode="External"/><Relationship Id="rId3" Type="http://schemas.openxmlformats.org/officeDocument/2006/relationships/settings" Target="settings.xml"/><Relationship Id="rId7" Type="http://schemas.openxmlformats.org/officeDocument/2006/relationships/hyperlink" Target="https://investor.apple.com" TargetMode="External"/><Relationship Id="rId12" Type="http://schemas.openxmlformats.org/officeDocument/2006/relationships/hyperlink" Target="https://www.bloomberg.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vestor.apple.com" TargetMode="External"/><Relationship Id="rId11" Type="http://schemas.openxmlformats.org/officeDocument/2006/relationships/hyperlink" Target="https://finance.yahoo.com/" TargetMode="External"/><Relationship Id="rId5" Type="http://schemas.openxmlformats.org/officeDocument/2006/relationships/hyperlink" Target="https://investor.apple.com" TargetMode="External"/><Relationship Id="rId15" Type="http://schemas.openxmlformats.org/officeDocument/2006/relationships/hyperlink" Target="https://www.fasb.org/" TargetMode="External"/><Relationship Id="rId10" Type="http://schemas.openxmlformats.org/officeDocument/2006/relationships/hyperlink" Target="https://www.sec.gov/" TargetMode="External"/><Relationship Id="rId4" Type="http://schemas.openxmlformats.org/officeDocument/2006/relationships/webSettings" Target="webSettings.xml"/><Relationship Id="rId9" Type="http://schemas.openxmlformats.org/officeDocument/2006/relationships/hyperlink" Target="https://www.sec.gov/" TargetMode="External"/><Relationship Id="rId14" Type="http://schemas.openxmlformats.org/officeDocument/2006/relationships/hyperlink" Target="https://www.if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Nkudu</dc:creator>
  <cp:keywords/>
  <dc:description/>
  <cp:lastModifiedBy>Uche Nkudu</cp:lastModifiedBy>
  <cp:revision>3</cp:revision>
  <dcterms:created xsi:type="dcterms:W3CDTF">2025-01-20T06:56:00Z</dcterms:created>
  <dcterms:modified xsi:type="dcterms:W3CDTF">2025-01-20T14:04:00Z</dcterms:modified>
</cp:coreProperties>
</file>