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615E" w:rsidRPr="00D344BD" w:rsidRDefault="000F326B" w:rsidP="00D344BD">
      <w:pPr>
        <w:jc w:val="center"/>
        <w:rPr>
          <w:rFonts w:ascii="Times New Roman" w:hAnsi="Times New Roman" w:cs="Times New Roman"/>
          <w:b/>
          <w:bCs/>
          <w:sz w:val="32"/>
          <w:szCs w:val="32"/>
        </w:rPr>
      </w:pPr>
      <w:r w:rsidRPr="00D344BD">
        <w:rPr>
          <w:rFonts w:ascii="Times New Roman" w:hAnsi="Times New Roman" w:cs="Times New Roman"/>
          <w:b/>
          <w:bCs/>
          <w:sz w:val="32"/>
          <w:szCs w:val="32"/>
        </w:rPr>
        <w:t>Comprehensive Financial Analysis and Strategic Recommendations for TechGrowth Inc.: A Three-Year Review (2022–2024)</w:t>
      </w:r>
    </w:p>
    <w:p w:rsidR="000F326B" w:rsidRPr="00D344BD" w:rsidRDefault="00D344BD">
      <w:pPr>
        <w:rPr>
          <w:rFonts w:ascii="Times New Roman" w:hAnsi="Times New Roman" w:cs="Times New Roman"/>
        </w:rPr>
      </w:pPr>
      <w:r w:rsidRPr="00D344BD">
        <w:rPr>
          <w:rFonts w:ascii="Times New Roman" w:hAnsi="Times New Roman" w:cs="Times New Roman"/>
        </w:rPr>
        <w:drawing>
          <wp:inline distT="0" distB="0" distL="0" distR="0" wp14:anchorId="4B101E0C" wp14:editId="445D8741">
            <wp:extent cx="5943600" cy="1416050"/>
            <wp:effectExtent l="0" t="0" r="0" b="0"/>
            <wp:docPr id="968994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p>
    <w:p w:rsidR="008A615E" w:rsidRPr="00AF2B12" w:rsidRDefault="008A615E" w:rsidP="008A615E">
      <w:pPr>
        <w:rPr>
          <w:rFonts w:ascii="Times New Roman" w:hAnsi="Times New Roman" w:cs="Times New Roman"/>
        </w:rPr>
      </w:pPr>
      <w:r w:rsidRPr="00AF2B12">
        <w:rPr>
          <w:rFonts w:ascii="Times New Roman" w:hAnsi="Times New Roman" w:cs="Times New Roman"/>
          <w:b/>
          <w:bCs/>
        </w:rPr>
        <w:t>Table of Contents</w:t>
      </w:r>
    </w:p>
    <w:p w:rsidR="008A615E" w:rsidRPr="00AF2B12"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Introduction</w:t>
      </w:r>
    </w:p>
    <w:p w:rsidR="008A615E" w:rsidRPr="00D344BD"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Financial Statement Review</w:t>
      </w:r>
    </w:p>
    <w:p w:rsidR="008A615E" w:rsidRPr="00D344BD" w:rsidRDefault="008A615E" w:rsidP="008A615E">
      <w:pPr>
        <w:pStyle w:val="ListParagraph"/>
        <w:numPr>
          <w:ilvl w:val="0"/>
          <w:numId w:val="34"/>
        </w:numPr>
        <w:rPr>
          <w:rFonts w:ascii="Times New Roman" w:hAnsi="Times New Roman" w:cs="Times New Roman"/>
        </w:rPr>
      </w:pPr>
      <w:r w:rsidRPr="00D344BD">
        <w:rPr>
          <w:rFonts w:ascii="Times New Roman" w:hAnsi="Times New Roman" w:cs="Times New Roman"/>
        </w:rPr>
        <w:t>Balance Sheet Analysis</w:t>
      </w:r>
    </w:p>
    <w:p w:rsidR="008A615E" w:rsidRPr="00D344BD" w:rsidRDefault="008A615E" w:rsidP="008A615E">
      <w:pPr>
        <w:pStyle w:val="ListParagraph"/>
        <w:numPr>
          <w:ilvl w:val="0"/>
          <w:numId w:val="34"/>
        </w:numPr>
        <w:rPr>
          <w:rFonts w:ascii="Times New Roman" w:hAnsi="Times New Roman" w:cs="Times New Roman"/>
        </w:rPr>
      </w:pPr>
      <w:r w:rsidRPr="00D344BD">
        <w:rPr>
          <w:rFonts w:ascii="Times New Roman" w:hAnsi="Times New Roman" w:cs="Times New Roman"/>
        </w:rPr>
        <w:t>Income Statement Analysis</w:t>
      </w:r>
    </w:p>
    <w:p w:rsidR="008A615E" w:rsidRPr="00D344BD" w:rsidRDefault="008A615E" w:rsidP="008A615E">
      <w:pPr>
        <w:pStyle w:val="ListParagraph"/>
        <w:numPr>
          <w:ilvl w:val="0"/>
          <w:numId w:val="34"/>
        </w:numPr>
        <w:rPr>
          <w:rFonts w:ascii="Times New Roman" w:hAnsi="Times New Roman" w:cs="Times New Roman"/>
        </w:rPr>
      </w:pPr>
      <w:r w:rsidRPr="00D344BD">
        <w:rPr>
          <w:rFonts w:ascii="Times New Roman" w:hAnsi="Times New Roman" w:cs="Times New Roman"/>
        </w:rPr>
        <w:t>Cash Flow Statement Analysis</w:t>
      </w:r>
    </w:p>
    <w:p w:rsidR="008A615E" w:rsidRPr="00D344BD"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Financial Analysis</w:t>
      </w:r>
    </w:p>
    <w:p w:rsidR="008A615E" w:rsidRPr="00D344BD" w:rsidRDefault="008A615E" w:rsidP="008A615E">
      <w:pPr>
        <w:pStyle w:val="ListParagraph"/>
        <w:numPr>
          <w:ilvl w:val="0"/>
          <w:numId w:val="35"/>
        </w:numPr>
        <w:rPr>
          <w:rFonts w:ascii="Times New Roman" w:hAnsi="Times New Roman" w:cs="Times New Roman"/>
        </w:rPr>
      </w:pPr>
      <w:r w:rsidRPr="00D344BD">
        <w:rPr>
          <w:rFonts w:ascii="Times New Roman" w:hAnsi="Times New Roman" w:cs="Times New Roman"/>
        </w:rPr>
        <w:t>Horizontal Analysis</w:t>
      </w:r>
    </w:p>
    <w:p w:rsidR="008A615E" w:rsidRPr="00D344BD" w:rsidRDefault="008A615E" w:rsidP="008A615E">
      <w:pPr>
        <w:pStyle w:val="ListParagraph"/>
        <w:numPr>
          <w:ilvl w:val="0"/>
          <w:numId w:val="35"/>
        </w:numPr>
        <w:rPr>
          <w:rFonts w:ascii="Times New Roman" w:hAnsi="Times New Roman" w:cs="Times New Roman"/>
        </w:rPr>
      </w:pPr>
      <w:r w:rsidRPr="00D344BD">
        <w:rPr>
          <w:rFonts w:ascii="Times New Roman" w:hAnsi="Times New Roman" w:cs="Times New Roman"/>
        </w:rPr>
        <w:t>Vertical Analysis</w:t>
      </w:r>
    </w:p>
    <w:p w:rsidR="008A615E" w:rsidRPr="00D344BD" w:rsidRDefault="008A615E" w:rsidP="008A615E">
      <w:pPr>
        <w:pStyle w:val="ListParagraph"/>
        <w:numPr>
          <w:ilvl w:val="0"/>
          <w:numId w:val="35"/>
        </w:numPr>
        <w:rPr>
          <w:rFonts w:ascii="Times New Roman" w:hAnsi="Times New Roman" w:cs="Times New Roman"/>
        </w:rPr>
      </w:pPr>
      <w:r w:rsidRPr="00D344BD">
        <w:rPr>
          <w:rFonts w:ascii="Times New Roman" w:hAnsi="Times New Roman" w:cs="Times New Roman"/>
        </w:rPr>
        <w:t>Ratio Analysis</w:t>
      </w:r>
    </w:p>
    <w:p w:rsidR="008A615E" w:rsidRPr="00D344BD"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 xml:space="preserve">Data Analytics </w:t>
      </w:r>
      <w:proofErr w:type="spellStart"/>
      <w:r w:rsidRPr="00AF2B12">
        <w:rPr>
          <w:rFonts w:ascii="Times New Roman" w:hAnsi="Times New Roman" w:cs="Times New Roman"/>
          <w:b/>
          <w:bCs/>
        </w:rPr>
        <w:t>Applications</w:t>
      </w:r>
      <w:proofErr w:type="spellEnd"/>
    </w:p>
    <w:p w:rsidR="008A615E" w:rsidRPr="00D344BD" w:rsidRDefault="008A615E" w:rsidP="008A615E">
      <w:pPr>
        <w:pStyle w:val="ListParagraph"/>
        <w:numPr>
          <w:ilvl w:val="0"/>
          <w:numId w:val="37"/>
        </w:numPr>
        <w:rPr>
          <w:rFonts w:ascii="Times New Roman" w:hAnsi="Times New Roman" w:cs="Times New Roman"/>
        </w:rPr>
      </w:pPr>
      <w:r w:rsidRPr="00D344BD">
        <w:rPr>
          <w:rFonts w:ascii="Times New Roman" w:hAnsi="Times New Roman" w:cs="Times New Roman"/>
        </w:rPr>
        <w:t>Descriptive Analytics</w:t>
      </w:r>
    </w:p>
    <w:p w:rsidR="008A615E" w:rsidRPr="00D344BD" w:rsidRDefault="008A615E" w:rsidP="008A615E">
      <w:pPr>
        <w:pStyle w:val="ListParagraph"/>
        <w:numPr>
          <w:ilvl w:val="0"/>
          <w:numId w:val="37"/>
        </w:numPr>
        <w:rPr>
          <w:rFonts w:ascii="Times New Roman" w:hAnsi="Times New Roman" w:cs="Times New Roman"/>
        </w:rPr>
      </w:pPr>
      <w:r w:rsidRPr="00D344BD">
        <w:rPr>
          <w:rFonts w:ascii="Times New Roman" w:hAnsi="Times New Roman" w:cs="Times New Roman"/>
        </w:rPr>
        <w:t>Diagnostic Analytics</w:t>
      </w:r>
    </w:p>
    <w:p w:rsidR="008A615E" w:rsidRPr="00D344BD" w:rsidRDefault="008A615E" w:rsidP="008A615E">
      <w:pPr>
        <w:pStyle w:val="ListParagraph"/>
        <w:numPr>
          <w:ilvl w:val="0"/>
          <w:numId w:val="37"/>
        </w:numPr>
        <w:rPr>
          <w:rFonts w:ascii="Times New Roman" w:hAnsi="Times New Roman" w:cs="Times New Roman"/>
        </w:rPr>
      </w:pPr>
      <w:r w:rsidRPr="00D344BD">
        <w:rPr>
          <w:rFonts w:ascii="Times New Roman" w:hAnsi="Times New Roman" w:cs="Times New Roman"/>
        </w:rPr>
        <w:t>Predictive Analytics</w:t>
      </w:r>
    </w:p>
    <w:p w:rsidR="008A615E" w:rsidRPr="00D344BD" w:rsidRDefault="008A615E" w:rsidP="008A615E">
      <w:pPr>
        <w:pStyle w:val="ListParagraph"/>
        <w:numPr>
          <w:ilvl w:val="0"/>
          <w:numId w:val="37"/>
        </w:numPr>
        <w:rPr>
          <w:rFonts w:ascii="Times New Roman" w:hAnsi="Times New Roman" w:cs="Times New Roman"/>
        </w:rPr>
      </w:pPr>
      <w:r w:rsidRPr="00D344BD">
        <w:rPr>
          <w:rFonts w:ascii="Times New Roman" w:hAnsi="Times New Roman" w:cs="Times New Roman"/>
        </w:rPr>
        <w:t>Prescriptive Analytics</w:t>
      </w:r>
    </w:p>
    <w:p w:rsidR="008A615E" w:rsidRPr="00AF2B12"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Strategic Recommendations</w:t>
      </w:r>
    </w:p>
    <w:p w:rsidR="008A615E" w:rsidRPr="00AF2B12"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Conclusion</w:t>
      </w:r>
    </w:p>
    <w:p w:rsidR="008A615E" w:rsidRPr="00AF2B12" w:rsidRDefault="008A615E" w:rsidP="008A615E">
      <w:pPr>
        <w:numPr>
          <w:ilvl w:val="0"/>
          <w:numId w:val="32"/>
        </w:numPr>
        <w:rPr>
          <w:rFonts w:ascii="Times New Roman" w:hAnsi="Times New Roman" w:cs="Times New Roman"/>
        </w:rPr>
      </w:pPr>
      <w:r w:rsidRPr="00AF2B12">
        <w:rPr>
          <w:rFonts w:ascii="Times New Roman" w:hAnsi="Times New Roman" w:cs="Times New Roman"/>
          <w:b/>
          <w:bCs/>
        </w:rPr>
        <w:t>References</w:t>
      </w:r>
    </w:p>
    <w:p w:rsidR="000F326B" w:rsidRPr="00D344BD" w:rsidRDefault="000F326B">
      <w:pPr>
        <w:rPr>
          <w:rFonts w:ascii="Times New Roman" w:hAnsi="Times New Roman" w:cs="Times New Roman"/>
        </w:rPr>
      </w:pPr>
    </w:p>
    <w:p w:rsidR="000F326B" w:rsidRPr="00D344BD" w:rsidRDefault="000F326B">
      <w:pPr>
        <w:rPr>
          <w:rFonts w:ascii="Times New Roman" w:hAnsi="Times New Roman" w:cs="Times New Roman"/>
        </w:rPr>
      </w:pPr>
    </w:p>
    <w:p w:rsidR="008A615E" w:rsidRPr="00D344BD" w:rsidRDefault="008A615E">
      <w:pPr>
        <w:rPr>
          <w:rFonts w:ascii="Times New Roman" w:hAnsi="Times New Roman" w:cs="Times New Roman"/>
        </w:rPr>
      </w:pPr>
    </w:p>
    <w:p w:rsidR="008A615E" w:rsidRPr="00D344BD" w:rsidRDefault="008A615E">
      <w:pPr>
        <w:rPr>
          <w:rFonts w:ascii="Times New Roman" w:hAnsi="Times New Roman" w:cs="Times New Roman"/>
        </w:rPr>
      </w:pPr>
    </w:p>
    <w:p w:rsidR="008A615E" w:rsidRPr="00D344BD" w:rsidRDefault="008A615E">
      <w:pPr>
        <w:rPr>
          <w:rFonts w:ascii="Times New Roman" w:hAnsi="Times New Roman" w:cs="Times New Roman"/>
        </w:rPr>
      </w:pPr>
    </w:p>
    <w:p w:rsidR="00D344BD" w:rsidRPr="00D344BD" w:rsidRDefault="00D344BD">
      <w:pPr>
        <w:rPr>
          <w:rFonts w:ascii="Times New Roman" w:hAnsi="Times New Roman" w:cs="Times New Roman"/>
        </w:rPr>
      </w:pPr>
    </w:p>
    <w:p w:rsidR="00D344BD" w:rsidRPr="00D344BD" w:rsidRDefault="00D344BD">
      <w:pPr>
        <w:rPr>
          <w:rFonts w:ascii="Times New Roman" w:hAnsi="Times New Roman" w:cs="Times New Roman"/>
        </w:rPr>
      </w:pPr>
    </w:p>
    <w:p w:rsidR="00D344BD" w:rsidRPr="000F326B" w:rsidRDefault="00D344BD" w:rsidP="00D344BD">
      <w:pPr>
        <w:rPr>
          <w:rFonts w:ascii="Times New Roman" w:hAnsi="Times New Roman" w:cs="Times New Roman"/>
        </w:rPr>
      </w:pPr>
      <w:r w:rsidRPr="000F326B">
        <w:rPr>
          <w:rFonts w:ascii="Times New Roman" w:hAnsi="Times New Roman" w:cs="Times New Roman"/>
          <w:b/>
          <w:bCs/>
        </w:rPr>
        <w:lastRenderedPageBreak/>
        <w:t>Abstract</w:t>
      </w:r>
    </w:p>
    <w:p w:rsidR="00D344BD" w:rsidRPr="000F326B" w:rsidRDefault="00D344BD" w:rsidP="00D344BD">
      <w:pPr>
        <w:spacing w:line="360" w:lineRule="auto"/>
        <w:jc w:val="both"/>
        <w:rPr>
          <w:rFonts w:ascii="Times New Roman" w:hAnsi="Times New Roman" w:cs="Times New Roman"/>
        </w:rPr>
      </w:pPr>
      <w:r w:rsidRPr="000F326B">
        <w:rPr>
          <w:rFonts w:ascii="Times New Roman" w:hAnsi="Times New Roman" w:cs="Times New Roman"/>
        </w:rPr>
        <w:t>This report presents a comprehensive financial analysis of TechGrowth Inc., assessing its performance over three years (2022–2024) using horizontal, vertical, and ratio analysis techniques. Key findings reveal a 26% growth in total assets, a shift toward stronger equity positioning, and stable profitability metrics, such as a consistent net income margin of approximately 14%. Descriptive analytics summarize financial trends, while diagnostic analytics highlight drivers of performance, such as efficient cost management and reduced debt reliance. Predictive analytics forecast continued revenue growth, and prescriptive analytics recommend strategic actions, including revenue diversification, debt optimization, and operational efficiency improvements. These recommendations aim to enhance TechGrowth Inc.’s financial stability, profitability, and long-term growth prospects.</w:t>
      </w:r>
    </w:p>
    <w:p w:rsidR="00517F43" w:rsidRPr="00D344BD" w:rsidRDefault="00517F43">
      <w:pPr>
        <w:rPr>
          <w:rFonts w:ascii="Times New Roman" w:hAnsi="Times New Roman" w:cs="Times New Roman"/>
        </w:rPr>
      </w:pPr>
    </w:p>
    <w:p w:rsidR="00D344BD" w:rsidRPr="00D344BD" w:rsidRDefault="00D344BD" w:rsidP="00D344BD">
      <w:pPr>
        <w:jc w:val="both"/>
        <w:rPr>
          <w:rFonts w:ascii="Times New Roman" w:hAnsi="Times New Roman" w:cs="Times New Roman"/>
        </w:rPr>
      </w:pPr>
    </w:p>
    <w:p w:rsidR="00517F43" w:rsidRPr="00D344BD" w:rsidRDefault="00517F43" w:rsidP="00D344BD">
      <w:pPr>
        <w:jc w:val="both"/>
        <w:rPr>
          <w:rFonts w:ascii="Times New Roman" w:hAnsi="Times New Roman" w:cs="Times New Roman"/>
          <w:b/>
          <w:bCs/>
        </w:rPr>
      </w:pPr>
      <w:r w:rsidRPr="00AF2B12">
        <w:rPr>
          <w:rFonts w:ascii="Times New Roman" w:hAnsi="Times New Roman" w:cs="Times New Roman"/>
          <w:b/>
          <w:bCs/>
        </w:rPr>
        <w:t>1. Introduction</w:t>
      </w:r>
    </w:p>
    <w:p w:rsidR="00517F43" w:rsidRPr="00D344BD" w:rsidRDefault="00517F43" w:rsidP="00D344BD">
      <w:pPr>
        <w:jc w:val="both"/>
        <w:rPr>
          <w:rFonts w:ascii="Times New Roman" w:hAnsi="Times New Roman" w:cs="Times New Roman"/>
        </w:rPr>
      </w:pPr>
      <w:r w:rsidRPr="00517F43">
        <w:rPr>
          <w:rFonts w:ascii="Times New Roman" w:hAnsi="Times New Roman" w:cs="Times New Roman"/>
        </w:rPr>
        <w:t>TechGrowth Inc.'s financial situation for 2022–2024 is thoroughly examined in this study. To improve the company's financial stability and long-term growth prospects, the main goals are to evaluate its financial health, spot trends, and offer strategic recommendations. The study evaluates key performance indicators using horizontal, vertical, and ratio analysis. Data analytics applications are then used to investigate the underlying reasons influencing the company's success.</w:t>
      </w:r>
    </w:p>
    <w:p w:rsidR="00517F43" w:rsidRPr="00D344BD" w:rsidRDefault="00517F43">
      <w:pPr>
        <w:rPr>
          <w:rFonts w:ascii="Times New Roman" w:hAnsi="Times New Roman" w:cs="Times New Roman"/>
          <w:color w:val="ED0000"/>
        </w:rPr>
      </w:pPr>
    </w:p>
    <w:p w:rsidR="00442F6B" w:rsidRPr="00D344BD" w:rsidRDefault="004163AB" w:rsidP="00442F6B">
      <w:pPr>
        <w:jc w:val="both"/>
        <w:rPr>
          <w:rFonts w:ascii="Times New Roman" w:hAnsi="Times New Roman" w:cs="Times New Roman"/>
          <w:b/>
          <w:bCs/>
        </w:rPr>
      </w:pPr>
      <w:r w:rsidRPr="004163AB">
        <w:rPr>
          <w:rFonts w:ascii="Times New Roman" w:hAnsi="Times New Roman" w:cs="Times New Roman"/>
          <w:b/>
          <w:bCs/>
        </w:rPr>
        <w:t>Step One</w:t>
      </w:r>
    </w:p>
    <w:p w:rsidR="004163AB" w:rsidRPr="004163AB" w:rsidRDefault="004163AB" w:rsidP="00442F6B">
      <w:pPr>
        <w:jc w:val="both"/>
        <w:rPr>
          <w:rFonts w:ascii="Times New Roman" w:hAnsi="Times New Roman" w:cs="Times New Roman"/>
          <w:b/>
          <w:bCs/>
        </w:rPr>
      </w:pPr>
      <w:r w:rsidRPr="004163AB">
        <w:rPr>
          <w:rFonts w:ascii="Times New Roman" w:hAnsi="Times New Roman" w:cs="Times New Roman"/>
          <w:b/>
          <w:bCs/>
        </w:rPr>
        <w:t xml:space="preserve"> Review Financial Statements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After examining the balance sheets, income statements, and cash flow statements for TechGrowth Inc. for the past three years (2022–2024), here is an analysis of the significant changes in financial position and their impact on the company's financial health.</w:t>
      </w:r>
    </w:p>
    <w:p w:rsidR="004163AB" w:rsidRPr="004163AB" w:rsidRDefault="002147AD" w:rsidP="00442F6B">
      <w:pPr>
        <w:jc w:val="both"/>
        <w:rPr>
          <w:rFonts w:ascii="Times New Roman" w:hAnsi="Times New Roman" w:cs="Times New Roman"/>
          <w:b/>
          <w:bCs/>
        </w:rPr>
      </w:pPr>
      <w:r w:rsidRPr="00D344BD">
        <w:rPr>
          <w:rFonts w:ascii="Times New Roman" w:hAnsi="Times New Roman" w:cs="Times New Roman"/>
          <w:b/>
          <w:bCs/>
        </w:rPr>
        <w:t xml:space="preserve">1. </w:t>
      </w:r>
      <w:r w:rsidR="004163AB" w:rsidRPr="004163AB">
        <w:rPr>
          <w:rFonts w:ascii="Times New Roman" w:hAnsi="Times New Roman" w:cs="Times New Roman"/>
          <w:b/>
          <w:bCs/>
        </w:rPr>
        <w:t>Significant Changes Observed</w:t>
      </w:r>
    </w:p>
    <w:p w:rsidR="004163AB" w:rsidRPr="004163AB" w:rsidRDefault="002147AD" w:rsidP="00442F6B">
      <w:pPr>
        <w:jc w:val="both"/>
        <w:rPr>
          <w:rFonts w:ascii="Times New Roman" w:hAnsi="Times New Roman" w:cs="Times New Roman"/>
          <w:b/>
          <w:bCs/>
          <w:color w:val="ED0000"/>
        </w:rPr>
      </w:pPr>
      <w:r w:rsidRPr="00D344BD">
        <w:rPr>
          <w:rFonts w:ascii="Times New Roman" w:hAnsi="Times New Roman" w:cs="Times New Roman"/>
          <w:b/>
          <w:bCs/>
          <w:color w:val="ED0000"/>
        </w:rPr>
        <w:t xml:space="preserve">A. </w:t>
      </w:r>
      <w:r w:rsidR="004163AB" w:rsidRPr="004163AB">
        <w:rPr>
          <w:rFonts w:ascii="Times New Roman" w:hAnsi="Times New Roman" w:cs="Times New Roman"/>
          <w:b/>
          <w:bCs/>
          <w:color w:val="ED0000"/>
        </w:rPr>
        <w:t>Balance Sheets</w:t>
      </w:r>
    </w:p>
    <w:p w:rsidR="004163AB" w:rsidRPr="00D344BD" w:rsidRDefault="004163AB" w:rsidP="00442F6B">
      <w:pPr>
        <w:jc w:val="both"/>
        <w:rPr>
          <w:rFonts w:ascii="Times New Roman" w:hAnsi="Times New Roman" w:cs="Times New Roman"/>
          <w:u w:val="single"/>
        </w:rPr>
      </w:pPr>
      <w:r w:rsidRPr="004163AB">
        <w:rPr>
          <w:rFonts w:ascii="Times New Roman" w:hAnsi="Times New Roman" w:cs="Times New Roman"/>
          <w:b/>
          <w:bCs/>
          <w:u w:val="single"/>
        </w:rPr>
        <w:t>Total Assets</w:t>
      </w:r>
    </w:p>
    <w:tbl>
      <w:tblPr>
        <w:tblStyle w:val="TableGrid"/>
        <w:tblW w:w="10710" w:type="dxa"/>
        <w:tblInd w:w="-545" w:type="dxa"/>
        <w:tblLook w:val="04A0" w:firstRow="1" w:lastRow="0" w:firstColumn="1" w:lastColumn="0" w:noHBand="0" w:noVBand="1"/>
      </w:tblPr>
      <w:tblGrid>
        <w:gridCol w:w="1980"/>
        <w:gridCol w:w="1350"/>
        <w:gridCol w:w="3150"/>
        <w:gridCol w:w="4230"/>
      </w:tblGrid>
      <w:tr w:rsidR="00442F6B" w:rsidRPr="00D344BD" w:rsidTr="008A0CF9">
        <w:tc>
          <w:tcPr>
            <w:tcW w:w="1980" w:type="dxa"/>
          </w:tcPr>
          <w:p w:rsidR="00640A9B" w:rsidRPr="00D344BD" w:rsidRDefault="00640A9B" w:rsidP="00442F6B">
            <w:pPr>
              <w:jc w:val="both"/>
              <w:rPr>
                <w:rFonts w:ascii="Times New Roman" w:hAnsi="Times New Roman" w:cs="Times New Roman"/>
                <w:b/>
                <w:bCs/>
              </w:rPr>
            </w:pPr>
            <w:r w:rsidRPr="00D344BD">
              <w:rPr>
                <w:rFonts w:ascii="Times New Roman" w:hAnsi="Times New Roman" w:cs="Times New Roman"/>
                <w:b/>
                <w:bCs/>
              </w:rPr>
              <w:t>Year</w:t>
            </w:r>
          </w:p>
        </w:tc>
        <w:tc>
          <w:tcPr>
            <w:tcW w:w="135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b/>
                <w:bCs/>
              </w:rPr>
              <w:t>2022</w:t>
            </w:r>
          </w:p>
        </w:tc>
        <w:tc>
          <w:tcPr>
            <w:tcW w:w="315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b/>
                <w:bCs/>
              </w:rPr>
              <w:t>202</w:t>
            </w:r>
            <w:r w:rsidRPr="00D344BD">
              <w:rPr>
                <w:rFonts w:ascii="Times New Roman" w:hAnsi="Times New Roman" w:cs="Times New Roman"/>
                <w:b/>
                <w:bCs/>
              </w:rPr>
              <w:t>3</w:t>
            </w:r>
          </w:p>
        </w:tc>
        <w:tc>
          <w:tcPr>
            <w:tcW w:w="423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b/>
                <w:bCs/>
              </w:rPr>
              <w:t>202</w:t>
            </w:r>
            <w:r w:rsidRPr="00D344BD">
              <w:rPr>
                <w:rFonts w:ascii="Times New Roman" w:hAnsi="Times New Roman" w:cs="Times New Roman"/>
                <w:b/>
                <w:bCs/>
              </w:rPr>
              <w:t>4</w:t>
            </w:r>
          </w:p>
        </w:tc>
      </w:tr>
      <w:tr w:rsidR="00442F6B" w:rsidRPr="00D344BD" w:rsidTr="008A0CF9">
        <w:tc>
          <w:tcPr>
            <w:tcW w:w="1980" w:type="dxa"/>
          </w:tcPr>
          <w:p w:rsidR="00640A9B" w:rsidRPr="00D344BD" w:rsidRDefault="00640A9B" w:rsidP="00442F6B">
            <w:pPr>
              <w:jc w:val="both"/>
              <w:rPr>
                <w:rFonts w:ascii="Times New Roman" w:hAnsi="Times New Roman" w:cs="Times New Roman"/>
                <w:b/>
                <w:bCs/>
              </w:rPr>
            </w:pPr>
            <w:r w:rsidRPr="00D344BD">
              <w:rPr>
                <w:rFonts w:ascii="Times New Roman" w:hAnsi="Times New Roman" w:cs="Times New Roman"/>
                <w:b/>
                <w:bCs/>
              </w:rPr>
              <w:t>Total Assets</w:t>
            </w:r>
          </w:p>
        </w:tc>
        <w:tc>
          <w:tcPr>
            <w:tcW w:w="135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rPr>
              <w:t>$</w:t>
            </w:r>
            <w:r w:rsidRPr="00D344BD">
              <w:rPr>
                <w:rFonts w:ascii="Times New Roman" w:hAnsi="Times New Roman" w:cs="Times New Roman"/>
              </w:rPr>
              <w:t>262,000</w:t>
            </w:r>
          </w:p>
        </w:tc>
        <w:tc>
          <w:tcPr>
            <w:tcW w:w="315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rPr>
              <w:t>$</w:t>
            </w:r>
            <w:r w:rsidRPr="00D344BD">
              <w:rPr>
                <w:rFonts w:ascii="Times New Roman" w:hAnsi="Times New Roman" w:cs="Times New Roman"/>
              </w:rPr>
              <w:t>300,000</w:t>
            </w:r>
          </w:p>
        </w:tc>
        <w:tc>
          <w:tcPr>
            <w:tcW w:w="4230" w:type="dxa"/>
          </w:tcPr>
          <w:p w:rsidR="00640A9B" w:rsidRPr="00D344BD" w:rsidRDefault="00640A9B" w:rsidP="00442F6B">
            <w:pPr>
              <w:jc w:val="both"/>
              <w:rPr>
                <w:rFonts w:ascii="Times New Roman" w:hAnsi="Times New Roman" w:cs="Times New Roman"/>
              </w:rPr>
            </w:pPr>
            <w:r w:rsidRPr="004163AB">
              <w:rPr>
                <w:rFonts w:ascii="Times New Roman" w:hAnsi="Times New Roman" w:cs="Times New Roman"/>
              </w:rPr>
              <w:t>$</w:t>
            </w:r>
            <w:r w:rsidRPr="00D344BD">
              <w:rPr>
                <w:rFonts w:ascii="Times New Roman" w:hAnsi="Times New Roman" w:cs="Times New Roman"/>
              </w:rPr>
              <w:t>334,000</w:t>
            </w:r>
          </w:p>
        </w:tc>
      </w:tr>
      <w:tr w:rsidR="00640A9B" w:rsidRPr="00D344BD" w:rsidTr="008A0CF9">
        <w:tc>
          <w:tcPr>
            <w:tcW w:w="1980" w:type="dxa"/>
          </w:tcPr>
          <w:p w:rsidR="00640A9B" w:rsidRPr="00D344BD" w:rsidRDefault="008A0CF9" w:rsidP="00442F6B">
            <w:pPr>
              <w:jc w:val="both"/>
              <w:rPr>
                <w:rFonts w:ascii="Times New Roman" w:hAnsi="Times New Roman" w:cs="Times New Roman"/>
                <w:b/>
                <w:bCs/>
              </w:rPr>
            </w:pPr>
            <w:r w:rsidRPr="00D344BD">
              <w:rPr>
                <w:rFonts w:ascii="Times New Roman" w:hAnsi="Times New Roman" w:cs="Times New Roman"/>
                <w:b/>
                <w:bCs/>
              </w:rPr>
              <w:t xml:space="preserve">Change observed </w:t>
            </w:r>
          </w:p>
        </w:tc>
        <w:tc>
          <w:tcPr>
            <w:tcW w:w="1350" w:type="dxa"/>
          </w:tcPr>
          <w:p w:rsidR="00640A9B" w:rsidRPr="00D344BD" w:rsidRDefault="00640A9B" w:rsidP="00442F6B">
            <w:pPr>
              <w:jc w:val="both"/>
              <w:rPr>
                <w:rFonts w:ascii="Times New Roman" w:hAnsi="Times New Roman" w:cs="Times New Roman"/>
              </w:rPr>
            </w:pPr>
          </w:p>
        </w:tc>
        <w:tc>
          <w:tcPr>
            <w:tcW w:w="3150" w:type="dxa"/>
          </w:tcPr>
          <w:p w:rsidR="00640A9B" w:rsidRPr="00D344BD" w:rsidRDefault="008A0CF9" w:rsidP="00442F6B">
            <w:pPr>
              <w:jc w:val="both"/>
              <w:rPr>
                <w:rFonts w:ascii="Times New Roman" w:hAnsi="Times New Roman" w:cs="Times New Roman"/>
              </w:rPr>
            </w:pPr>
            <w:r w:rsidRPr="004163AB">
              <w:rPr>
                <w:rFonts w:ascii="Times New Roman" w:hAnsi="Times New Roman" w:cs="Times New Roman"/>
              </w:rPr>
              <w:t>13.21% increase from 2022</w:t>
            </w:r>
          </w:p>
        </w:tc>
        <w:tc>
          <w:tcPr>
            <w:tcW w:w="4230" w:type="dxa"/>
          </w:tcPr>
          <w:p w:rsidR="00640A9B" w:rsidRPr="00D344BD" w:rsidRDefault="008A0CF9" w:rsidP="00442F6B">
            <w:pPr>
              <w:jc w:val="both"/>
              <w:rPr>
                <w:rFonts w:ascii="Times New Roman" w:hAnsi="Times New Roman" w:cs="Times New Roman"/>
              </w:rPr>
            </w:pPr>
            <w:r w:rsidRPr="004163AB">
              <w:rPr>
                <w:rFonts w:ascii="Times New Roman" w:hAnsi="Times New Roman" w:cs="Times New Roman"/>
              </w:rPr>
              <w:t>(11.33% increase from 2023)</w:t>
            </w:r>
          </w:p>
        </w:tc>
      </w:tr>
    </w:tbl>
    <w:p w:rsidR="00640A9B" w:rsidRPr="004163AB" w:rsidRDefault="004163AB" w:rsidP="00442F6B">
      <w:pPr>
        <w:jc w:val="both"/>
        <w:rPr>
          <w:rFonts w:ascii="Times New Roman" w:hAnsi="Times New Roman" w:cs="Times New Roman"/>
        </w:rPr>
      </w:pPr>
      <w:r w:rsidRPr="004163AB">
        <w:rPr>
          <w:rFonts w:ascii="Times New Roman" w:hAnsi="Times New Roman" w:cs="Times New Roman"/>
        </w:rPr>
        <w:t>The steady growth in total assets is driven by increases in both current and non-current assets, particularly cash, accounts receivable, and property, plant, and equipment (PPE).</w:t>
      </w:r>
    </w:p>
    <w:p w:rsidR="004163AB" w:rsidRPr="004163AB" w:rsidRDefault="004163AB" w:rsidP="00442F6B">
      <w:pPr>
        <w:jc w:val="both"/>
        <w:rPr>
          <w:rFonts w:ascii="Times New Roman" w:hAnsi="Times New Roman" w:cs="Times New Roman"/>
          <w:u w:val="single"/>
        </w:rPr>
      </w:pPr>
      <w:r w:rsidRPr="004163AB">
        <w:rPr>
          <w:rFonts w:ascii="Times New Roman" w:hAnsi="Times New Roman" w:cs="Times New Roman"/>
          <w:b/>
          <w:bCs/>
          <w:u w:val="single"/>
        </w:rPr>
        <w:t>Current Assets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Grew from $97,000 in 2022 to $142,000 in 2024, primarily due to rising cash and accounts receivable balances.</w:t>
      </w:r>
    </w:p>
    <w:p w:rsidR="004163AB" w:rsidRPr="004163AB" w:rsidRDefault="004163AB" w:rsidP="00442F6B">
      <w:pPr>
        <w:jc w:val="both"/>
        <w:rPr>
          <w:rFonts w:ascii="Times New Roman" w:hAnsi="Times New Roman" w:cs="Times New Roman"/>
          <w:u w:val="single"/>
        </w:rPr>
      </w:pPr>
      <w:r w:rsidRPr="004163AB">
        <w:rPr>
          <w:rFonts w:ascii="Times New Roman" w:hAnsi="Times New Roman" w:cs="Times New Roman"/>
          <w:b/>
          <w:bCs/>
          <w:u w:val="single"/>
        </w:rPr>
        <w:lastRenderedPageBreak/>
        <w:t>Non-Current Assets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Increased from $168,000 in 2022 to $192,000 in 2024, indicating continuous investment in PPE and intangible assets.</w:t>
      </w:r>
    </w:p>
    <w:p w:rsidR="004163AB" w:rsidRPr="004163AB" w:rsidRDefault="004163AB" w:rsidP="00442F6B">
      <w:pPr>
        <w:jc w:val="both"/>
        <w:rPr>
          <w:rFonts w:ascii="Times New Roman" w:hAnsi="Times New Roman" w:cs="Times New Roman"/>
          <w:u w:val="single"/>
        </w:rPr>
      </w:pPr>
      <w:r w:rsidRPr="004163AB">
        <w:rPr>
          <w:rFonts w:ascii="Times New Roman" w:hAnsi="Times New Roman" w:cs="Times New Roman"/>
          <w:b/>
          <w:bCs/>
          <w:u w:val="single"/>
        </w:rPr>
        <w:t>Liabilities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Total Liabilities:</w:t>
      </w:r>
      <w:r w:rsidRPr="004163AB">
        <w:rPr>
          <w:rFonts w:ascii="Times New Roman" w:hAnsi="Times New Roman" w:cs="Times New Roman"/>
        </w:rPr>
        <w:t xml:space="preserve"> Remained constant at $120,000 over the three years.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Current Liabilities:</w:t>
      </w:r>
      <w:r w:rsidRPr="004163AB">
        <w:rPr>
          <w:rFonts w:ascii="Times New Roman" w:hAnsi="Times New Roman" w:cs="Times New Roman"/>
        </w:rPr>
        <w:t xml:space="preserve"> Increased from $40,000 in 2022 to $60,000 in 2024, reflecting higher short-term obligations.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Long-term Debt:</w:t>
      </w:r>
      <w:r w:rsidRPr="004163AB">
        <w:rPr>
          <w:rFonts w:ascii="Times New Roman" w:hAnsi="Times New Roman" w:cs="Times New Roman"/>
        </w:rPr>
        <w:t xml:space="preserve"> Decreased from $80,000 in 2022 to $60,000 in 2024, showing deliberate debt reduction efforts.</w:t>
      </w:r>
    </w:p>
    <w:p w:rsidR="004163AB" w:rsidRPr="004163AB" w:rsidRDefault="004163AB" w:rsidP="00442F6B">
      <w:pPr>
        <w:jc w:val="both"/>
        <w:rPr>
          <w:rFonts w:ascii="Times New Roman" w:hAnsi="Times New Roman" w:cs="Times New Roman"/>
          <w:u w:val="single"/>
        </w:rPr>
      </w:pPr>
      <w:r w:rsidRPr="004163AB">
        <w:rPr>
          <w:rFonts w:ascii="Times New Roman" w:hAnsi="Times New Roman" w:cs="Times New Roman"/>
          <w:b/>
          <w:bCs/>
          <w:u w:val="single"/>
        </w:rPr>
        <w:t>Equity</w:t>
      </w:r>
    </w:p>
    <w:p w:rsidR="00517F43" w:rsidRPr="00D344BD" w:rsidRDefault="004163AB" w:rsidP="00442F6B">
      <w:pPr>
        <w:jc w:val="both"/>
        <w:rPr>
          <w:rFonts w:ascii="Times New Roman" w:hAnsi="Times New Roman" w:cs="Times New Roman"/>
        </w:rPr>
      </w:pPr>
      <w:r w:rsidRPr="004163AB">
        <w:rPr>
          <w:rFonts w:ascii="Times New Roman" w:hAnsi="Times New Roman" w:cs="Times New Roman"/>
        </w:rPr>
        <w:t>Increased significantly from $145,000 in 2022 to $214,000 in 2024, driven by retained earnings growth as a result of consistent profitability.</w:t>
      </w:r>
    </w:p>
    <w:p w:rsidR="00D66ACC" w:rsidRPr="004163AB" w:rsidRDefault="00D66ACC" w:rsidP="00442F6B">
      <w:pPr>
        <w:jc w:val="both"/>
        <w:rPr>
          <w:rFonts w:ascii="Times New Roman" w:hAnsi="Times New Roman" w:cs="Times New Roman"/>
        </w:rPr>
      </w:pPr>
    </w:p>
    <w:p w:rsidR="00883A69" w:rsidRPr="00D344BD" w:rsidRDefault="002147AD" w:rsidP="00442F6B">
      <w:pPr>
        <w:jc w:val="both"/>
        <w:rPr>
          <w:rFonts w:ascii="Times New Roman" w:hAnsi="Times New Roman" w:cs="Times New Roman"/>
          <w:b/>
          <w:bCs/>
          <w:color w:val="ED0000"/>
        </w:rPr>
      </w:pPr>
      <w:r w:rsidRPr="00D344BD">
        <w:rPr>
          <w:rFonts w:ascii="Times New Roman" w:hAnsi="Times New Roman" w:cs="Times New Roman"/>
          <w:b/>
          <w:bCs/>
          <w:color w:val="ED0000"/>
        </w:rPr>
        <w:t xml:space="preserve">B. </w:t>
      </w:r>
      <w:r w:rsidR="004163AB" w:rsidRPr="004163AB">
        <w:rPr>
          <w:rFonts w:ascii="Times New Roman" w:hAnsi="Times New Roman" w:cs="Times New Roman"/>
          <w:b/>
          <w:bCs/>
          <w:color w:val="ED0000"/>
        </w:rPr>
        <w:t>Income Statements</w:t>
      </w:r>
    </w:p>
    <w:tbl>
      <w:tblPr>
        <w:tblStyle w:val="TableGrid"/>
        <w:tblW w:w="10710" w:type="dxa"/>
        <w:tblInd w:w="-545" w:type="dxa"/>
        <w:tblLook w:val="04A0" w:firstRow="1" w:lastRow="0" w:firstColumn="1" w:lastColumn="0" w:noHBand="0" w:noVBand="1"/>
      </w:tblPr>
      <w:tblGrid>
        <w:gridCol w:w="1980"/>
        <w:gridCol w:w="1350"/>
        <w:gridCol w:w="3150"/>
        <w:gridCol w:w="4230"/>
      </w:tblGrid>
      <w:tr w:rsidR="00D66ACC" w:rsidRPr="00D344BD" w:rsidTr="001C3B18">
        <w:tc>
          <w:tcPr>
            <w:tcW w:w="1980" w:type="dxa"/>
          </w:tcPr>
          <w:p w:rsidR="00D66ACC" w:rsidRPr="00D344BD" w:rsidRDefault="00D66ACC" w:rsidP="00442F6B">
            <w:pPr>
              <w:jc w:val="both"/>
              <w:rPr>
                <w:rFonts w:ascii="Times New Roman" w:hAnsi="Times New Roman" w:cs="Times New Roman"/>
                <w:b/>
                <w:bCs/>
              </w:rPr>
            </w:pPr>
            <w:r w:rsidRPr="00D344BD">
              <w:rPr>
                <w:rFonts w:ascii="Times New Roman" w:hAnsi="Times New Roman" w:cs="Times New Roman"/>
                <w:b/>
                <w:bCs/>
              </w:rPr>
              <w:t>Year</w:t>
            </w:r>
          </w:p>
        </w:tc>
        <w:tc>
          <w:tcPr>
            <w:tcW w:w="135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b/>
                <w:bCs/>
              </w:rPr>
              <w:t>2022</w:t>
            </w:r>
          </w:p>
        </w:tc>
        <w:tc>
          <w:tcPr>
            <w:tcW w:w="315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b/>
                <w:bCs/>
              </w:rPr>
              <w:t>202</w:t>
            </w:r>
            <w:r w:rsidRPr="00D344BD">
              <w:rPr>
                <w:rFonts w:ascii="Times New Roman" w:hAnsi="Times New Roman" w:cs="Times New Roman"/>
                <w:b/>
                <w:bCs/>
              </w:rPr>
              <w:t>3</w:t>
            </w:r>
          </w:p>
        </w:tc>
        <w:tc>
          <w:tcPr>
            <w:tcW w:w="423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b/>
                <w:bCs/>
              </w:rPr>
              <w:t>202</w:t>
            </w:r>
            <w:r w:rsidRPr="00D344BD">
              <w:rPr>
                <w:rFonts w:ascii="Times New Roman" w:hAnsi="Times New Roman" w:cs="Times New Roman"/>
                <w:b/>
                <w:bCs/>
              </w:rPr>
              <w:t>4</w:t>
            </w:r>
          </w:p>
        </w:tc>
      </w:tr>
      <w:tr w:rsidR="00D66ACC" w:rsidRPr="00D344BD" w:rsidTr="001C3B18">
        <w:tc>
          <w:tcPr>
            <w:tcW w:w="1980" w:type="dxa"/>
          </w:tcPr>
          <w:p w:rsidR="00D66ACC" w:rsidRPr="00D344BD" w:rsidRDefault="00D66ACC" w:rsidP="00442F6B">
            <w:pPr>
              <w:jc w:val="both"/>
              <w:rPr>
                <w:rFonts w:ascii="Times New Roman" w:hAnsi="Times New Roman" w:cs="Times New Roman"/>
                <w:b/>
                <w:bCs/>
              </w:rPr>
            </w:pPr>
            <w:r w:rsidRPr="00D344BD">
              <w:rPr>
                <w:rFonts w:ascii="Times New Roman" w:hAnsi="Times New Roman" w:cs="Times New Roman"/>
                <w:b/>
                <w:bCs/>
              </w:rPr>
              <w:t>Revenue</w:t>
            </w:r>
          </w:p>
        </w:tc>
        <w:tc>
          <w:tcPr>
            <w:tcW w:w="135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rPr>
              <w:t>$</w:t>
            </w:r>
            <w:r w:rsidRPr="00D344BD">
              <w:rPr>
                <w:rFonts w:ascii="Times New Roman" w:hAnsi="Times New Roman" w:cs="Times New Roman"/>
              </w:rPr>
              <w:t>2</w:t>
            </w:r>
            <w:r w:rsidR="00256B7D" w:rsidRPr="00D344BD">
              <w:rPr>
                <w:rFonts w:ascii="Times New Roman" w:hAnsi="Times New Roman" w:cs="Times New Roman"/>
              </w:rPr>
              <w:t>20</w:t>
            </w:r>
            <w:r w:rsidRPr="00D344BD">
              <w:rPr>
                <w:rFonts w:ascii="Times New Roman" w:hAnsi="Times New Roman" w:cs="Times New Roman"/>
              </w:rPr>
              <w:t>,000</w:t>
            </w:r>
          </w:p>
        </w:tc>
        <w:tc>
          <w:tcPr>
            <w:tcW w:w="315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rPr>
              <w:t>$</w:t>
            </w:r>
            <w:r w:rsidR="00256B7D" w:rsidRPr="00D344BD">
              <w:rPr>
                <w:rFonts w:ascii="Times New Roman" w:hAnsi="Times New Roman" w:cs="Times New Roman"/>
              </w:rPr>
              <w:t>25</w:t>
            </w:r>
            <w:r w:rsidRPr="00D344BD">
              <w:rPr>
                <w:rFonts w:ascii="Times New Roman" w:hAnsi="Times New Roman" w:cs="Times New Roman"/>
              </w:rPr>
              <w:t>0,000</w:t>
            </w:r>
          </w:p>
        </w:tc>
        <w:tc>
          <w:tcPr>
            <w:tcW w:w="423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rPr>
              <w:t>$</w:t>
            </w:r>
            <w:r w:rsidR="00256B7D" w:rsidRPr="00D344BD">
              <w:rPr>
                <w:rFonts w:ascii="Times New Roman" w:hAnsi="Times New Roman" w:cs="Times New Roman"/>
              </w:rPr>
              <w:t>280</w:t>
            </w:r>
            <w:r w:rsidRPr="00D344BD">
              <w:rPr>
                <w:rFonts w:ascii="Times New Roman" w:hAnsi="Times New Roman" w:cs="Times New Roman"/>
              </w:rPr>
              <w:t>,000</w:t>
            </w:r>
          </w:p>
        </w:tc>
      </w:tr>
      <w:tr w:rsidR="00D66ACC" w:rsidRPr="00D344BD" w:rsidTr="001C3B18">
        <w:tc>
          <w:tcPr>
            <w:tcW w:w="1980" w:type="dxa"/>
          </w:tcPr>
          <w:p w:rsidR="00D66ACC" w:rsidRPr="00D344BD" w:rsidRDefault="00D66ACC" w:rsidP="00442F6B">
            <w:pPr>
              <w:jc w:val="both"/>
              <w:rPr>
                <w:rFonts w:ascii="Times New Roman" w:hAnsi="Times New Roman" w:cs="Times New Roman"/>
                <w:b/>
                <w:bCs/>
              </w:rPr>
            </w:pPr>
            <w:r w:rsidRPr="00D344BD">
              <w:rPr>
                <w:rFonts w:ascii="Times New Roman" w:hAnsi="Times New Roman" w:cs="Times New Roman"/>
                <w:b/>
                <w:bCs/>
              </w:rPr>
              <w:t xml:space="preserve">Change observed </w:t>
            </w:r>
          </w:p>
        </w:tc>
        <w:tc>
          <w:tcPr>
            <w:tcW w:w="1350" w:type="dxa"/>
          </w:tcPr>
          <w:p w:rsidR="00D66ACC" w:rsidRPr="00D344BD" w:rsidRDefault="00D66ACC" w:rsidP="00442F6B">
            <w:pPr>
              <w:jc w:val="both"/>
              <w:rPr>
                <w:rFonts w:ascii="Times New Roman" w:hAnsi="Times New Roman" w:cs="Times New Roman"/>
              </w:rPr>
            </w:pPr>
          </w:p>
        </w:tc>
        <w:tc>
          <w:tcPr>
            <w:tcW w:w="315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rPr>
              <w:t>13.</w:t>
            </w:r>
            <w:r w:rsidR="00256B7D" w:rsidRPr="00D344BD">
              <w:rPr>
                <w:rFonts w:ascii="Times New Roman" w:hAnsi="Times New Roman" w:cs="Times New Roman"/>
              </w:rPr>
              <w:t>64</w:t>
            </w:r>
            <w:r w:rsidRPr="004163AB">
              <w:rPr>
                <w:rFonts w:ascii="Times New Roman" w:hAnsi="Times New Roman" w:cs="Times New Roman"/>
              </w:rPr>
              <w:t xml:space="preserve">% increase </w:t>
            </w:r>
          </w:p>
        </w:tc>
        <w:tc>
          <w:tcPr>
            <w:tcW w:w="4230" w:type="dxa"/>
          </w:tcPr>
          <w:p w:rsidR="00D66ACC" w:rsidRPr="00D344BD" w:rsidRDefault="00D66ACC" w:rsidP="00442F6B">
            <w:pPr>
              <w:jc w:val="both"/>
              <w:rPr>
                <w:rFonts w:ascii="Times New Roman" w:hAnsi="Times New Roman" w:cs="Times New Roman"/>
              </w:rPr>
            </w:pPr>
            <w:r w:rsidRPr="004163AB">
              <w:rPr>
                <w:rFonts w:ascii="Times New Roman" w:hAnsi="Times New Roman" w:cs="Times New Roman"/>
              </w:rPr>
              <w:t>(1</w:t>
            </w:r>
            <w:r w:rsidR="00256B7D" w:rsidRPr="00D344BD">
              <w:rPr>
                <w:rFonts w:ascii="Times New Roman" w:hAnsi="Times New Roman" w:cs="Times New Roman"/>
              </w:rPr>
              <w:t>2</w:t>
            </w:r>
            <w:r w:rsidRPr="004163AB">
              <w:rPr>
                <w:rFonts w:ascii="Times New Roman" w:hAnsi="Times New Roman" w:cs="Times New Roman"/>
              </w:rPr>
              <w:t xml:space="preserve">% </w:t>
            </w:r>
            <w:proofErr w:type="gramStart"/>
            <w:r w:rsidRPr="004163AB">
              <w:rPr>
                <w:rFonts w:ascii="Times New Roman" w:hAnsi="Times New Roman" w:cs="Times New Roman"/>
              </w:rPr>
              <w:t>increase )</w:t>
            </w:r>
            <w:proofErr w:type="gramEnd"/>
          </w:p>
        </w:tc>
      </w:tr>
    </w:tbl>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Revenue grew steadily, indicating strong sales performance and market presence.</w:t>
      </w:r>
    </w:p>
    <w:p w:rsidR="004163AB" w:rsidRPr="004163AB" w:rsidRDefault="004163AB" w:rsidP="00442F6B">
      <w:pPr>
        <w:spacing w:after="0" w:line="276" w:lineRule="auto"/>
        <w:jc w:val="both"/>
        <w:rPr>
          <w:rFonts w:ascii="Times New Roman" w:hAnsi="Times New Roman" w:cs="Times New Roman"/>
        </w:rPr>
      </w:pPr>
      <w:r w:rsidRPr="004163AB">
        <w:rPr>
          <w:rFonts w:ascii="Times New Roman" w:hAnsi="Times New Roman" w:cs="Times New Roman"/>
          <w:b/>
          <w:bCs/>
        </w:rPr>
        <w:t>Expenses</w:t>
      </w:r>
    </w:p>
    <w:p w:rsidR="004163AB" w:rsidRPr="004163AB" w:rsidRDefault="004163AB" w:rsidP="00442F6B">
      <w:pPr>
        <w:spacing w:after="0" w:line="276" w:lineRule="auto"/>
        <w:jc w:val="both"/>
        <w:rPr>
          <w:rFonts w:ascii="Times New Roman" w:hAnsi="Times New Roman" w:cs="Times New Roman"/>
        </w:rPr>
      </w:pPr>
      <w:r w:rsidRPr="004163AB">
        <w:rPr>
          <w:rFonts w:ascii="Times New Roman" w:hAnsi="Times New Roman" w:cs="Times New Roman"/>
        </w:rPr>
        <w:t>Total expenses grew proportionally with revenue, increasing from $189,000 in 2022 to $241,000 in 2024.</w:t>
      </w:r>
    </w:p>
    <w:p w:rsidR="004163AB" w:rsidRPr="004163AB" w:rsidRDefault="004163AB" w:rsidP="00442F6B">
      <w:pPr>
        <w:spacing w:after="0" w:line="276" w:lineRule="auto"/>
        <w:jc w:val="both"/>
        <w:rPr>
          <w:rFonts w:ascii="Times New Roman" w:hAnsi="Times New Roman" w:cs="Times New Roman"/>
        </w:rPr>
      </w:pPr>
      <w:r w:rsidRPr="004163AB">
        <w:rPr>
          <w:rFonts w:ascii="Times New Roman" w:hAnsi="Times New Roman" w:cs="Times New Roman"/>
        </w:rPr>
        <w:t>Cost of Goods Sold (COGS) and operating expenses rose, reflecting higher production and operational costs.</w:t>
      </w:r>
    </w:p>
    <w:p w:rsidR="004163AB" w:rsidRPr="004163AB" w:rsidRDefault="004163AB" w:rsidP="00442F6B">
      <w:pPr>
        <w:spacing w:after="0" w:line="276" w:lineRule="auto"/>
        <w:jc w:val="both"/>
        <w:rPr>
          <w:rFonts w:ascii="Times New Roman" w:hAnsi="Times New Roman" w:cs="Times New Roman"/>
        </w:rPr>
      </w:pPr>
      <w:r w:rsidRPr="004163AB">
        <w:rPr>
          <w:rFonts w:ascii="Times New Roman" w:hAnsi="Times New Roman" w:cs="Times New Roman"/>
          <w:b/>
          <w:bCs/>
        </w:rPr>
        <w:t>Net Income</w:t>
      </w:r>
    </w:p>
    <w:p w:rsidR="004163AB" w:rsidRPr="004163AB" w:rsidRDefault="004163AB" w:rsidP="00442F6B">
      <w:pPr>
        <w:spacing w:after="0" w:line="276" w:lineRule="auto"/>
        <w:jc w:val="both"/>
        <w:rPr>
          <w:rFonts w:ascii="Times New Roman" w:hAnsi="Times New Roman" w:cs="Times New Roman"/>
        </w:rPr>
      </w:pPr>
      <w:r w:rsidRPr="004163AB">
        <w:rPr>
          <w:rFonts w:ascii="Times New Roman" w:hAnsi="Times New Roman" w:cs="Times New Roman"/>
        </w:rPr>
        <w:t>Improved from $31,000 in 2022 to $39,000 in 2024, despite rising expenses, showcasing effective cost management and operational efficiency.</w:t>
      </w:r>
    </w:p>
    <w:p w:rsidR="002147AD" w:rsidRPr="004163AB" w:rsidRDefault="002147AD" w:rsidP="00442F6B">
      <w:pPr>
        <w:jc w:val="both"/>
        <w:rPr>
          <w:rFonts w:ascii="Times New Roman" w:hAnsi="Times New Roman" w:cs="Times New Roman"/>
        </w:rPr>
      </w:pPr>
    </w:p>
    <w:p w:rsidR="004163AB" w:rsidRPr="004163AB" w:rsidRDefault="002147AD" w:rsidP="00442F6B">
      <w:pPr>
        <w:jc w:val="both"/>
        <w:rPr>
          <w:rFonts w:ascii="Times New Roman" w:hAnsi="Times New Roman" w:cs="Times New Roman"/>
          <w:b/>
          <w:bCs/>
          <w:color w:val="ED0000"/>
        </w:rPr>
      </w:pPr>
      <w:r w:rsidRPr="00D344BD">
        <w:rPr>
          <w:rFonts w:ascii="Times New Roman" w:hAnsi="Times New Roman" w:cs="Times New Roman"/>
          <w:b/>
          <w:bCs/>
          <w:color w:val="ED0000"/>
        </w:rPr>
        <w:t xml:space="preserve">C. </w:t>
      </w:r>
      <w:r w:rsidR="004163AB" w:rsidRPr="004163AB">
        <w:rPr>
          <w:rFonts w:ascii="Times New Roman" w:hAnsi="Times New Roman" w:cs="Times New Roman"/>
          <w:b/>
          <w:bCs/>
          <w:color w:val="ED0000"/>
        </w:rPr>
        <w:t>Cash Flow Statements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Operating Activities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Net cash from operating activities increased from $37,000 in 2022 to $46,000 in 2024, driven by growing net income and efficient cash management.</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Investing Activities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Cash outflows for PPE increased from $18,000 in 2022 to $22,000 in 2024, indicating ongoing capital investment.</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Financing Activities</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t>Net cash from financing activities remained negative, reflecting consistent long-term debt repayment.</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b/>
          <w:bCs/>
        </w:rPr>
        <w:t>Cash Position</w:t>
      </w:r>
    </w:p>
    <w:p w:rsidR="004163AB" w:rsidRPr="004163AB" w:rsidRDefault="004163AB" w:rsidP="00442F6B">
      <w:pPr>
        <w:jc w:val="both"/>
        <w:rPr>
          <w:rFonts w:ascii="Times New Roman" w:hAnsi="Times New Roman" w:cs="Times New Roman"/>
        </w:rPr>
      </w:pPr>
      <w:r w:rsidRPr="004163AB">
        <w:rPr>
          <w:rFonts w:ascii="Times New Roman" w:hAnsi="Times New Roman" w:cs="Times New Roman"/>
        </w:rPr>
        <w:lastRenderedPageBreak/>
        <w:t>End-of-period cash rose from $34,000 in 2022 to $69,000 in 2024, highlighting improved liquidity.</w:t>
      </w:r>
    </w:p>
    <w:p w:rsidR="004163AB" w:rsidRPr="00D344BD" w:rsidRDefault="004163AB" w:rsidP="00442F6B">
      <w:pPr>
        <w:jc w:val="both"/>
        <w:rPr>
          <w:rFonts w:ascii="Times New Roman" w:hAnsi="Times New Roman" w:cs="Times New Roman"/>
        </w:rPr>
      </w:pPr>
    </w:p>
    <w:p w:rsidR="002147AD" w:rsidRPr="004163AB" w:rsidRDefault="002147AD" w:rsidP="00442F6B">
      <w:pPr>
        <w:jc w:val="both"/>
        <w:rPr>
          <w:rFonts w:ascii="Times New Roman" w:hAnsi="Times New Roman" w:cs="Times New Roman"/>
        </w:rPr>
      </w:pPr>
    </w:p>
    <w:p w:rsidR="004163AB" w:rsidRPr="004163AB" w:rsidRDefault="004163AB" w:rsidP="00442F6B">
      <w:pPr>
        <w:jc w:val="both"/>
        <w:rPr>
          <w:rFonts w:ascii="Times New Roman" w:hAnsi="Times New Roman" w:cs="Times New Roman"/>
          <w:b/>
          <w:bCs/>
        </w:rPr>
      </w:pPr>
      <w:r w:rsidRPr="004163AB">
        <w:rPr>
          <w:rFonts w:ascii="Times New Roman" w:hAnsi="Times New Roman" w:cs="Times New Roman"/>
          <w:b/>
          <w:bCs/>
        </w:rPr>
        <w:t xml:space="preserve">2. </w:t>
      </w:r>
      <w:r w:rsidR="00442F6B" w:rsidRPr="00D344BD">
        <w:rPr>
          <w:rFonts w:ascii="Times New Roman" w:hAnsi="Times New Roman" w:cs="Times New Roman"/>
          <w:b/>
          <w:bCs/>
        </w:rPr>
        <w:t xml:space="preserve"> </w:t>
      </w:r>
      <w:r w:rsidRPr="004163AB">
        <w:rPr>
          <w:rFonts w:ascii="Times New Roman" w:hAnsi="Times New Roman" w:cs="Times New Roman"/>
          <w:b/>
          <w:bCs/>
        </w:rPr>
        <w:t>Impacts on Financial Health</w:t>
      </w:r>
    </w:p>
    <w:p w:rsidR="00431F61" w:rsidRPr="00D344BD" w:rsidRDefault="004163AB" w:rsidP="00442F6B">
      <w:pPr>
        <w:pStyle w:val="ListParagraph"/>
        <w:numPr>
          <w:ilvl w:val="0"/>
          <w:numId w:val="7"/>
        </w:numPr>
        <w:spacing w:after="0" w:line="276" w:lineRule="auto"/>
        <w:jc w:val="both"/>
        <w:rPr>
          <w:rFonts w:ascii="Times New Roman" w:hAnsi="Times New Roman" w:cs="Times New Roman"/>
        </w:rPr>
      </w:pPr>
      <w:r w:rsidRPr="00D344BD">
        <w:rPr>
          <w:rFonts w:ascii="Times New Roman" w:hAnsi="Times New Roman" w:cs="Times New Roman"/>
        </w:rPr>
        <w:t>The increase in current assets, particularly cash, strengthens the company's ability to meet short-term obligations.</w:t>
      </w:r>
    </w:p>
    <w:p w:rsidR="00431F61" w:rsidRPr="00D344BD" w:rsidRDefault="004163AB" w:rsidP="00442F6B">
      <w:pPr>
        <w:pStyle w:val="ListParagraph"/>
        <w:numPr>
          <w:ilvl w:val="0"/>
          <w:numId w:val="7"/>
        </w:numPr>
        <w:spacing w:after="0" w:line="276" w:lineRule="auto"/>
        <w:jc w:val="both"/>
        <w:rPr>
          <w:rFonts w:ascii="Times New Roman" w:hAnsi="Times New Roman" w:cs="Times New Roman"/>
        </w:rPr>
      </w:pPr>
      <w:r w:rsidRPr="00D344BD">
        <w:rPr>
          <w:rFonts w:ascii="Times New Roman" w:hAnsi="Times New Roman" w:cs="Times New Roman"/>
        </w:rPr>
        <w:t>Decreasing long-term debt reduces financial risk and enhances financial stability.</w:t>
      </w:r>
    </w:p>
    <w:p w:rsidR="00431F61" w:rsidRPr="00D344BD" w:rsidRDefault="004163AB" w:rsidP="00442F6B">
      <w:pPr>
        <w:pStyle w:val="ListParagraph"/>
        <w:numPr>
          <w:ilvl w:val="0"/>
          <w:numId w:val="7"/>
        </w:numPr>
        <w:spacing w:after="0" w:line="276" w:lineRule="auto"/>
        <w:jc w:val="both"/>
        <w:rPr>
          <w:rFonts w:ascii="Times New Roman" w:hAnsi="Times New Roman" w:cs="Times New Roman"/>
        </w:rPr>
      </w:pPr>
      <w:r w:rsidRPr="00D344BD">
        <w:rPr>
          <w:rFonts w:ascii="Times New Roman" w:hAnsi="Times New Roman" w:cs="Times New Roman"/>
        </w:rPr>
        <w:t>Growing revenue and net income demonstrate strong operational performance and market competitiveness.</w:t>
      </w:r>
    </w:p>
    <w:p w:rsidR="004163AB" w:rsidRPr="00D344BD" w:rsidRDefault="004163AB" w:rsidP="00442F6B">
      <w:pPr>
        <w:pStyle w:val="ListParagraph"/>
        <w:numPr>
          <w:ilvl w:val="0"/>
          <w:numId w:val="7"/>
        </w:numPr>
        <w:spacing w:after="0" w:line="276" w:lineRule="auto"/>
        <w:jc w:val="both"/>
        <w:rPr>
          <w:rFonts w:ascii="Times New Roman" w:hAnsi="Times New Roman" w:cs="Times New Roman"/>
        </w:rPr>
      </w:pPr>
      <w:r w:rsidRPr="00D344BD">
        <w:rPr>
          <w:rFonts w:ascii="Times New Roman" w:hAnsi="Times New Roman" w:cs="Times New Roman"/>
        </w:rPr>
        <w:t>Higher retained earnings indicate effective reinvestment of profits and improved shareholder value.</w:t>
      </w:r>
    </w:p>
    <w:p w:rsidR="00431F61" w:rsidRPr="004163AB" w:rsidRDefault="00431F61" w:rsidP="00442F6B">
      <w:pPr>
        <w:jc w:val="both"/>
        <w:rPr>
          <w:rFonts w:ascii="Times New Roman" w:hAnsi="Times New Roman" w:cs="Times New Roman"/>
        </w:rPr>
      </w:pPr>
    </w:p>
    <w:p w:rsidR="004163AB" w:rsidRPr="004163AB" w:rsidRDefault="004163AB" w:rsidP="00442F6B">
      <w:pPr>
        <w:jc w:val="both"/>
        <w:rPr>
          <w:rFonts w:ascii="Times New Roman" w:hAnsi="Times New Roman" w:cs="Times New Roman"/>
        </w:rPr>
      </w:pPr>
    </w:p>
    <w:p w:rsidR="004163AB" w:rsidRPr="004163AB" w:rsidRDefault="004163AB" w:rsidP="00442F6B">
      <w:pPr>
        <w:jc w:val="both"/>
        <w:rPr>
          <w:rFonts w:ascii="Times New Roman" w:hAnsi="Times New Roman" w:cs="Times New Roman"/>
          <w:b/>
          <w:bCs/>
        </w:rPr>
      </w:pPr>
      <w:r w:rsidRPr="004163AB">
        <w:rPr>
          <w:rFonts w:ascii="Times New Roman" w:hAnsi="Times New Roman" w:cs="Times New Roman"/>
          <w:b/>
          <w:bCs/>
        </w:rPr>
        <w:t>Challenges and Concerns</w:t>
      </w:r>
    </w:p>
    <w:p w:rsidR="00442F6B" w:rsidRPr="00D344BD" w:rsidRDefault="004163AB" w:rsidP="00442F6B">
      <w:pPr>
        <w:pStyle w:val="ListParagraph"/>
        <w:numPr>
          <w:ilvl w:val="0"/>
          <w:numId w:val="8"/>
        </w:numPr>
        <w:spacing w:after="0" w:line="240" w:lineRule="auto"/>
        <w:jc w:val="both"/>
        <w:rPr>
          <w:rFonts w:ascii="Times New Roman" w:hAnsi="Times New Roman" w:cs="Times New Roman"/>
        </w:rPr>
      </w:pPr>
      <w:r w:rsidRPr="00D344BD">
        <w:rPr>
          <w:rFonts w:ascii="Times New Roman" w:hAnsi="Times New Roman" w:cs="Times New Roman"/>
        </w:rPr>
        <w:t>Although manageable, the increase in current liabilities suggests a higher reliance on short-term financing.</w:t>
      </w:r>
    </w:p>
    <w:p w:rsidR="00442F6B" w:rsidRPr="00D344BD" w:rsidRDefault="004163AB" w:rsidP="00442F6B">
      <w:pPr>
        <w:pStyle w:val="ListParagraph"/>
        <w:numPr>
          <w:ilvl w:val="0"/>
          <w:numId w:val="8"/>
        </w:numPr>
        <w:spacing w:after="0" w:line="240" w:lineRule="auto"/>
        <w:jc w:val="both"/>
        <w:rPr>
          <w:rFonts w:ascii="Times New Roman" w:hAnsi="Times New Roman" w:cs="Times New Roman"/>
        </w:rPr>
      </w:pPr>
      <w:r w:rsidRPr="00D344BD">
        <w:rPr>
          <w:rFonts w:ascii="Times New Roman" w:hAnsi="Times New Roman" w:cs="Times New Roman"/>
        </w:rPr>
        <w:t>The proportional rise in COGS and operating expenses may pressure profit margins if not controlled.</w:t>
      </w:r>
    </w:p>
    <w:p w:rsidR="004163AB" w:rsidRPr="00D344BD" w:rsidRDefault="004163AB" w:rsidP="00442F6B">
      <w:pPr>
        <w:pStyle w:val="ListParagraph"/>
        <w:numPr>
          <w:ilvl w:val="0"/>
          <w:numId w:val="8"/>
        </w:numPr>
        <w:spacing w:after="0" w:line="240" w:lineRule="auto"/>
        <w:jc w:val="both"/>
        <w:rPr>
          <w:rFonts w:ascii="Times New Roman" w:hAnsi="Times New Roman" w:cs="Times New Roman"/>
        </w:rPr>
      </w:pPr>
      <w:r w:rsidRPr="00D344BD">
        <w:rPr>
          <w:rFonts w:ascii="Times New Roman" w:hAnsi="Times New Roman" w:cs="Times New Roman"/>
        </w:rPr>
        <w:t>Continuous investments in PPE may strain cash flow if not accompanied by adequate returns.</w:t>
      </w:r>
    </w:p>
    <w:p w:rsidR="00431F61" w:rsidRPr="004163AB" w:rsidRDefault="00431F61" w:rsidP="00442F6B">
      <w:pPr>
        <w:jc w:val="both"/>
        <w:rPr>
          <w:rFonts w:ascii="Times New Roman" w:hAnsi="Times New Roman" w:cs="Times New Roman"/>
        </w:rPr>
      </w:pPr>
    </w:p>
    <w:p w:rsidR="004163AB" w:rsidRPr="00D344BD" w:rsidRDefault="004163AB" w:rsidP="00442F6B">
      <w:pPr>
        <w:jc w:val="both"/>
        <w:rPr>
          <w:rFonts w:ascii="Times New Roman" w:hAnsi="Times New Roman" w:cs="Times New Roman"/>
        </w:rPr>
      </w:pPr>
      <w:r w:rsidRPr="004163AB">
        <w:rPr>
          <w:rFonts w:ascii="Times New Roman" w:hAnsi="Times New Roman" w:cs="Times New Roman"/>
        </w:rPr>
        <w:t>TechGrowth Inc. is experiencing healthy growth in its financial position, marked by improved liquidity, profitability, and equity. However, management should monitor increasing operational costs and rising short-term liabilities to sustain financial health.</w:t>
      </w:r>
    </w:p>
    <w:p w:rsidR="00727E74" w:rsidRPr="00D344BD" w:rsidRDefault="00727E74" w:rsidP="00442F6B">
      <w:pPr>
        <w:jc w:val="both"/>
        <w:rPr>
          <w:rFonts w:ascii="Times New Roman" w:hAnsi="Times New Roman" w:cs="Times New Roman"/>
        </w:rPr>
      </w:pPr>
    </w:p>
    <w:p w:rsidR="00727E74" w:rsidRPr="00727E74" w:rsidRDefault="00727E74" w:rsidP="00727E74">
      <w:pPr>
        <w:jc w:val="both"/>
        <w:rPr>
          <w:rFonts w:ascii="Times New Roman" w:hAnsi="Times New Roman" w:cs="Times New Roman"/>
          <w:b/>
          <w:bCs/>
          <w:color w:val="ED0000"/>
        </w:rPr>
      </w:pPr>
      <w:r w:rsidRPr="00727E74">
        <w:rPr>
          <w:rFonts w:ascii="Times New Roman" w:hAnsi="Times New Roman" w:cs="Times New Roman"/>
          <w:b/>
          <w:bCs/>
          <w:color w:val="ED0000"/>
        </w:rPr>
        <w:t>Step Two: Perform Financial Analysis</w:t>
      </w:r>
    </w:p>
    <w:p w:rsidR="00727E74" w:rsidRPr="00727E74" w:rsidRDefault="00727E74" w:rsidP="00727E74">
      <w:pPr>
        <w:jc w:val="both"/>
        <w:rPr>
          <w:rFonts w:ascii="Times New Roman" w:hAnsi="Times New Roman" w:cs="Times New Roman"/>
          <w:b/>
          <w:bCs/>
        </w:rPr>
      </w:pPr>
      <w:r w:rsidRPr="00727E74">
        <w:rPr>
          <w:rFonts w:ascii="Times New Roman" w:hAnsi="Times New Roman" w:cs="Times New Roman"/>
          <w:b/>
          <w:bCs/>
        </w:rPr>
        <w:t>1. Horizontal Analysis</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rPr>
        <w:t>Horizontal analysis involves assessing changes in financial statement items over time to identify trends. Here's a summary of the most significant changes:</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t>Balance Sheets</w:t>
      </w:r>
    </w:p>
    <w:p w:rsidR="00C708F1"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Total Assets increased by 26.04% from $265,000 in 2022 to $334,000 in 2024.</w:t>
      </w:r>
    </w:p>
    <w:p w:rsidR="00C708F1"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Total Current Liabilities increased by 50% from $40,000 in 2022 to $60,000 in 2024, signaling a higher reliance on short-term financing.</w:t>
      </w:r>
    </w:p>
    <w:p w:rsidR="00727E74"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Equity increased by 47.59% from $145,000 in 2022 to $214,000 in 2024, driven by growing retained earnings.</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t>Income Statements</w:t>
      </w:r>
    </w:p>
    <w:p w:rsidR="00C708F1"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Revenue increased by 27.27% over three years, from $220,000 in 2022 to $280,000 in 2024.</w:t>
      </w:r>
    </w:p>
    <w:p w:rsidR="00727E74"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Net Income increased by 25.81%, from $31,000 in 2022 to $39,000 in 2024, showing consistent profitability despite rising expenses.</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lastRenderedPageBreak/>
        <w:t>Cash Flows</w:t>
      </w:r>
    </w:p>
    <w:p w:rsidR="00727E74" w:rsidRPr="00D344BD" w:rsidRDefault="00727E74" w:rsidP="00C708F1">
      <w:pPr>
        <w:pStyle w:val="ListParagraph"/>
        <w:numPr>
          <w:ilvl w:val="0"/>
          <w:numId w:val="18"/>
        </w:numPr>
        <w:jc w:val="both"/>
        <w:rPr>
          <w:rFonts w:ascii="Times New Roman" w:hAnsi="Times New Roman" w:cs="Times New Roman"/>
        </w:rPr>
      </w:pPr>
      <w:r w:rsidRPr="00D344BD">
        <w:rPr>
          <w:rFonts w:ascii="Times New Roman" w:hAnsi="Times New Roman" w:cs="Times New Roman"/>
        </w:rPr>
        <w:t>Net Cash from Operating Activities grew by 24.32%, from $37,000 in 2022 to $46,000 in 2024, indicating strong cash generation from core operations.</w:t>
      </w:r>
    </w:p>
    <w:p w:rsidR="00727E74" w:rsidRPr="00727E74" w:rsidRDefault="00727E74" w:rsidP="00727E74">
      <w:pPr>
        <w:jc w:val="both"/>
        <w:rPr>
          <w:rFonts w:ascii="Times New Roman" w:hAnsi="Times New Roman" w:cs="Times New Roman"/>
        </w:rPr>
      </w:pPr>
    </w:p>
    <w:p w:rsidR="00727E74" w:rsidRPr="00727E74" w:rsidRDefault="00727E74" w:rsidP="00727E74">
      <w:pPr>
        <w:jc w:val="both"/>
        <w:rPr>
          <w:rFonts w:ascii="Times New Roman" w:hAnsi="Times New Roman" w:cs="Times New Roman"/>
          <w:b/>
          <w:bCs/>
        </w:rPr>
      </w:pPr>
      <w:r w:rsidRPr="00727E74">
        <w:rPr>
          <w:rFonts w:ascii="Times New Roman" w:hAnsi="Times New Roman" w:cs="Times New Roman"/>
          <w:b/>
          <w:bCs/>
        </w:rPr>
        <w:t>2. Vertical Analysis</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rPr>
        <w:t>Vertical analysis evaluates each financial statement item as a proportion of a base figure (e.g., total assets or revenue). Here's a breakdown:</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t>Balance Sheets</w:t>
      </w:r>
    </w:p>
    <w:p w:rsidR="00B4494E" w:rsidRPr="00D344BD" w:rsidRDefault="00727E74" w:rsidP="00B4494E">
      <w:pPr>
        <w:pStyle w:val="ListParagraph"/>
        <w:numPr>
          <w:ilvl w:val="0"/>
          <w:numId w:val="18"/>
        </w:numPr>
        <w:jc w:val="both"/>
        <w:rPr>
          <w:rFonts w:ascii="Times New Roman" w:hAnsi="Times New Roman" w:cs="Times New Roman"/>
        </w:rPr>
      </w:pPr>
      <w:r w:rsidRPr="00D344BD">
        <w:rPr>
          <w:rFonts w:ascii="Times New Roman" w:hAnsi="Times New Roman" w:cs="Times New Roman"/>
        </w:rPr>
        <w:t>Current Assets represented 36.6% of total assets in 2022, increasing to 42.5% in 2024, suggesting improved liquidity.</w:t>
      </w:r>
    </w:p>
    <w:p w:rsidR="00B4494E" w:rsidRPr="00D344BD" w:rsidRDefault="00B4494E" w:rsidP="00B4494E">
      <w:pPr>
        <w:pStyle w:val="ListParagraph"/>
        <w:jc w:val="both"/>
        <w:rPr>
          <w:rFonts w:ascii="Times New Roman" w:hAnsi="Times New Roman" w:cs="Times New Roman"/>
        </w:rPr>
      </w:pPr>
    </w:p>
    <w:p w:rsidR="00727E74" w:rsidRPr="00D344BD" w:rsidRDefault="00727E74" w:rsidP="00B4494E">
      <w:pPr>
        <w:pStyle w:val="ListParagraph"/>
        <w:numPr>
          <w:ilvl w:val="0"/>
          <w:numId w:val="18"/>
        </w:numPr>
        <w:jc w:val="both"/>
        <w:rPr>
          <w:rFonts w:ascii="Times New Roman" w:hAnsi="Times New Roman" w:cs="Times New Roman"/>
        </w:rPr>
      </w:pPr>
      <w:r w:rsidRPr="00D344BD">
        <w:rPr>
          <w:rFonts w:ascii="Times New Roman" w:hAnsi="Times New Roman" w:cs="Times New Roman"/>
        </w:rPr>
        <w:t>Equity accounted for 54.7% of total assets in 2022, rising to 64.1% in 2024, indicating stronger capital structure and reduced reliance on debt.</w:t>
      </w:r>
    </w:p>
    <w:p w:rsidR="00B4494E" w:rsidRPr="00D344BD" w:rsidRDefault="00B4494E" w:rsidP="00727E74">
      <w:pPr>
        <w:jc w:val="both"/>
        <w:rPr>
          <w:rFonts w:ascii="Times New Roman" w:hAnsi="Times New Roman" w:cs="Times New Roman"/>
          <w:b/>
          <w:bCs/>
        </w:rPr>
      </w:pPr>
    </w:p>
    <w:p w:rsidR="00B4494E" w:rsidRPr="00D344BD" w:rsidRDefault="00B4494E" w:rsidP="00727E74">
      <w:pPr>
        <w:jc w:val="both"/>
        <w:rPr>
          <w:rFonts w:ascii="Times New Roman" w:hAnsi="Times New Roman" w:cs="Times New Roman"/>
          <w:b/>
          <w:bCs/>
        </w:rPr>
      </w:pP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t>Income Statements (Percentage of Revenue)</w:t>
      </w:r>
    </w:p>
    <w:p w:rsidR="001A7028" w:rsidRPr="00D344BD" w:rsidRDefault="00727E74" w:rsidP="001A7028">
      <w:pPr>
        <w:pStyle w:val="ListParagraph"/>
        <w:numPr>
          <w:ilvl w:val="0"/>
          <w:numId w:val="18"/>
        </w:numPr>
        <w:jc w:val="both"/>
        <w:rPr>
          <w:rFonts w:ascii="Times New Roman" w:hAnsi="Times New Roman" w:cs="Times New Roman"/>
        </w:rPr>
      </w:pPr>
      <w:r w:rsidRPr="00D344BD">
        <w:rPr>
          <w:rFonts w:ascii="Times New Roman" w:hAnsi="Times New Roman" w:cs="Times New Roman"/>
        </w:rPr>
        <w:t>COGS consistently accounted for 59–61% of revenue, showing stable production efficiency.</w:t>
      </w:r>
    </w:p>
    <w:p w:rsidR="001A7028" w:rsidRPr="00D344BD" w:rsidRDefault="00727E74" w:rsidP="001A7028">
      <w:pPr>
        <w:pStyle w:val="ListParagraph"/>
        <w:numPr>
          <w:ilvl w:val="0"/>
          <w:numId w:val="18"/>
        </w:numPr>
        <w:jc w:val="both"/>
        <w:rPr>
          <w:rFonts w:ascii="Times New Roman" w:hAnsi="Times New Roman" w:cs="Times New Roman"/>
        </w:rPr>
      </w:pPr>
      <w:r w:rsidRPr="00D344BD">
        <w:rPr>
          <w:rFonts w:ascii="Times New Roman" w:hAnsi="Times New Roman" w:cs="Times New Roman"/>
        </w:rPr>
        <w:t>Operating Expenses remained at 20–22% of revenue, indicating consistent cost management.</w:t>
      </w:r>
    </w:p>
    <w:p w:rsidR="00727E74" w:rsidRPr="00D344BD" w:rsidRDefault="00727E74" w:rsidP="001A7028">
      <w:pPr>
        <w:pStyle w:val="ListParagraph"/>
        <w:numPr>
          <w:ilvl w:val="0"/>
          <w:numId w:val="18"/>
        </w:numPr>
        <w:jc w:val="both"/>
        <w:rPr>
          <w:rFonts w:ascii="Times New Roman" w:hAnsi="Times New Roman" w:cs="Times New Roman"/>
        </w:rPr>
      </w:pPr>
      <w:r w:rsidRPr="00D344BD">
        <w:rPr>
          <w:rFonts w:ascii="Times New Roman" w:hAnsi="Times New Roman" w:cs="Times New Roman"/>
        </w:rPr>
        <w:t>Net Income Margin was 14.1% in 2022, 14% in 2023, and 13.9% in 2024, highlighting stable profitability.</w:t>
      </w:r>
    </w:p>
    <w:p w:rsidR="00727E74" w:rsidRPr="00727E74" w:rsidRDefault="00727E74" w:rsidP="00727E74">
      <w:pPr>
        <w:jc w:val="both"/>
        <w:rPr>
          <w:rFonts w:ascii="Times New Roman" w:hAnsi="Times New Roman" w:cs="Times New Roman"/>
        </w:rPr>
      </w:pPr>
      <w:r w:rsidRPr="00727E74">
        <w:rPr>
          <w:rFonts w:ascii="Times New Roman" w:hAnsi="Times New Roman" w:cs="Times New Roman"/>
          <w:b/>
          <w:bCs/>
        </w:rPr>
        <w:t>Implications</w:t>
      </w:r>
    </w:p>
    <w:p w:rsidR="001A7028" w:rsidRPr="00D344BD" w:rsidRDefault="00727E74" w:rsidP="001A7028">
      <w:pPr>
        <w:pStyle w:val="ListParagraph"/>
        <w:numPr>
          <w:ilvl w:val="0"/>
          <w:numId w:val="18"/>
        </w:numPr>
        <w:jc w:val="both"/>
        <w:rPr>
          <w:rFonts w:ascii="Times New Roman" w:hAnsi="Times New Roman" w:cs="Times New Roman"/>
        </w:rPr>
      </w:pPr>
      <w:r w:rsidRPr="00D344BD">
        <w:rPr>
          <w:rFonts w:ascii="Times New Roman" w:hAnsi="Times New Roman" w:cs="Times New Roman"/>
        </w:rPr>
        <w:t>Increased proportion of equity in the balance sheet enhances financial resilience.</w:t>
      </w:r>
    </w:p>
    <w:p w:rsidR="00727E74" w:rsidRPr="00D344BD" w:rsidRDefault="00727E74" w:rsidP="001A7028">
      <w:pPr>
        <w:pStyle w:val="ListParagraph"/>
        <w:numPr>
          <w:ilvl w:val="0"/>
          <w:numId w:val="18"/>
        </w:numPr>
        <w:jc w:val="both"/>
        <w:rPr>
          <w:rFonts w:ascii="Times New Roman" w:hAnsi="Times New Roman" w:cs="Times New Roman"/>
        </w:rPr>
      </w:pPr>
      <w:r w:rsidRPr="00D344BD">
        <w:rPr>
          <w:rFonts w:ascii="Times New Roman" w:hAnsi="Times New Roman" w:cs="Times New Roman"/>
        </w:rPr>
        <w:t>Stable cost ratios ensure the company maintains profitability.</w:t>
      </w:r>
    </w:p>
    <w:p w:rsidR="00727E74" w:rsidRPr="00727E74" w:rsidRDefault="00727E74" w:rsidP="00727E74">
      <w:pPr>
        <w:jc w:val="both"/>
        <w:rPr>
          <w:rFonts w:ascii="Times New Roman" w:hAnsi="Times New Roman" w:cs="Times New Roman"/>
        </w:rPr>
      </w:pPr>
    </w:p>
    <w:p w:rsidR="00727E74" w:rsidRPr="00727E74" w:rsidRDefault="00727E74" w:rsidP="001A7028">
      <w:pPr>
        <w:rPr>
          <w:rFonts w:ascii="Times New Roman" w:hAnsi="Times New Roman" w:cs="Times New Roman"/>
          <w:b/>
          <w:bCs/>
        </w:rPr>
      </w:pPr>
      <w:r w:rsidRPr="00727E74">
        <w:rPr>
          <w:rFonts w:ascii="Times New Roman" w:hAnsi="Times New Roman" w:cs="Times New Roman"/>
          <w:b/>
          <w:bCs/>
        </w:rPr>
        <w:t>3. Ratio Analysis</w:t>
      </w:r>
    </w:p>
    <w:p w:rsidR="00871EE4" w:rsidRPr="00727E74" w:rsidRDefault="00727E74" w:rsidP="001A7028">
      <w:pPr>
        <w:rPr>
          <w:rFonts w:ascii="Times New Roman" w:hAnsi="Times New Roman" w:cs="Times New Roman"/>
          <w:b/>
          <w:bCs/>
        </w:rPr>
      </w:pPr>
      <w:r w:rsidRPr="00727E74">
        <w:rPr>
          <w:rFonts w:ascii="Times New Roman" w:hAnsi="Times New Roman" w:cs="Times New Roman"/>
          <w:b/>
          <w:bCs/>
        </w:rPr>
        <w:t>Liquidity Ratios:</w:t>
      </w:r>
    </w:p>
    <w:p w:rsidR="00871EE4" w:rsidRPr="00D344BD" w:rsidRDefault="00871EE4" w:rsidP="00871EE4">
      <w:pPr>
        <w:rPr>
          <w:rFonts w:ascii="Times New Roman" w:hAnsi="Times New Roman" w:cs="Times New Roman"/>
        </w:rPr>
      </w:pPr>
      <w:r w:rsidRPr="00D344BD">
        <w:rPr>
          <w:rFonts w:ascii="Times New Roman" w:hAnsi="Times New Roman" w:cs="Times New Roman"/>
        </w:rPr>
        <w:t xml:space="preserve">Current Ratio (Current Assets / Current Liabilities): year 2022 </w:t>
      </w:r>
      <w:r w:rsidRPr="00D344BD">
        <w:rPr>
          <w:rFonts w:ascii="Times New Roman" w:hAnsi="Times New Roman" w:cs="Times New Roman"/>
        </w:rPr>
        <w:t>is 2.43, year</w:t>
      </w:r>
      <w:r w:rsidRPr="00D344BD">
        <w:rPr>
          <w:rFonts w:ascii="Times New Roman" w:hAnsi="Times New Roman" w:cs="Times New Roman"/>
        </w:rPr>
        <w:t xml:space="preserve"> 2023 </w:t>
      </w:r>
      <w:r w:rsidRPr="00D344BD">
        <w:rPr>
          <w:rFonts w:ascii="Times New Roman" w:hAnsi="Times New Roman" w:cs="Times New Roman"/>
        </w:rPr>
        <w:t>is 2.4</w:t>
      </w:r>
      <w:r w:rsidRPr="00D344BD">
        <w:rPr>
          <w:rFonts w:ascii="Times New Roman" w:hAnsi="Times New Roman" w:cs="Times New Roman"/>
        </w:rPr>
        <w:t xml:space="preserve"> and year 2024 is 2.37</w:t>
      </w:r>
      <w:r w:rsidRPr="00D344BD">
        <w:rPr>
          <w:rFonts w:ascii="Times New Roman" w:hAnsi="Times New Roman" w:cs="Times New Roman"/>
        </w:rPr>
        <w:br/>
        <w:t>The ratios consistently exceed the ideal threshold of 2, indicating strong liquidity.</w:t>
      </w:r>
    </w:p>
    <w:p w:rsidR="00871EE4" w:rsidRPr="00D344BD" w:rsidRDefault="00871EE4" w:rsidP="00871EE4">
      <w:pPr>
        <w:rPr>
          <w:rFonts w:ascii="Times New Roman" w:hAnsi="Times New Roman" w:cs="Times New Roman"/>
        </w:rPr>
      </w:pPr>
      <w:r w:rsidRPr="00D344BD">
        <w:rPr>
          <w:rFonts w:ascii="Times New Roman" w:hAnsi="Times New Roman" w:cs="Times New Roman"/>
        </w:rPr>
        <w:t xml:space="preserve">Quick Ratio (Current Assets - Inventory) / Current Liabilities): year 2022 is </w:t>
      </w:r>
      <w:r w:rsidRPr="00D344BD">
        <w:rPr>
          <w:rFonts w:ascii="Times New Roman" w:hAnsi="Times New Roman" w:cs="Times New Roman"/>
        </w:rPr>
        <w:t>1.73,</w:t>
      </w:r>
      <w:r w:rsidRPr="00D344BD">
        <w:rPr>
          <w:rFonts w:ascii="Times New Roman" w:hAnsi="Times New Roman" w:cs="Times New Roman"/>
        </w:rPr>
        <w:t xml:space="preserve"> year 2023 is 1.8 and year 2024 is 1.83</w:t>
      </w:r>
      <w:r w:rsidRPr="00D344BD">
        <w:rPr>
          <w:rFonts w:ascii="Times New Roman" w:hAnsi="Times New Roman" w:cs="Times New Roman"/>
        </w:rPr>
        <w:br/>
        <w:t>Excluding inventory, the company remains liquid, indicating its ability to meet short-term obligations effectively.</w:t>
      </w:r>
    </w:p>
    <w:p w:rsidR="00727E74" w:rsidRPr="00727E74" w:rsidRDefault="00727E74" w:rsidP="00727E74">
      <w:pPr>
        <w:jc w:val="both"/>
        <w:rPr>
          <w:rFonts w:ascii="Times New Roman" w:hAnsi="Times New Roman" w:cs="Times New Roman"/>
        </w:rPr>
      </w:pPr>
    </w:p>
    <w:p w:rsidR="004D147C" w:rsidRPr="004D147C" w:rsidRDefault="004D147C" w:rsidP="004D147C">
      <w:pPr>
        <w:jc w:val="both"/>
        <w:rPr>
          <w:rFonts w:ascii="Times New Roman" w:hAnsi="Times New Roman" w:cs="Times New Roman"/>
          <w:b/>
          <w:bCs/>
        </w:rPr>
      </w:pPr>
      <w:r w:rsidRPr="004D147C">
        <w:rPr>
          <w:rFonts w:ascii="Times New Roman" w:hAnsi="Times New Roman" w:cs="Times New Roman"/>
          <w:b/>
          <w:bCs/>
        </w:rPr>
        <w:t>Profitability Ratios</w:t>
      </w:r>
    </w:p>
    <w:p w:rsidR="004D147C" w:rsidRPr="004D147C" w:rsidRDefault="004D147C" w:rsidP="004D147C">
      <w:pPr>
        <w:jc w:val="both"/>
        <w:rPr>
          <w:rFonts w:ascii="Times New Roman" w:hAnsi="Times New Roman" w:cs="Times New Roman"/>
        </w:rPr>
      </w:pPr>
      <w:r w:rsidRPr="004D147C">
        <w:rPr>
          <w:rFonts w:ascii="Times New Roman" w:hAnsi="Times New Roman" w:cs="Times New Roman"/>
        </w:rPr>
        <w:lastRenderedPageBreak/>
        <w:t>Net Profit Margin (Net Income / Revenue): 2022 is 14.1</w:t>
      </w:r>
      <w:proofErr w:type="gramStart"/>
      <w:r w:rsidRPr="004D147C">
        <w:rPr>
          <w:rFonts w:ascii="Times New Roman" w:hAnsi="Times New Roman" w:cs="Times New Roman"/>
        </w:rPr>
        <w:t>% ,</w:t>
      </w:r>
      <w:proofErr w:type="gramEnd"/>
      <w:r w:rsidRPr="004D147C">
        <w:rPr>
          <w:rFonts w:ascii="Times New Roman" w:hAnsi="Times New Roman" w:cs="Times New Roman"/>
        </w:rPr>
        <w:t xml:space="preserve"> 2023 is 14% 2024 is 13.9%</w:t>
      </w:r>
      <w:r w:rsidRPr="004D147C">
        <w:rPr>
          <w:rFonts w:ascii="Times New Roman" w:hAnsi="Times New Roman" w:cs="Times New Roman"/>
        </w:rPr>
        <w:br/>
        <w:t>Margins are stable but slightly declining, suggesting rising costs relative to revenue.</w:t>
      </w:r>
    </w:p>
    <w:p w:rsidR="004D147C" w:rsidRPr="004D147C" w:rsidRDefault="004D147C" w:rsidP="004D147C">
      <w:pPr>
        <w:jc w:val="both"/>
        <w:rPr>
          <w:rFonts w:ascii="Times New Roman" w:hAnsi="Times New Roman" w:cs="Times New Roman"/>
        </w:rPr>
      </w:pPr>
      <w:r w:rsidRPr="004D147C">
        <w:rPr>
          <w:rFonts w:ascii="Times New Roman" w:hAnsi="Times New Roman" w:cs="Times New Roman"/>
        </w:rPr>
        <w:t>Return on Assets (Net Income / Total Assets): 2022 is 11.7%, 2023 is 11.7</w:t>
      </w:r>
      <w:proofErr w:type="gramStart"/>
      <w:r w:rsidRPr="004D147C">
        <w:rPr>
          <w:rFonts w:ascii="Times New Roman" w:hAnsi="Times New Roman" w:cs="Times New Roman"/>
        </w:rPr>
        <w:t>%  and</w:t>
      </w:r>
      <w:proofErr w:type="gramEnd"/>
      <w:r w:rsidRPr="004D147C">
        <w:rPr>
          <w:rFonts w:ascii="Times New Roman" w:hAnsi="Times New Roman" w:cs="Times New Roman"/>
        </w:rPr>
        <w:t xml:space="preserve"> 2024 is 11.7%</w:t>
      </w:r>
      <w:r w:rsidRPr="004D147C">
        <w:rPr>
          <w:rFonts w:ascii="Times New Roman" w:hAnsi="Times New Roman" w:cs="Times New Roman"/>
        </w:rPr>
        <w:br/>
        <w:t>ROA remains consistent, indicating effective utilization of assets to generate income.</w:t>
      </w:r>
    </w:p>
    <w:p w:rsidR="00227D72" w:rsidRPr="00D344BD" w:rsidRDefault="004D147C" w:rsidP="004D147C">
      <w:pPr>
        <w:jc w:val="both"/>
        <w:rPr>
          <w:rFonts w:ascii="Times New Roman" w:hAnsi="Times New Roman" w:cs="Times New Roman"/>
        </w:rPr>
      </w:pPr>
      <w:r w:rsidRPr="004D147C">
        <w:rPr>
          <w:rFonts w:ascii="Times New Roman" w:hAnsi="Times New Roman" w:cs="Times New Roman"/>
        </w:rPr>
        <w:t>Return on Equity (Net Income / Equity): 2022 is 21.4%, 2023 is 19.4% and 2024 is 18.2%</w:t>
      </w:r>
      <w:r w:rsidRPr="004D147C">
        <w:rPr>
          <w:rFonts w:ascii="Times New Roman" w:hAnsi="Times New Roman" w:cs="Times New Roman"/>
        </w:rPr>
        <w:br/>
        <w:t>Slight decline over time reflects dilution of returns as equity grows.</w:t>
      </w:r>
    </w:p>
    <w:p w:rsidR="00227D72" w:rsidRPr="00227D72" w:rsidRDefault="00227D72" w:rsidP="00227D72">
      <w:pPr>
        <w:jc w:val="both"/>
        <w:rPr>
          <w:rFonts w:ascii="Times New Roman" w:hAnsi="Times New Roman" w:cs="Times New Roman"/>
        </w:rPr>
      </w:pPr>
      <w:r w:rsidRPr="00227D72">
        <w:rPr>
          <w:rFonts w:ascii="Times New Roman" w:hAnsi="Times New Roman" w:cs="Times New Roman"/>
          <w:b/>
          <w:bCs/>
        </w:rPr>
        <w:t>Leverage Ratios</w:t>
      </w:r>
    </w:p>
    <w:p w:rsidR="00227D72" w:rsidRPr="00227D72" w:rsidRDefault="00227D72" w:rsidP="00227D72">
      <w:pPr>
        <w:jc w:val="both"/>
        <w:rPr>
          <w:rFonts w:ascii="Times New Roman" w:hAnsi="Times New Roman" w:cs="Times New Roman"/>
        </w:rPr>
      </w:pPr>
      <w:r w:rsidRPr="00227D72">
        <w:rPr>
          <w:rFonts w:ascii="Times New Roman" w:hAnsi="Times New Roman" w:cs="Times New Roman"/>
        </w:rPr>
        <w:t xml:space="preserve">Debt-to-Equity Ratio (Total Liabilities / Equity): 2022 </w:t>
      </w:r>
      <w:proofErr w:type="gramStart"/>
      <w:r w:rsidRPr="00227D72">
        <w:rPr>
          <w:rFonts w:ascii="Times New Roman" w:hAnsi="Times New Roman" w:cs="Times New Roman"/>
        </w:rPr>
        <w:t>is  0.83</w:t>
      </w:r>
      <w:proofErr w:type="gramEnd"/>
      <w:r w:rsidRPr="00227D72">
        <w:rPr>
          <w:rFonts w:ascii="Times New Roman" w:hAnsi="Times New Roman" w:cs="Times New Roman"/>
        </w:rPr>
        <w:t xml:space="preserve"> , 2023 is 0.67 and 2024 is  0.56</w:t>
      </w:r>
      <w:r w:rsidRPr="00227D72">
        <w:rPr>
          <w:rFonts w:ascii="Times New Roman" w:hAnsi="Times New Roman" w:cs="Times New Roman"/>
        </w:rPr>
        <w:br/>
        <w:t>Declining leverage ratio shows reduced dependence on debt financing, enhancing financial stability.</w:t>
      </w:r>
    </w:p>
    <w:p w:rsidR="00727E74" w:rsidRPr="00727E74" w:rsidRDefault="00227D72" w:rsidP="00727E74">
      <w:pPr>
        <w:jc w:val="both"/>
        <w:rPr>
          <w:rFonts w:ascii="Times New Roman" w:hAnsi="Times New Roman" w:cs="Times New Roman"/>
        </w:rPr>
      </w:pPr>
      <w:r w:rsidRPr="00227D72">
        <w:rPr>
          <w:rFonts w:ascii="Times New Roman" w:hAnsi="Times New Roman" w:cs="Times New Roman"/>
        </w:rPr>
        <w:t xml:space="preserve">Interest Coverage Ratio (EBIT / Interest Expense): 2022 is 7.50, 2023 </w:t>
      </w:r>
      <w:proofErr w:type="gramStart"/>
      <w:r w:rsidRPr="00227D72">
        <w:rPr>
          <w:rFonts w:ascii="Times New Roman" w:hAnsi="Times New Roman" w:cs="Times New Roman"/>
        </w:rPr>
        <w:t>is  10.00</w:t>
      </w:r>
      <w:proofErr w:type="gramEnd"/>
      <w:r w:rsidRPr="00227D72">
        <w:rPr>
          <w:rFonts w:ascii="Times New Roman" w:hAnsi="Times New Roman" w:cs="Times New Roman"/>
        </w:rPr>
        <w:t xml:space="preserve"> and 2024 is  13.75</w:t>
      </w:r>
      <w:r w:rsidRPr="00227D72">
        <w:rPr>
          <w:rFonts w:ascii="Times New Roman" w:hAnsi="Times New Roman" w:cs="Times New Roman"/>
        </w:rPr>
        <w:br/>
        <w:t>High and improving ratios reflect strong ability to cover interest expenses with operating earnings.</w:t>
      </w:r>
    </w:p>
    <w:p w:rsidR="00442F6B" w:rsidRPr="00D344BD" w:rsidRDefault="00727E74" w:rsidP="00517F43">
      <w:pPr>
        <w:jc w:val="both"/>
        <w:rPr>
          <w:rFonts w:ascii="Times New Roman" w:hAnsi="Times New Roman" w:cs="Times New Roman"/>
        </w:rPr>
      </w:pPr>
      <w:r w:rsidRPr="00727E74">
        <w:rPr>
          <w:rFonts w:ascii="Times New Roman" w:hAnsi="Times New Roman" w:cs="Times New Roman"/>
        </w:rPr>
        <w:t>TechGrowth Inc.’s financial analysis reveals a solid liquidity position, consistent profitability, and reduced leverage, all of which contribute to financial health and stability. However, slight declines in profitability margins and ROE warrant attention to operational efficiency and cost management. The company is well-positioned for future growth if it continues to optimize its financial strategy.</w:t>
      </w:r>
    </w:p>
    <w:p w:rsidR="00442F6B" w:rsidRPr="00D344BD" w:rsidRDefault="00442F6B">
      <w:pPr>
        <w:rPr>
          <w:rFonts w:ascii="Times New Roman" w:hAnsi="Times New Roman" w:cs="Times New Roman"/>
        </w:rPr>
      </w:pPr>
    </w:p>
    <w:p w:rsidR="00EB2775" w:rsidRPr="00EB2775" w:rsidRDefault="00EB2775" w:rsidP="00EB2775">
      <w:pPr>
        <w:rPr>
          <w:rFonts w:ascii="Times New Roman" w:hAnsi="Times New Roman" w:cs="Times New Roman"/>
          <w:b/>
          <w:bCs/>
          <w:color w:val="ED0000"/>
        </w:rPr>
      </w:pPr>
      <w:r w:rsidRPr="00EB2775">
        <w:rPr>
          <w:rFonts w:ascii="Times New Roman" w:hAnsi="Times New Roman" w:cs="Times New Roman"/>
          <w:b/>
          <w:bCs/>
          <w:color w:val="ED0000"/>
        </w:rPr>
        <w:t>Step Three: Apply Data Analytics</w:t>
      </w:r>
    </w:p>
    <w:p w:rsidR="00EB2775" w:rsidRPr="00D344BD" w:rsidRDefault="00EB2775" w:rsidP="00F91FDF">
      <w:pPr>
        <w:pStyle w:val="ListParagraph"/>
        <w:numPr>
          <w:ilvl w:val="0"/>
          <w:numId w:val="23"/>
        </w:numPr>
        <w:rPr>
          <w:rFonts w:ascii="Times New Roman" w:hAnsi="Times New Roman" w:cs="Times New Roman"/>
          <w:b/>
          <w:bCs/>
        </w:rPr>
      </w:pPr>
      <w:r w:rsidRPr="00D344BD">
        <w:rPr>
          <w:rFonts w:ascii="Times New Roman" w:hAnsi="Times New Roman" w:cs="Times New Roman"/>
          <w:b/>
          <w:bCs/>
        </w:rPr>
        <w:t>Descriptive Analytics</w:t>
      </w:r>
    </w:p>
    <w:p w:rsidR="00EB2775" w:rsidRPr="00EB2775" w:rsidRDefault="00EB2775" w:rsidP="00EB2775">
      <w:pPr>
        <w:rPr>
          <w:rFonts w:ascii="Times New Roman" w:hAnsi="Times New Roman" w:cs="Times New Roman"/>
        </w:rPr>
      </w:pPr>
      <w:r w:rsidRPr="00EB2775">
        <w:rPr>
          <w:rFonts w:ascii="Times New Roman" w:hAnsi="Times New Roman" w:cs="Times New Roman"/>
          <w:b/>
          <w:bCs/>
        </w:rPr>
        <w:t>Summary of Financial Data and Performance</w:t>
      </w:r>
    </w:p>
    <w:p w:rsidR="00EB2775" w:rsidRPr="00EB2775" w:rsidRDefault="0061287E" w:rsidP="00EB2775">
      <w:pPr>
        <w:rPr>
          <w:rFonts w:ascii="Times New Roman" w:hAnsi="Times New Roman" w:cs="Times New Roman"/>
        </w:rPr>
      </w:pPr>
      <w:r w:rsidRPr="00D344BD">
        <w:rPr>
          <w:rFonts w:ascii="Times New Roman" w:hAnsi="Times New Roman" w:cs="Times New Roman"/>
        </w:rPr>
        <w:t>The r</w:t>
      </w:r>
      <w:r w:rsidR="00EB2775" w:rsidRPr="00EB2775">
        <w:rPr>
          <w:rFonts w:ascii="Times New Roman" w:hAnsi="Times New Roman" w:cs="Times New Roman"/>
        </w:rPr>
        <w:t>evenue increased steadily from $220,000 in 2022 to $280,000 in 2024, reflecting an average annual growth rate of 12.8%.</w:t>
      </w:r>
    </w:p>
    <w:p w:rsidR="00EB2775" w:rsidRPr="00EB2775" w:rsidRDefault="0061287E" w:rsidP="00EB2775">
      <w:pPr>
        <w:rPr>
          <w:rFonts w:ascii="Times New Roman" w:hAnsi="Times New Roman" w:cs="Times New Roman"/>
        </w:rPr>
      </w:pPr>
      <w:r w:rsidRPr="00D344BD">
        <w:rPr>
          <w:rFonts w:ascii="Times New Roman" w:hAnsi="Times New Roman" w:cs="Times New Roman"/>
        </w:rPr>
        <w:t>The n</w:t>
      </w:r>
      <w:r w:rsidR="00EB2775" w:rsidRPr="00EB2775">
        <w:rPr>
          <w:rFonts w:ascii="Times New Roman" w:hAnsi="Times New Roman" w:cs="Times New Roman"/>
        </w:rPr>
        <w:t>et income margin remained stable at around 14%, with net income growing from $31,000 in 2022 to $39,000 in 2024.</w:t>
      </w:r>
    </w:p>
    <w:p w:rsidR="00EB2775" w:rsidRPr="00EB2775" w:rsidRDefault="0061287E" w:rsidP="00EB2775">
      <w:pPr>
        <w:rPr>
          <w:rFonts w:ascii="Times New Roman" w:hAnsi="Times New Roman" w:cs="Times New Roman"/>
        </w:rPr>
      </w:pPr>
      <w:r w:rsidRPr="00D344BD">
        <w:rPr>
          <w:rFonts w:ascii="Times New Roman" w:hAnsi="Times New Roman" w:cs="Times New Roman"/>
        </w:rPr>
        <w:t>The t</w:t>
      </w:r>
      <w:r w:rsidR="00EB2775" w:rsidRPr="00EB2775">
        <w:rPr>
          <w:rFonts w:ascii="Times New Roman" w:hAnsi="Times New Roman" w:cs="Times New Roman"/>
        </w:rPr>
        <w:t>otal assets grew by 26.04%, from $265,000 in 2022 to $334,000 in 2024, driven by increases in both current and non-current assets.</w:t>
      </w:r>
    </w:p>
    <w:p w:rsidR="00EB2775" w:rsidRPr="00EB2775" w:rsidRDefault="0061287E" w:rsidP="00EB2775">
      <w:pPr>
        <w:rPr>
          <w:rFonts w:ascii="Times New Roman" w:hAnsi="Times New Roman" w:cs="Times New Roman"/>
        </w:rPr>
      </w:pPr>
      <w:r w:rsidRPr="00D344BD">
        <w:rPr>
          <w:rFonts w:ascii="Times New Roman" w:hAnsi="Times New Roman" w:cs="Times New Roman"/>
        </w:rPr>
        <w:t>The c</w:t>
      </w:r>
      <w:r w:rsidR="00EB2775" w:rsidRPr="00EB2775">
        <w:rPr>
          <w:rFonts w:ascii="Times New Roman" w:hAnsi="Times New Roman" w:cs="Times New Roman"/>
        </w:rPr>
        <w:t>urrent assets as a percentage of total assets improved from 36.6% in 2022 to 42.5% in 2024, enhancing liquidity.</w:t>
      </w:r>
    </w:p>
    <w:p w:rsidR="00EB2775" w:rsidRPr="00EB2775" w:rsidRDefault="0061287E" w:rsidP="00EB2775">
      <w:pPr>
        <w:rPr>
          <w:rFonts w:ascii="Times New Roman" w:hAnsi="Times New Roman" w:cs="Times New Roman"/>
        </w:rPr>
      </w:pPr>
      <w:r w:rsidRPr="00D344BD">
        <w:rPr>
          <w:rFonts w:ascii="Times New Roman" w:hAnsi="Times New Roman" w:cs="Times New Roman"/>
        </w:rPr>
        <w:t>The l</w:t>
      </w:r>
      <w:r w:rsidR="00EB2775" w:rsidRPr="00EB2775">
        <w:rPr>
          <w:rFonts w:ascii="Times New Roman" w:hAnsi="Times New Roman" w:cs="Times New Roman"/>
        </w:rPr>
        <w:t>ong-term debt decreased by 25%, reflecting a reduced reliance on debt financing.</w:t>
      </w:r>
    </w:p>
    <w:p w:rsidR="00EB2775" w:rsidRPr="00D344BD" w:rsidRDefault="0061287E" w:rsidP="00EB2775">
      <w:pPr>
        <w:rPr>
          <w:rFonts w:ascii="Times New Roman" w:hAnsi="Times New Roman" w:cs="Times New Roman"/>
        </w:rPr>
      </w:pPr>
      <w:r w:rsidRPr="00D344BD">
        <w:rPr>
          <w:rFonts w:ascii="Times New Roman" w:hAnsi="Times New Roman" w:cs="Times New Roman"/>
        </w:rPr>
        <w:t>The o</w:t>
      </w:r>
      <w:r w:rsidR="00EB2775" w:rsidRPr="00EB2775">
        <w:rPr>
          <w:rFonts w:ascii="Times New Roman" w:hAnsi="Times New Roman" w:cs="Times New Roman"/>
        </w:rPr>
        <w:t>perating cash flows increased by 24.3%, ensuring robust cash generation to support operations and investments.</w:t>
      </w:r>
    </w:p>
    <w:p w:rsidR="0061287E" w:rsidRPr="00EB2775" w:rsidRDefault="0061287E" w:rsidP="00EB2775">
      <w:pPr>
        <w:rPr>
          <w:rFonts w:ascii="Times New Roman" w:hAnsi="Times New Roman" w:cs="Times New Roman"/>
        </w:rPr>
      </w:pPr>
    </w:p>
    <w:p w:rsidR="00EB2775" w:rsidRPr="00D344BD" w:rsidRDefault="00EB2775" w:rsidP="00F91FDF">
      <w:pPr>
        <w:pStyle w:val="ListParagraph"/>
        <w:numPr>
          <w:ilvl w:val="0"/>
          <w:numId w:val="23"/>
        </w:numPr>
        <w:rPr>
          <w:rFonts w:ascii="Times New Roman" w:hAnsi="Times New Roman" w:cs="Times New Roman"/>
          <w:b/>
          <w:bCs/>
        </w:rPr>
      </w:pPr>
      <w:r w:rsidRPr="00D344BD">
        <w:rPr>
          <w:rFonts w:ascii="Times New Roman" w:hAnsi="Times New Roman" w:cs="Times New Roman"/>
          <w:b/>
          <w:bCs/>
        </w:rPr>
        <w:t>Diagnostic Analytics</w:t>
      </w:r>
    </w:p>
    <w:p w:rsidR="00EB2775" w:rsidRPr="00EB2775" w:rsidRDefault="0061287E" w:rsidP="00F91FDF">
      <w:pPr>
        <w:rPr>
          <w:rFonts w:ascii="Times New Roman" w:hAnsi="Times New Roman" w:cs="Times New Roman"/>
        </w:rPr>
      </w:pPr>
      <w:r w:rsidRPr="00D344BD">
        <w:rPr>
          <w:rFonts w:ascii="Times New Roman" w:hAnsi="Times New Roman" w:cs="Times New Roman"/>
        </w:rPr>
        <w:t>The r</w:t>
      </w:r>
      <w:r w:rsidR="00EB2775" w:rsidRPr="00EB2775">
        <w:rPr>
          <w:rFonts w:ascii="Times New Roman" w:hAnsi="Times New Roman" w:cs="Times New Roman"/>
        </w:rPr>
        <w:t>evenue Growth</w:t>
      </w:r>
      <w:r w:rsidRPr="00D344BD">
        <w:rPr>
          <w:rFonts w:ascii="Times New Roman" w:hAnsi="Times New Roman" w:cs="Times New Roman"/>
        </w:rPr>
        <w:t xml:space="preserve"> </w:t>
      </w:r>
      <w:proofErr w:type="gramStart"/>
      <w:r w:rsidRPr="00D344BD">
        <w:rPr>
          <w:rFonts w:ascii="Times New Roman" w:hAnsi="Times New Roman" w:cs="Times New Roman"/>
        </w:rPr>
        <w:t xml:space="preserve">is </w:t>
      </w:r>
      <w:r w:rsidR="00EB2775" w:rsidRPr="00EB2775">
        <w:rPr>
          <w:rFonts w:ascii="Times New Roman" w:hAnsi="Times New Roman" w:cs="Times New Roman"/>
        </w:rPr>
        <w:t xml:space="preserve"> Driven</w:t>
      </w:r>
      <w:proofErr w:type="gramEnd"/>
      <w:r w:rsidR="00EB2775" w:rsidRPr="00EB2775">
        <w:rPr>
          <w:rFonts w:ascii="Times New Roman" w:hAnsi="Times New Roman" w:cs="Times New Roman"/>
        </w:rPr>
        <w:t xml:space="preserve"> by increased sales and efficient cost management as COGS remained consistent at 59–61% of revenue.</w:t>
      </w:r>
    </w:p>
    <w:p w:rsidR="00EB2775" w:rsidRPr="00EB2775" w:rsidRDefault="0061287E" w:rsidP="00F91FDF">
      <w:pPr>
        <w:rPr>
          <w:rFonts w:ascii="Times New Roman" w:hAnsi="Times New Roman" w:cs="Times New Roman"/>
        </w:rPr>
      </w:pPr>
      <w:r w:rsidRPr="00D344BD">
        <w:rPr>
          <w:rFonts w:ascii="Times New Roman" w:hAnsi="Times New Roman" w:cs="Times New Roman"/>
        </w:rPr>
        <w:lastRenderedPageBreak/>
        <w:t>For s</w:t>
      </w:r>
      <w:r w:rsidR="00EB2775" w:rsidRPr="00EB2775">
        <w:rPr>
          <w:rFonts w:ascii="Times New Roman" w:hAnsi="Times New Roman" w:cs="Times New Roman"/>
        </w:rPr>
        <w:t>table Profit Margins</w:t>
      </w:r>
      <w:r w:rsidRPr="00D344BD">
        <w:rPr>
          <w:rFonts w:ascii="Times New Roman" w:hAnsi="Times New Roman" w:cs="Times New Roman"/>
        </w:rPr>
        <w:t xml:space="preserve"> </w:t>
      </w:r>
      <w:r w:rsidR="00EB2775" w:rsidRPr="00EB2775">
        <w:rPr>
          <w:rFonts w:ascii="Times New Roman" w:hAnsi="Times New Roman" w:cs="Times New Roman"/>
        </w:rPr>
        <w:t>Despite increasing revenues, stable operating expenses (20–22% of revenue) supported consistent profitability.</w:t>
      </w:r>
    </w:p>
    <w:p w:rsidR="00EB2775" w:rsidRPr="00EB2775" w:rsidRDefault="0061287E" w:rsidP="00F91FDF">
      <w:pPr>
        <w:rPr>
          <w:rFonts w:ascii="Times New Roman" w:hAnsi="Times New Roman" w:cs="Times New Roman"/>
        </w:rPr>
      </w:pPr>
      <w:r w:rsidRPr="00D344BD">
        <w:rPr>
          <w:rFonts w:ascii="Times New Roman" w:hAnsi="Times New Roman" w:cs="Times New Roman"/>
        </w:rPr>
        <w:t>The d</w:t>
      </w:r>
      <w:r w:rsidR="00EB2775" w:rsidRPr="00EB2775">
        <w:rPr>
          <w:rFonts w:ascii="Times New Roman" w:hAnsi="Times New Roman" w:cs="Times New Roman"/>
        </w:rPr>
        <w:t xml:space="preserve">ecreased </w:t>
      </w:r>
      <w:r w:rsidRPr="00D344BD">
        <w:rPr>
          <w:rFonts w:ascii="Times New Roman" w:hAnsi="Times New Roman" w:cs="Times New Roman"/>
        </w:rPr>
        <w:t>f</w:t>
      </w:r>
      <w:r w:rsidR="00EB2775" w:rsidRPr="00EB2775">
        <w:rPr>
          <w:rFonts w:ascii="Times New Roman" w:hAnsi="Times New Roman" w:cs="Times New Roman"/>
        </w:rPr>
        <w:t xml:space="preserve">inancial </w:t>
      </w:r>
      <w:proofErr w:type="gramStart"/>
      <w:r w:rsidRPr="00D344BD">
        <w:rPr>
          <w:rFonts w:ascii="Times New Roman" w:hAnsi="Times New Roman" w:cs="Times New Roman"/>
        </w:rPr>
        <w:t>r</w:t>
      </w:r>
      <w:r w:rsidR="00EB2775" w:rsidRPr="00EB2775">
        <w:rPr>
          <w:rFonts w:ascii="Times New Roman" w:hAnsi="Times New Roman" w:cs="Times New Roman"/>
        </w:rPr>
        <w:t>isk</w:t>
      </w:r>
      <w:r w:rsidRPr="00D344BD">
        <w:rPr>
          <w:rFonts w:ascii="Times New Roman" w:hAnsi="Times New Roman" w:cs="Times New Roman"/>
        </w:rPr>
        <w:t xml:space="preserve"> </w:t>
      </w:r>
      <w:r w:rsidR="00EB2775" w:rsidRPr="00EB2775">
        <w:rPr>
          <w:rFonts w:ascii="Times New Roman" w:hAnsi="Times New Roman" w:cs="Times New Roman"/>
        </w:rPr>
        <w:t xml:space="preserve"> decline</w:t>
      </w:r>
      <w:proofErr w:type="gramEnd"/>
      <w:r w:rsidR="00EB2775" w:rsidRPr="00EB2775">
        <w:rPr>
          <w:rFonts w:ascii="Times New Roman" w:hAnsi="Times New Roman" w:cs="Times New Roman"/>
        </w:rPr>
        <w:t xml:space="preserve"> in long-term debt contributed to improved equity levels, with equity accounting for 64.1% of total assets in 2024 compared to 54.7% in 2022.</w:t>
      </w:r>
    </w:p>
    <w:p w:rsidR="00EB2775" w:rsidRPr="00D344BD" w:rsidRDefault="0061287E" w:rsidP="00F91FDF">
      <w:pPr>
        <w:rPr>
          <w:rFonts w:ascii="Times New Roman" w:hAnsi="Times New Roman" w:cs="Times New Roman"/>
        </w:rPr>
      </w:pPr>
      <w:r w:rsidRPr="00D344BD">
        <w:rPr>
          <w:rFonts w:ascii="Times New Roman" w:hAnsi="Times New Roman" w:cs="Times New Roman"/>
        </w:rPr>
        <w:t>The cash u</w:t>
      </w:r>
      <w:r w:rsidR="00EB2775" w:rsidRPr="00EB2775">
        <w:rPr>
          <w:rFonts w:ascii="Times New Roman" w:hAnsi="Times New Roman" w:cs="Times New Roman"/>
        </w:rPr>
        <w:t>tilization Increased operating cash flows enabled consistent investment in property, plant, and equipment while maintaining liquidity.</w:t>
      </w:r>
    </w:p>
    <w:p w:rsidR="0061287E" w:rsidRPr="00D344BD" w:rsidRDefault="0061287E" w:rsidP="00F91FDF">
      <w:pPr>
        <w:rPr>
          <w:rFonts w:ascii="Times New Roman" w:hAnsi="Times New Roman" w:cs="Times New Roman"/>
        </w:rPr>
      </w:pPr>
    </w:p>
    <w:p w:rsidR="0061287E" w:rsidRPr="00EB2775" w:rsidRDefault="0061287E" w:rsidP="00F91FDF">
      <w:pPr>
        <w:rPr>
          <w:rFonts w:ascii="Times New Roman" w:hAnsi="Times New Roman" w:cs="Times New Roman"/>
        </w:rPr>
      </w:pPr>
    </w:p>
    <w:p w:rsidR="00EB2775" w:rsidRPr="00D344BD" w:rsidRDefault="00EB2775" w:rsidP="00F91FDF">
      <w:pPr>
        <w:pStyle w:val="ListParagraph"/>
        <w:numPr>
          <w:ilvl w:val="0"/>
          <w:numId w:val="23"/>
        </w:numPr>
        <w:rPr>
          <w:rFonts w:ascii="Times New Roman" w:hAnsi="Times New Roman" w:cs="Times New Roman"/>
          <w:b/>
          <w:bCs/>
        </w:rPr>
      </w:pPr>
      <w:r w:rsidRPr="00D344BD">
        <w:rPr>
          <w:rFonts w:ascii="Times New Roman" w:hAnsi="Times New Roman" w:cs="Times New Roman"/>
          <w:b/>
          <w:bCs/>
        </w:rPr>
        <w:t>Predictive Analytics</w:t>
      </w:r>
    </w:p>
    <w:p w:rsidR="00F91FDF" w:rsidRPr="00D344BD" w:rsidRDefault="00EB2775" w:rsidP="00F91FDF">
      <w:pPr>
        <w:rPr>
          <w:rFonts w:ascii="Times New Roman" w:hAnsi="Times New Roman" w:cs="Times New Roman"/>
        </w:rPr>
      </w:pPr>
      <w:r w:rsidRPr="00EB2775">
        <w:rPr>
          <w:rFonts w:ascii="Times New Roman" w:hAnsi="Times New Roman" w:cs="Times New Roman"/>
          <w:b/>
          <w:bCs/>
        </w:rPr>
        <w:t>Revenue Forecast:</w:t>
      </w:r>
      <w:r w:rsidRPr="00EB2775">
        <w:rPr>
          <w:rFonts w:ascii="Times New Roman" w:hAnsi="Times New Roman" w:cs="Times New Roman"/>
        </w:rPr>
        <w:t xml:space="preserve"> Using the average annual revenue growth rate of 12.8%, estimated 2025 revenue can be projected as</w:t>
      </w:r>
    </w:p>
    <w:p w:rsidR="00F91FDF" w:rsidRPr="00D344BD" w:rsidRDefault="00EB2775" w:rsidP="00F91FDF">
      <w:pPr>
        <w:rPr>
          <w:rFonts w:ascii="Times New Roman" w:hAnsi="Times New Roman" w:cs="Times New Roman"/>
          <w:b/>
          <w:bCs/>
          <w:color w:val="ED0000"/>
        </w:rPr>
      </w:pPr>
      <w:r w:rsidRPr="00EB2775">
        <w:rPr>
          <w:rFonts w:ascii="Times New Roman" w:hAnsi="Times New Roman" w:cs="Times New Roman"/>
          <w:b/>
          <w:bCs/>
          <w:color w:val="ED0000"/>
        </w:rPr>
        <w:t>2025</w:t>
      </w:r>
      <w:r w:rsidR="00F91FDF" w:rsidRPr="00D344BD">
        <w:rPr>
          <w:rFonts w:ascii="Times New Roman" w:hAnsi="Times New Roman" w:cs="Times New Roman"/>
          <w:b/>
          <w:bCs/>
          <w:color w:val="ED0000"/>
        </w:rPr>
        <w:t>_</w:t>
      </w:r>
      <w:r w:rsidRPr="00EB2775">
        <w:rPr>
          <w:rFonts w:ascii="Times New Roman" w:hAnsi="Times New Roman" w:cs="Times New Roman"/>
          <w:b/>
          <w:bCs/>
          <w:color w:val="ED0000"/>
        </w:rPr>
        <w:t>Revenue</w:t>
      </w:r>
      <w:r w:rsidR="0061287E"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61287E"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2024</w:t>
      </w:r>
      <w:r w:rsidR="00F91FDF" w:rsidRPr="00D344BD">
        <w:rPr>
          <w:rFonts w:ascii="Times New Roman" w:hAnsi="Times New Roman" w:cs="Times New Roman"/>
          <w:b/>
          <w:bCs/>
          <w:color w:val="ED0000"/>
        </w:rPr>
        <w:t>_</w:t>
      </w:r>
      <w:r w:rsidRPr="00EB2775">
        <w:rPr>
          <w:rFonts w:ascii="Times New Roman" w:hAnsi="Times New Roman" w:cs="Times New Roman"/>
          <w:b/>
          <w:bCs/>
          <w:color w:val="ED0000"/>
        </w:rPr>
        <w:t>Revenue</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(1+</w:t>
      </w:r>
      <w:r w:rsidR="0061287E"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Growth Rate)</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280,000</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×1.128</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315,840</w:t>
      </w:r>
    </w:p>
    <w:p w:rsidR="00F91FDF" w:rsidRPr="00D344BD" w:rsidRDefault="00EB2775" w:rsidP="00F91FDF">
      <w:pPr>
        <w:rPr>
          <w:rFonts w:ascii="Times New Roman" w:hAnsi="Times New Roman" w:cs="Times New Roman"/>
        </w:rPr>
      </w:pPr>
      <w:r w:rsidRPr="00EB2775">
        <w:rPr>
          <w:rFonts w:ascii="Times New Roman" w:hAnsi="Times New Roman" w:cs="Times New Roman"/>
          <w:b/>
          <w:bCs/>
        </w:rPr>
        <w:t>Net Income Forecast:</w:t>
      </w:r>
      <w:r w:rsidRPr="00EB2775">
        <w:rPr>
          <w:rFonts w:ascii="Times New Roman" w:hAnsi="Times New Roman" w:cs="Times New Roman"/>
        </w:rPr>
        <w:t xml:space="preserve"> Assuming net income remains at 14% of revenue: </w:t>
      </w:r>
    </w:p>
    <w:p w:rsidR="00F91FDF" w:rsidRPr="00D344BD" w:rsidRDefault="00EB2775" w:rsidP="00F91FDF">
      <w:pPr>
        <w:rPr>
          <w:rFonts w:ascii="Times New Roman" w:hAnsi="Times New Roman" w:cs="Times New Roman"/>
          <w:b/>
          <w:bCs/>
          <w:color w:val="ED0000"/>
        </w:rPr>
      </w:pPr>
      <w:r w:rsidRPr="00EB2775">
        <w:rPr>
          <w:rFonts w:ascii="Times New Roman" w:hAnsi="Times New Roman" w:cs="Times New Roman"/>
          <w:b/>
          <w:bCs/>
          <w:color w:val="ED0000"/>
        </w:rPr>
        <w:t>2025</w:t>
      </w:r>
      <w:r w:rsidR="00F91FDF" w:rsidRPr="00D344BD">
        <w:rPr>
          <w:rFonts w:ascii="Times New Roman" w:hAnsi="Times New Roman" w:cs="Times New Roman"/>
          <w:b/>
          <w:bCs/>
          <w:color w:val="ED0000"/>
        </w:rPr>
        <w:t>_</w:t>
      </w:r>
      <w:r w:rsidRPr="00EB2775">
        <w:rPr>
          <w:rFonts w:ascii="Times New Roman" w:hAnsi="Times New Roman" w:cs="Times New Roman"/>
          <w:b/>
          <w:bCs/>
          <w:color w:val="ED0000"/>
        </w:rPr>
        <w:t>Net Income=</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315,840</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0.14</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w:t>
      </w:r>
      <w:r w:rsidR="00F91FDF" w:rsidRPr="00D344BD">
        <w:rPr>
          <w:rFonts w:ascii="Times New Roman" w:hAnsi="Times New Roman" w:cs="Times New Roman"/>
          <w:b/>
          <w:bCs/>
          <w:color w:val="ED0000"/>
        </w:rPr>
        <w:t xml:space="preserve"> </w:t>
      </w:r>
      <w:r w:rsidRPr="00EB2775">
        <w:rPr>
          <w:rFonts w:ascii="Times New Roman" w:hAnsi="Times New Roman" w:cs="Times New Roman"/>
          <w:b/>
          <w:bCs/>
          <w:color w:val="ED0000"/>
        </w:rPr>
        <w:t>44,218</w:t>
      </w:r>
      <w:r w:rsidR="00F91FDF" w:rsidRPr="00D344BD">
        <w:rPr>
          <w:rFonts w:ascii="Times New Roman" w:hAnsi="Times New Roman" w:cs="Times New Roman"/>
          <w:b/>
          <w:bCs/>
          <w:color w:val="ED0000"/>
        </w:rPr>
        <w:t xml:space="preserve">   </w:t>
      </w:r>
    </w:p>
    <w:p w:rsidR="00EB2775" w:rsidRPr="00D344BD" w:rsidRDefault="00EB2775" w:rsidP="00F91FDF">
      <w:pPr>
        <w:rPr>
          <w:rFonts w:ascii="Times New Roman" w:hAnsi="Times New Roman" w:cs="Times New Roman"/>
        </w:rPr>
      </w:pPr>
      <w:r w:rsidRPr="00EB2775">
        <w:rPr>
          <w:rFonts w:ascii="Times New Roman" w:hAnsi="Times New Roman" w:cs="Times New Roman"/>
          <w:b/>
          <w:bCs/>
        </w:rPr>
        <w:t>Liquidity and Leverage Projections:</w:t>
      </w:r>
      <w:r w:rsidRPr="00EB2775">
        <w:rPr>
          <w:rFonts w:ascii="Times New Roman" w:hAnsi="Times New Roman" w:cs="Times New Roman"/>
        </w:rPr>
        <w:t xml:space="preserve"> Continued reduction in long-term debt and growth in equity will likely result in stronger capital structure and further enhanced liquidity ratios.</w:t>
      </w:r>
    </w:p>
    <w:p w:rsidR="00F91FDF" w:rsidRPr="00EB2775" w:rsidRDefault="00F91FDF" w:rsidP="00F91FDF">
      <w:pPr>
        <w:rPr>
          <w:rFonts w:ascii="Times New Roman" w:hAnsi="Times New Roman" w:cs="Times New Roman"/>
        </w:rPr>
      </w:pPr>
    </w:p>
    <w:p w:rsidR="00EB2775" w:rsidRPr="00D344BD" w:rsidRDefault="00EB2775" w:rsidP="00F91FDF">
      <w:pPr>
        <w:pStyle w:val="ListParagraph"/>
        <w:numPr>
          <w:ilvl w:val="0"/>
          <w:numId w:val="23"/>
        </w:numPr>
        <w:rPr>
          <w:rFonts w:ascii="Times New Roman" w:hAnsi="Times New Roman" w:cs="Times New Roman"/>
          <w:b/>
          <w:bCs/>
        </w:rPr>
      </w:pPr>
      <w:r w:rsidRPr="00D344BD">
        <w:rPr>
          <w:rFonts w:ascii="Times New Roman" w:hAnsi="Times New Roman" w:cs="Times New Roman"/>
          <w:b/>
          <w:bCs/>
        </w:rPr>
        <w:t>Prescriptive Analytics</w:t>
      </w:r>
    </w:p>
    <w:p w:rsidR="00EB2775" w:rsidRPr="00EB2775" w:rsidRDefault="00EB2775" w:rsidP="00F91FDF">
      <w:pPr>
        <w:ind w:left="360"/>
        <w:rPr>
          <w:rFonts w:ascii="Times New Roman" w:hAnsi="Times New Roman" w:cs="Times New Roman"/>
        </w:rPr>
      </w:pPr>
      <w:r w:rsidRPr="00EB2775">
        <w:rPr>
          <w:rFonts w:ascii="Times New Roman" w:hAnsi="Times New Roman" w:cs="Times New Roman"/>
          <w:b/>
          <w:bCs/>
        </w:rPr>
        <w:t>Revenue Enhancement</w:t>
      </w:r>
    </w:p>
    <w:p w:rsidR="0061287E" w:rsidRPr="00D344BD" w:rsidRDefault="00EB2775" w:rsidP="00F91FDF">
      <w:pPr>
        <w:pStyle w:val="ListParagraph"/>
        <w:numPr>
          <w:ilvl w:val="0"/>
          <w:numId w:val="24"/>
        </w:numPr>
        <w:rPr>
          <w:rFonts w:ascii="Times New Roman" w:hAnsi="Times New Roman" w:cs="Times New Roman"/>
        </w:rPr>
      </w:pPr>
      <w:r w:rsidRPr="00D344BD">
        <w:rPr>
          <w:rFonts w:ascii="Times New Roman" w:hAnsi="Times New Roman" w:cs="Times New Roman"/>
        </w:rPr>
        <w:t xml:space="preserve">Diversify Product </w:t>
      </w:r>
      <w:r w:rsidR="00F91FDF" w:rsidRPr="00D344BD">
        <w:rPr>
          <w:rFonts w:ascii="Times New Roman" w:hAnsi="Times New Roman" w:cs="Times New Roman"/>
        </w:rPr>
        <w:t>Lines, this introduces</w:t>
      </w:r>
      <w:r w:rsidRPr="00D344BD">
        <w:rPr>
          <w:rFonts w:ascii="Times New Roman" w:hAnsi="Times New Roman" w:cs="Times New Roman"/>
        </w:rPr>
        <w:t xml:space="preserve"> complementary products to capture new market segments and sustain growth.</w:t>
      </w:r>
    </w:p>
    <w:p w:rsidR="00EB2775" w:rsidRPr="00D344BD" w:rsidRDefault="00EB2775" w:rsidP="00F91FDF">
      <w:pPr>
        <w:pStyle w:val="ListParagraph"/>
        <w:numPr>
          <w:ilvl w:val="0"/>
          <w:numId w:val="24"/>
        </w:numPr>
        <w:rPr>
          <w:rFonts w:ascii="Times New Roman" w:hAnsi="Times New Roman" w:cs="Times New Roman"/>
        </w:rPr>
      </w:pPr>
      <w:r w:rsidRPr="00D344BD">
        <w:rPr>
          <w:rFonts w:ascii="Times New Roman" w:hAnsi="Times New Roman" w:cs="Times New Roman"/>
        </w:rPr>
        <w:t xml:space="preserve">Expand Market </w:t>
      </w:r>
      <w:r w:rsidR="00F91FDF" w:rsidRPr="00D344BD">
        <w:rPr>
          <w:rFonts w:ascii="Times New Roman" w:hAnsi="Times New Roman" w:cs="Times New Roman"/>
        </w:rPr>
        <w:t>Reach, leverage</w:t>
      </w:r>
      <w:r w:rsidRPr="00D344BD">
        <w:rPr>
          <w:rFonts w:ascii="Times New Roman" w:hAnsi="Times New Roman" w:cs="Times New Roman"/>
        </w:rPr>
        <w:t xml:space="preserve"> digital channels and strategic partnerships to access untapped markets.</w:t>
      </w:r>
    </w:p>
    <w:p w:rsidR="00EB2775" w:rsidRPr="00EB2775" w:rsidRDefault="00EB2775" w:rsidP="00F91FDF">
      <w:pPr>
        <w:rPr>
          <w:rFonts w:ascii="Times New Roman" w:hAnsi="Times New Roman" w:cs="Times New Roman"/>
        </w:rPr>
      </w:pPr>
      <w:r w:rsidRPr="00EB2775">
        <w:rPr>
          <w:rFonts w:ascii="Times New Roman" w:hAnsi="Times New Roman" w:cs="Times New Roman"/>
          <w:b/>
          <w:bCs/>
        </w:rPr>
        <w:t>Cost Management</w:t>
      </w:r>
    </w:p>
    <w:p w:rsidR="0061287E" w:rsidRPr="00D344BD" w:rsidRDefault="00EB2775" w:rsidP="0061287E">
      <w:pPr>
        <w:pStyle w:val="ListParagraph"/>
        <w:numPr>
          <w:ilvl w:val="0"/>
          <w:numId w:val="25"/>
        </w:numPr>
        <w:rPr>
          <w:rFonts w:ascii="Times New Roman" w:hAnsi="Times New Roman" w:cs="Times New Roman"/>
        </w:rPr>
      </w:pPr>
      <w:r w:rsidRPr="00D344BD">
        <w:rPr>
          <w:rFonts w:ascii="Times New Roman" w:hAnsi="Times New Roman" w:cs="Times New Roman"/>
          <w:b/>
          <w:bCs/>
        </w:rPr>
        <w:t>Supply Chain Optimization</w:t>
      </w:r>
      <w:r w:rsidR="0061287E" w:rsidRPr="00D344BD">
        <w:rPr>
          <w:rFonts w:ascii="Times New Roman" w:hAnsi="Times New Roman" w:cs="Times New Roman"/>
          <w:b/>
          <w:bCs/>
        </w:rPr>
        <w:t>, s</w:t>
      </w:r>
      <w:r w:rsidRPr="00D344BD">
        <w:rPr>
          <w:rFonts w:ascii="Times New Roman" w:hAnsi="Times New Roman" w:cs="Times New Roman"/>
        </w:rPr>
        <w:t>treamline inventory management and negotiate with suppliers to improve COGS efficiency.</w:t>
      </w:r>
    </w:p>
    <w:p w:rsidR="00EB2775" w:rsidRPr="00D344BD" w:rsidRDefault="00EB2775" w:rsidP="0061287E">
      <w:pPr>
        <w:pStyle w:val="ListParagraph"/>
        <w:numPr>
          <w:ilvl w:val="0"/>
          <w:numId w:val="25"/>
        </w:numPr>
        <w:rPr>
          <w:rFonts w:ascii="Times New Roman" w:hAnsi="Times New Roman" w:cs="Times New Roman"/>
        </w:rPr>
      </w:pPr>
      <w:r w:rsidRPr="00D344BD">
        <w:rPr>
          <w:rFonts w:ascii="Times New Roman" w:hAnsi="Times New Roman" w:cs="Times New Roman"/>
          <w:b/>
          <w:bCs/>
        </w:rPr>
        <w:t>Invest in Automation</w:t>
      </w:r>
      <w:r w:rsidR="0061287E" w:rsidRPr="00D344BD">
        <w:rPr>
          <w:rFonts w:ascii="Times New Roman" w:hAnsi="Times New Roman" w:cs="Times New Roman"/>
          <w:b/>
          <w:bCs/>
        </w:rPr>
        <w:t>, e</w:t>
      </w:r>
      <w:r w:rsidRPr="00D344BD">
        <w:rPr>
          <w:rFonts w:ascii="Times New Roman" w:hAnsi="Times New Roman" w:cs="Times New Roman"/>
        </w:rPr>
        <w:t>nhance operational efficiency to reduce operating expenses over the long term.</w:t>
      </w:r>
    </w:p>
    <w:p w:rsidR="00EB2775" w:rsidRPr="00EB2775" w:rsidRDefault="00EB2775" w:rsidP="0061287E">
      <w:pPr>
        <w:rPr>
          <w:rFonts w:ascii="Times New Roman" w:hAnsi="Times New Roman" w:cs="Times New Roman"/>
        </w:rPr>
      </w:pPr>
      <w:r w:rsidRPr="00EB2775">
        <w:rPr>
          <w:rFonts w:ascii="Times New Roman" w:hAnsi="Times New Roman" w:cs="Times New Roman"/>
          <w:b/>
          <w:bCs/>
        </w:rPr>
        <w:t>Debt Management</w:t>
      </w:r>
    </w:p>
    <w:p w:rsidR="0061287E" w:rsidRPr="00D344BD" w:rsidRDefault="00EB2775" w:rsidP="0061287E">
      <w:pPr>
        <w:pStyle w:val="ListParagraph"/>
        <w:numPr>
          <w:ilvl w:val="0"/>
          <w:numId w:val="26"/>
        </w:numPr>
        <w:rPr>
          <w:rFonts w:ascii="Times New Roman" w:hAnsi="Times New Roman" w:cs="Times New Roman"/>
        </w:rPr>
      </w:pPr>
      <w:r w:rsidRPr="00D344BD">
        <w:rPr>
          <w:rFonts w:ascii="Times New Roman" w:hAnsi="Times New Roman" w:cs="Times New Roman"/>
        </w:rPr>
        <w:t>Continue reducing long-term debt to further strengthen the balance sheet and reduce interest expenses.</w:t>
      </w:r>
    </w:p>
    <w:p w:rsidR="00EB2775" w:rsidRPr="00D344BD" w:rsidRDefault="00EB2775" w:rsidP="0061287E">
      <w:pPr>
        <w:pStyle w:val="ListParagraph"/>
        <w:numPr>
          <w:ilvl w:val="0"/>
          <w:numId w:val="26"/>
        </w:numPr>
        <w:rPr>
          <w:rFonts w:ascii="Times New Roman" w:hAnsi="Times New Roman" w:cs="Times New Roman"/>
        </w:rPr>
      </w:pPr>
      <w:r w:rsidRPr="00D344BD">
        <w:rPr>
          <w:rFonts w:ascii="Times New Roman" w:hAnsi="Times New Roman" w:cs="Times New Roman"/>
        </w:rPr>
        <w:t>Reinvest freed-up cash into high-return projects or initiatives.</w:t>
      </w:r>
    </w:p>
    <w:p w:rsidR="00EB2775" w:rsidRPr="00EB2775" w:rsidRDefault="00EB2775" w:rsidP="0061287E">
      <w:pPr>
        <w:rPr>
          <w:rFonts w:ascii="Times New Roman" w:hAnsi="Times New Roman" w:cs="Times New Roman"/>
        </w:rPr>
      </w:pPr>
      <w:r w:rsidRPr="00EB2775">
        <w:rPr>
          <w:rFonts w:ascii="Times New Roman" w:hAnsi="Times New Roman" w:cs="Times New Roman"/>
          <w:b/>
          <w:bCs/>
        </w:rPr>
        <w:t>Liquidity Improvement:</w:t>
      </w:r>
    </w:p>
    <w:p w:rsidR="00EB2775" w:rsidRPr="00D344BD" w:rsidRDefault="00EB2775" w:rsidP="0061287E">
      <w:pPr>
        <w:rPr>
          <w:rFonts w:ascii="Times New Roman" w:hAnsi="Times New Roman" w:cs="Times New Roman"/>
        </w:rPr>
      </w:pPr>
      <w:r w:rsidRPr="00D344BD">
        <w:rPr>
          <w:rFonts w:ascii="Times New Roman" w:hAnsi="Times New Roman" w:cs="Times New Roman"/>
        </w:rPr>
        <w:t>Maintain a healthy balance of current assets to meet short-term obligations without compromising investment opportunities.</w:t>
      </w:r>
    </w:p>
    <w:p w:rsidR="00EB2775" w:rsidRPr="00EB2775" w:rsidRDefault="00EB2775" w:rsidP="0061287E">
      <w:pPr>
        <w:rPr>
          <w:rFonts w:ascii="Times New Roman" w:hAnsi="Times New Roman" w:cs="Times New Roman"/>
        </w:rPr>
      </w:pPr>
      <w:r w:rsidRPr="00EB2775">
        <w:rPr>
          <w:rFonts w:ascii="Times New Roman" w:hAnsi="Times New Roman" w:cs="Times New Roman"/>
          <w:b/>
          <w:bCs/>
        </w:rPr>
        <w:lastRenderedPageBreak/>
        <w:t>Profit Margin Protection:</w:t>
      </w:r>
    </w:p>
    <w:p w:rsidR="00EB2775" w:rsidRPr="00D344BD" w:rsidRDefault="00EB2775" w:rsidP="0061287E">
      <w:pPr>
        <w:pStyle w:val="ListParagraph"/>
        <w:numPr>
          <w:ilvl w:val="1"/>
          <w:numId w:val="22"/>
        </w:numPr>
        <w:rPr>
          <w:rFonts w:ascii="Times New Roman" w:hAnsi="Times New Roman" w:cs="Times New Roman"/>
        </w:rPr>
      </w:pPr>
      <w:r w:rsidRPr="00D344BD">
        <w:rPr>
          <w:rFonts w:ascii="Times New Roman" w:hAnsi="Times New Roman" w:cs="Times New Roman"/>
        </w:rPr>
        <w:t>Regularly review pricing strategies to offset inflationary pressures and preserve profit margins.</w:t>
      </w:r>
    </w:p>
    <w:p w:rsidR="00EB2775" w:rsidRPr="00EB2775" w:rsidRDefault="00EB2775" w:rsidP="00EB2775">
      <w:pPr>
        <w:numPr>
          <w:ilvl w:val="1"/>
          <w:numId w:val="22"/>
        </w:numPr>
        <w:rPr>
          <w:rFonts w:ascii="Times New Roman" w:hAnsi="Times New Roman" w:cs="Times New Roman"/>
        </w:rPr>
      </w:pPr>
      <w:r w:rsidRPr="00EB2775">
        <w:rPr>
          <w:rFonts w:ascii="Times New Roman" w:hAnsi="Times New Roman" w:cs="Times New Roman"/>
        </w:rPr>
        <w:t>Invest in marketing to boost brand loyalty and customer retention.</w:t>
      </w:r>
    </w:p>
    <w:p w:rsidR="00442F6B" w:rsidRPr="00D344BD" w:rsidRDefault="00442F6B">
      <w:pPr>
        <w:rPr>
          <w:rFonts w:ascii="Times New Roman" w:hAnsi="Times New Roman" w:cs="Times New Roman"/>
        </w:rPr>
      </w:pPr>
    </w:p>
    <w:p w:rsidR="00EB2775" w:rsidRPr="00D344BD" w:rsidRDefault="00EB2775">
      <w:pPr>
        <w:rPr>
          <w:rFonts w:ascii="Times New Roman" w:hAnsi="Times New Roman" w:cs="Times New Roman"/>
        </w:rPr>
      </w:pPr>
    </w:p>
    <w:p w:rsidR="000F326B" w:rsidRPr="000F326B" w:rsidRDefault="000F326B" w:rsidP="000F326B">
      <w:pPr>
        <w:rPr>
          <w:rFonts w:ascii="Times New Roman" w:hAnsi="Times New Roman" w:cs="Times New Roman"/>
          <w:b/>
          <w:bCs/>
          <w:color w:val="ED0000"/>
        </w:rPr>
      </w:pPr>
      <w:r w:rsidRPr="000F326B">
        <w:rPr>
          <w:rFonts w:ascii="Times New Roman" w:hAnsi="Times New Roman" w:cs="Times New Roman"/>
          <w:b/>
          <w:bCs/>
          <w:color w:val="ED0000"/>
        </w:rPr>
        <w:t>Step Four: Strategic Recommendations</w:t>
      </w:r>
    </w:p>
    <w:p w:rsidR="000F326B" w:rsidRPr="000F326B" w:rsidRDefault="000F326B" w:rsidP="000F326B">
      <w:pPr>
        <w:rPr>
          <w:rFonts w:ascii="Times New Roman" w:hAnsi="Times New Roman" w:cs="Times New Roman"/>
          <w:b/>
          <w:bCs/>
        </w:rPr>
      </w:pPr>
      <w:r w:rsidRPr="000F326B">
        <w:rPr>
          <w:rFonts w:ascii="Times New Roman" w:hAnsi="Times New Roman" w:cs="Times New Roman"/>
          <w:b/>
          <w:bCs/>
        </w:rPr>
        <w:t>Diversify Revenue Streams</w:t>
      </w:r>
    </w:p>
    <w:p w:rsidR="000F326B" w:rsidRPr="00D344BD" w:rsidRDefault="000F326B" w:rsidP="000F326B">
      <w:pPr>
        <w:rPr>
          <w:rFonts w:ascii="Times New Roman" w:hAnsi="Times New Roman" w:cs="Times New Roman"/>
          <w:b/>
          <w:bCs/>
        </w:rPr>
      </w:pPr>
      <w:r w:rsidRPr="000F326B">
        <w:rPr>
          <w:rFonts w:ascii="Times New Roman" w:hAnsi="Times New Roman" w:cs="Times New Roman"/>
          <w:b/>
          <w:bCs/>
        </w:rPr>
        <w:t>Recommendation</w:t>
      </w:r>
    </w:p>
    <w:p w:rsidR="000F326B" w:rsidRPr="000F326B" w:rsidRDefault="000F326B" w:rsidP="000F326B">
      <w:pPr>
        <w:rPr>
          <w:rFonts w:ascii="Times New Roman" w:hAnsi="Times New Roman" w:cs="Times New Roman"/>
        </w:rPr>
      </w:pPr>
      <w:r w:rsidRPr="000F326B">
        <w:rPr>
          <w:rFonts w:ascii="Times New Roman" w:hAnsi="Times New Roman" w:cs="Times New Roman"/>
        </w:rPr>
        <w:t xml:space="preserve"> TechGrowth Inc. should introduce new product lines or expand its offerings to capture additional market segments.</w:t>
      </w:r>
    </w:p>
    <w:p w:rsidR="000F326B" w:rsidRPr="000F326B" w:rsidRDefault="000F326B" w:rsidP="000F326B">
      <w:pPr>
        <w:rPr>
          <w:rFonts w:ascii="Times New Roman" w:hAnsi="Times New Roman" w:cs="Times New Roman"/>
        </w:rPr>
      </w:pPr>
      <w:r w:rsidRPr="000F326B">
        <w:rPr>
          <w:rFonts w:ascii="Times New Roman" w:hAnsi="Times New Roman" w:cs="Times New Roman"/>
          <w:b/>
          <w:bCs/>
        </w:rPr>
        <w:t>Justification</w:t>
      </w:r>
    </w:p>
    <w:p w:rsidR="000F326B" w:rsidRPr="00D344BD" w:rsidRDefault="000F326B" w:rsidP="000F326B">
      <w:pPr>
        <w:pStyle w:val="ListParagraph"/>
        <w:numPr>
          <w:ilvl w:val="1"/>
          <w:numId w:val="28"/>
        </w:numPr>
        <w:rPr>
          <w:rFonts w:ascii="Times New Roman" w:hAnsi="Times New Roman" w:cs="Times New Roman"/>
        </w:rPr>
      </w:pPr>
      <w:r w:rsidRPr="00D344BD">
        <w:rPr>
          <w:rFonts w:ascii="Times New Roman" w:hAnsi="Times New Roman" w:cs="Times New Roman"/>
        </w:rPr>
        <w:t>Revenue increased by an average annual growth rate of 12.8%, and projections estimate a 2025 revenue of $315,840. Diversifying revenue streams will help sustain this upward trajectory and mitigate risks associated with market fluctuations in existing segments.</w:t>
      </w:r>
    </w:p>
    <w:p w:rsidR="000F326B" w:rsidRPr="000F326B" w:rsidRDefault="000F326B" w:rsidP="000F326B">
      <w:pPr>
        <w:numPr>
          <w:ilvl w:val="1"/>
          <w:numId w:val="28"/>
        </w:numPr>
        <w:rPr>
          <w:rFonts w:ascii="Times New Roman" w:hAnsi="Times New Roman" w:cs="Times New Roman"/>
        </w:rPr>
      </w:pPr>
      <w:r w:rsidRPr="000F326B">
        <w:rPr>
          <w:rFonts w:ascii="Times New Roman" w:hAnsi="Times New Roman" w:cs="Times New Roman"/>
        </w:rPr>
        <w:t>A consistent net income margin (~14%) indicates a stable base for reinvestment in research and development (R&amp;D) to support diversification.</w:t>
      </w:r>
    </w:p>
    <w:p w:rsidR="000F326B" w:rsidRPr="00D344BD" w:rsidRDefault="000F326B" w:rsidP="000F326B">
      <w:pPr>
        <w:rPr>
          <w:rFonts w:ascii="Times New Roman" w:hAnsi="Times New Roman" w:cs="Times New Roman"/>
        </w:rPr>
      </w:pPr>
      <w:r w:rsidRPr="000F326B">
        <w:rPr>
          <w:rFonts w:ascii="Times New Roman" w:hAnsi="Times New Roman" w:cs="Times New Roman"/>
          <w:b/>
          <w:bCs/>
        </w:rPr>
        <w:t>Implementation:</w:t>
      </w:r>
      <w:r w:rsidRPr="000F326B">
        <w:rPr>
          <w:rFonts w:ascii="Times New Roman" w:hAnsi="Times New Roman" w:cs="Times New Roman"/>
        </w:rPr>
        <w:t xml:space="preserve"> </w:t>
      </w:r>
    </w:p>
    <w:p w:rsidR="000F326B" w:rsidRPr="000F326B" w:rsidRDefault="000F326B" w:rsidP="000F326B">
      <w:pPr>
        <w:rPr>
          <w:rFonts w:ascii="Times New Roman" w:hAnsi="Times New Roman" w:cs="Times New Roman"/>
        </w:rPr>
      </w:pPr>
      <w:r w:rsidRPr="000F326B">
        <w:rPr>
          <w:rFonts w:ascii="Times New Roman" w:hAnsi="Times New Roman" w:cs="Times New Roman"/>
        </w:rPr>
        <w:t>Allocate a portion of operating cash flow ($46,000 in 2024) to develop and market new products.</w:t>
      </w:r>
    </w:p>
    <w:p w:rsidR="000F326B" w:rsidRPr="000F326B" w:rsidRDefault="000F326B" w:rsidP="000F326B">
      <w:pPr>
        <w:rPr>
          <w:rFonts w:ascii="Times New Roman" w:hAnsi="Times New Roman" w:cs="Times New Roman"/>
          <w:b/>
          <w:bCs/>
        </w:rPr>
      </w:pPr>
      <w:r w:rsidRPr="000F326B">
        <w:rPr>
          <w:rFonts w:ascii="Times New Roman" w:hAnsi="Times New Roman" w:cs="Times New Roman"/>
          <w:b/>
          <w:bCs/>
        </w:rPr>
        <w:t>2. Optimize Debt Management</w:t>
      </w:r>
    </w:p>
    <w:p w:rsidR="000F326B" w:rsidRPr="00D344BD" w:rsidRDefault="000F326B" w:rsidP="000F326B">
      <w:pPr>
        <w:rPr>
          <w:rFonts w:ascii="Times New Roman" w:hAnsi="Times New Roman" w:cs="Times New Roman"/>
          <w:b/>
          <w:bCs/>
        </w:rPr>
      </w:pPr>
      <w:r w:rsidRPr="000F326B">
        <w:rPr>
          <w:rFonts w:ascii="Times New Roman" w:hAnsi="Times New Roman" w:cs="Times New Roman"/>
          <w:b/>
          <w:bCs/>
        </w:rPr>
        <w:t>Recommendation</w:t>
      </w:r>
    </w:p>
    <w:p w:rsidR="000F326B" w:rsidRPr="000F326B" w:rsidRDefault="000F326B" w:rsidP="000F326B">
      <w:pPr>
        <w:rPr>
          <w:rFonts w:ascii="Times New Roman" w:hAnsi="Times New Roman" w:cs="Times New Roman"/>
        </w:rPr>
      </w:pPr>
      <w:r w:rsidRPr="00D344BD">
        <w:rPr>
          <w:rFonts w:ascii="Times New Roman" w:hAnsi="Times New Roman" w:cs="Times New Roman"/>
          <w:b/>
          <w:bCs/>
        </w:rPr>
        <w:t xml:space="preserve"> </w:t>
      </w:r>
      <w:r w:rsidRPr="000F326B">
        <w:rPr>
          <w:rFonts w:ascii="Times New Roman" w:hAnsi="Times New Roman" w:cs="Times New Roman"/>
        </w:rPr>
        <w:t>Continue reducing long-term debt and explore refinancing opportunities to lower interest expenses further.</w:t>
      </w:r>
    </w:p>
    <w:p w:rsidR="000F326B" w:rsidRPr="000F326B" w:rsidRDefault="000F326B" w:rsidP="000F326B">
      <w:pPr>
        <w:rPr>
          <w:rFonts w:ascii="Times New Roman" w:hAnsi="Times New Roman" w:cs="Times New Roman"/>
        </w:rPr>
      </w:pPr>
      <w:r w:rsidRPr="000F326B">
        <w:rPr>
          <w:rFonts w:ascii="Times New Roman" w:hAnsi="Times New Roman" w:cs="Times New Roman"/>
          <w:b/>
          <w:bCs/>
        </w:rPr>
        <w:t>Justification</w:t>
      </w:r>
    </w:p>
    <w:p w:rsidR="000F326B" w:rsidRPr="00D344BD" w:rsidRDefault="000F326B" w:rsidP="000F326B">
      <w:pPr>
        <w:pStyle w:val="ListParagraph"/>
        <w:numPr>
          <w:ilvl w:val="1"/>
          <w:numId w:val="29"/>
        </w:numPr>
        <w:rPr>
          <w:rFonts w:ascii="Times New Roman" w:hAnsi="Times New Roman" w:cs="Times New Roman"/>
        </w:rPr>
      </w:pPr>
      <w:r w:rsidRPr="00D344BD">
        <w:rPr>
          <w:rFonts w:ascii="Times New Roman" w:hAnsi="Times New Roman" w:cs="Times New Roman"/>
        </w:rPr>
        <w:t>Long-term debt declined from $80,000 in 2022 to $60,000 in 2024, improving equity-to-asset ratios from 54.7% to 64.1%.</w:t>
      </w:r>
    </w:p>
    <w:p w:rsidR="000F326B" w:rsidRPr="000F326B" w:rsidRDefault="000F326B" w:rsidP="000F326B">
      <w:pPr>
        <w:numPr>
          <w:ilvl w:val="1"/>
          <w:numId w:val="29"/>
        </w:numPr>
        <w:rPr>
          <w:rFonts w:ascii="Times New Roman" w:hAnsi="Times New Roman" w:cs="Times New Roman"/>
        </w:rPr>
      </w:pPr>
      <w:r w:rsidRPr="000F326B">
        <w:rPr>
          <w:rFonts w:ascii="Times New Roman" w:hAnsi="Times New Roman" w:cs="Times New Roman"/>
        </w:rPr>
        <w:t>Interest coverage ratios improved from 10.17 in 2022 to 10.73 in 2024, but further reduction in debt will enhance financial flexibility and free up resources for strategic investments.</w:t>
      </w:r>
    </w:p>
    <w:p w:rsidR="000F326B" w:rsidRPr="00D344BD" w:rsidRDefault="000F326B" w:rsidP="000F326B">
      <w:pPr>
        <w:rPr>
          <w:rFonts w:ascii="Times New Roman" w:hAnsi="Times New Roman" w:cs="Times New Roman"/>
          <w:b/>
          <w:bCs/>
        </w:rPr>
      </w:pPr>
      <w:r w:rsidRPr="000F326B">
        <w:rPr>
          <w:rFonts w:ascii="Times New Roman" w:hAnsi="Times New Roman" w:cs="Times New Roman"/>
          <w:b/>
          <w:bCs/>
        </w:rPr>
        <w:t>Implementation</w:t>
      </w:r>
    </w:p>
    <w:p w:rsidR="000F326B" w:rsidRPr="000F326B" w:rsidRDefault="000F326B" w:rsidP="000F326B">
      <w:pPr>
        <w:rPr>
          <w:rFonts w:ascii="Times New Roman" w:hAnsi="Times New Roman" w:cs="Times New Roman"/>
        </w:rPr>
      </w:pPr>
      <w:r w:rsidRPr="000F326B">
        <w:rPr>
          <w:rFonts w:ascii="Times New Roman" w:hAnsi="Times New Roman" w:cs="Times New Roman"/>
        </w:rPr>
        <w:t xml:space="preserve"> Utilize increasing operating cash flows to prioritize debt repayment and consider refinancing at lower interest rates.</w:t>
      </w:r>
    </w:p>
    <w:p w:rsidR="000F326B" w:rsidRPr="000F326B" w:rsidRDefault="000F326B" w:rsidP="000F326B">
      <w:pPr>
        <w:rPr>
          <w:rFonts w:ascii="Times New Roman" w:hAnsi="Times New Roman" w:cs="Times New Roman"/>
        </w:rPr>
      </w:pPr>
    </w:p>
    <w:p w:rsidR="000F326B" w:rsidRPr="000F326B" w:rsidRDefault="000F326B" w:rsidP="000F326B">
      <w:pPr>
        <w:rPr>
          <w:rFonts w:ascii="Times New Roman" w:hAnsi="Times New Roman" w:cs="Times New Roman"/>
          <w:b/>
          <w:bCs/>
        </w:rPr>
      </w:pPr>
      <w:r w:rsidRPr="000F326B">
        <w:rPr>
          <w:rFonts w:ascii="Times New Roman" w:hAnsi="Times New Roman" w:cs="Times New Roman"/>
          <w:b/>
          <w:bCs/>
        </w:rPr>
        <w:t>3. Invest in Operational Efficiency</w:t>
      </w:r>
    </w:p>
    <w:p w:rsidR="000F326B" w:rsidRPr="00D344BD" w:rsidRDefault="000F326B" w:rsidP="000F326B">
      <w:pPr>
        <w:rPr>
          <w:rFonts w:ascii="Times New Roman" w:hAnsi="Times New Roman" w:cs="Times New Roman"/>
          <w:b/>
          <w:bCs/>
        </w:rPr>
      </w:pPr>
      <w:r w:rsidRPr="000F326B">
        <w:rPr>
          <w:rFonts w:ascii="Times New Roman" w:hAnsi="Times New Roman" w:cs="Times New Roman"/>
          <w:b/>
          <w:bCs/>
        </w:rPr>
        <w:lastRenderedPageBreak/>
        <w:t>Recommendation</w:t>
      </w:r>
    </w:p>
    <w:p w:rsidR="000F326B" w:rsidRPr="000F326B" w:rsidRDefault="000F326B" w:rsidP="000F326B">
      <w:pPr>
        <w:rPr>
          <w:rFonts w:ascii="Times New Roman" w:hAnsi="Times New Roman" w:cs="Times New Roman"/>
        </w:rPr>
      </w:pPr>
      <w:r w:rsidRPr="000F326B">
        <w:rPr>
          <w:rFonts w:ascii="Times New Roman" w:hAnsi="Times New Roman" w:cs="Times New Roman"/>
        </w:rPr>
        <w:t>Leverage technology to streamline operations, reduce costs, and enhance productivity.</w:t>
      </w:r>
    </w:p>
    <w:p w:rsidR="000F326B" w:rsidRPr="000F326B" w:rsidRDefault="000F326B" w:rsidP="000F326B">
      <w:pPr>
        <w:rPr>
          <w:rFonts w:ascii="Times New Roman" w:hAnsi="Times New Roman" w:cs="Times New Roman"/>
        </w:rPr>
      </w:pPr>
      <w:r w:rsidRPr="000F326B">
        <w:rPr>
          <w:rFonts w:ascii="Times New Roman" w:hAnsi="Times New Roman" w:cs="Times New Roman"/>
          <w:b/>
          <w:bCs/>
        </w:rPr>
        <w:t>Justification</w:t>
      </w:r>
    </w:p>
    <w:p w:rsidR="000F326B" w:rsidRPr="00D344BD" w:rsidRDefault="000F326B" w:rsidP="000F326B">
      <w:pPr>
        <w:pStyle w:val="ListParagraph"/>
        <w:numPr>
          <w:ilvl w:val="1"/>
          <w:numId w:val="30"/>
        </w:numPr>
        <w:rPr>
          <w:rFonts w:ascii="Times New Roman" w:hAnsi="Times New Roman" w:cs="Times New Roman"/>
        </w:rPr>
      </w:pPr>
      <w:r w:rsidRPr="00D344BD">
        <w:rPr>
          <w:rFonts w:ascii="Times New Roman" w:hAnsi="Times New Roman" w:cs="Times New Roman"/>
        </w:rPr>
        <w:t>Operating expenses consistently accounted for 20–22% of revenue, indicating room for improvement in efficiency.</w:t>
      </w:r>
    </w:p>
    <w:p w:rsidR="000F326B" w:rsidRPr="000F326B" w:rsidRDefault="000F326B" w:rsidP="000F326B">
      <w:pPr>
        <w:numPr>
          <w:ilvl w:val="1"/>
          <w:numId w:val="30"/>
        </w:numPr>
        <w:rPr>
          <w:rFonts w:ascii="Times New Roman" w:hAnsi="Times New Roman" w:cs="Times New Roman"/>
        </w:rPr>
      </w:pPr>
      <w:r w:rsidRPr="000F326B">
        <w:rPr>
          <w:rFonts w:ascii="Times New Roman" w:hAnsi="Times New Roman" w:cs="Times New Roman"/>
        </w:rPr>
        <w:t>Stable COGS (59–61% of revenue) reflects strong production processes, but investments in automation and supply chain management could further enhance margins.</w:t>
      </w:r>
    </w:p>
    <w:p w:rsidR="000F326B" w:rsidRPr="000F326B" w:rsidRDefault="000F326B" w:rsidP="000F326B">
      <w:pPr>
        <w:rPr>
          <w:rFonts w:ascii="Times New Roman" w:hAnsi="Times New Roman" w:cs="Times New Roman"/>
        </w:rPr>
      </w:pPr>
      <w:r w:rsidRPr="000F326B">
        <w:rPr>
          <w:rFonts w:ascii="Times New Roman" w:hAnsi="Times New Roman" w:cs="Times New Roman"/>
          <w:b/>
          <w:bCs/>
        </w:rPr>
        <w:t>Implementation</w:t>
      </w:r>
    </w:p>
    <w:p w:rsidR="000F326B" w:rsidRPr="00D344BD" w:rsidRDefault="000F326B" w:rsidP="000F326B">
      <w:pPr>
        <w:pStyle w:val="ListParagraph"/>
        <w:numPr>
          <w:ilvl w:val="0"/>
          <w:numId w:val="31"/>
        </w:numPr>
        <w:rPr>
          <w:rFonts w:ascii="Times New Roman" w:hAnsi="Times New Roman" w:cs="Times New Roman"/>
        </w:rPr>
      </w:pPr>
      <w:r w:rsidRPr="00D344BD">
        <w:rPr>
          <w:rFonts w:ascii="Times New Roman" w:hAnsi="Times New Roman" w:cs="Times New Roman"/>
        </w:rPr>
        <w:t>Allocate a portion of cash from operations to upgrade inventory management systems and automate repetitive tasks.</w:t>
      </w:r>
    </w:p>
    <w:p w:rsidR="000F326B" w:rsidRPr="00D344BD" w:rsidRDefault="000F326B" w:rsidP="000F326B">
      <w:pPr>
        <w:pStyle w:val="ListParagraph"/>
        <w:numPr>
          <w:ilvl w:val="0"/>
          <w:numId w:val="31"/>
        </w:numPr>
        <w:rPr>
          <w:rFonts w:ascii="Times New Roman" w:hAnsi="Times New Roman" w:cs="Times New Roman"/>
        </w:rPr>
      </w:pPr>
      <w:r w:rsidRPr="00D344BD">
        <w:rPr>
          <w:rFonts w:ascii="Times New Roman" w:hAnsi="Times New Roman" w:cs="Times New Roman"/>
        </w:rPr>
        <w:t>Target a reduction in operating expenses to below 20% of revenue by 2025 to boost profit margins and competitiveness.</w:t>
      </w:r>
    </w:p>
    <w:p w:rsidR="000F326B" w:rsidRPr="000F326B" w:rsidRDefault="000F326B" w:rsidP="000F326B">
      <w:pPr>
        <w:rPr>
          <w:rFonts w:ascii="Times New Roman" w:hAnsi="Times New Roman" w:cs="Times New Roman"/>
        </w:rPr>
      </w:pPr>
    </w:p>
    <w:p w:rsidR="000F326B" w:rsidRPr="000F326B" w:rsidRDefault="000F326B" w:rsidP="000F326B">
      <w:pPr>
        <w:rPr>
          <w:rFonts w:ascii="Times New Roman" w:hAnsi="Times New Roman" w:cs="Times New Roman"/>
          <w:b/>
          <w:bCs/>
        </w:rPr>
      </w:pPr>
      <w:r w:rsidRPr="000F326B">
        <w:rPr>
          <w:rFonts w:ascii="Times New Roman" w:hAnsi="Times New Roman" w:cs="Times New Roman"/>
          <w:b/>
          <w:bCs/>
        </w:rPr>
        <w:t>Conclusion</w:t>
      </w:r>
    </w:p>
    <w:p w:rsidR="000F326B" w:rsidRPr="000F326B" w:rsidRDefault="000F326B" w:rsidP="000F326B">
      <w:pPr>
        <w:rPr>
          <w:rFonts w:ascii="Times New Roman" w:hAnsi="Times New Roman" w:cs="Times New Roman"/>
        </w:rPr>
      </w:pPr>
      <w:r w:rsidRPr="000F326B">
        <w:rPr>
          <w:rFonts w:ascii="Times New Roman" w:hAnsi="Times New Roman" w:cs="Times New Roman"/>
        </w:rPr>
        <w:t>These recommendations align with predictive insights and the company’s financial trajectory, fostering resilience, profitability, and long-term growth for TechGrowth Inc.</w:t>
      </w:r>
    </w:p>
    <w:p w:rsidR="00EB2775" w:rsidRPr="00D344BD" w:rsidRDefault="00EB2775">
      <w:pPr>
        <w:rPr>
          <w:rFonts w:ascii="Times New Roman" w:hAnsi="Times New Roman" w:cs="Times New Roman"/>
        </w:rPr>
      </w:pPr>
    </w:p>
    <w:p w:rsidR="000F326B" w:rsidRPr="00D344BD" w:rsidRDefault="000F326B">
      <w:pPr>
        <w:rPr>
          <w:rFonts w:ascii="Times New Roman" w:hAnsi="Times New Roman" w:cs="Times New Roman"/>
        </w:rPr>
      </w:pPr>
    </w:p>
    <w:p w:rsidR="000F326B" w:rsidRPr="00D344BD" w:rsidRDefault="000F326B">
      <w:pPr>
        <w:rPr>
          <w:rFonts w:ascii="Times New Roman" w:hAnsi="Times New Roman" w:cs="Times New Roman"/>
        </w:rPr>
      </w:pPr>
    </w:p>
    <w:p w:rsidR="000F326B" w:rsidRPr="00D344BD" w:rsidRDefault="000F326B">
      <w:pPr>
        <w:rPr>
          <w:rFonts w:ascii="Times New Roman" w:hAnsi="Times New Roman" w:cs="Times New Roman"/>
        </w:rPr>
      </w:pPr>
    </w:p>
    <w:p w:rsidR="000F326B" w:rsidRPr="00D344BD" w:rsidRDefault="000F326B">
      <w:pPr>
        <w:rPr>
          <w:rFonts w:ascii="Times New Roman" w:hAnsi="Times New Roman" w:cs="Times New Roman"/>
        </w:rPr>
      </w:pPr>
    </w:p>
    <w:p w:rsidR="000F326B" w:rsidRPr="00D344BD" w:rsidRDefault="000F326B" w:rsidP="000F326B">
      <w:pPr>
        <w:rPr>
          <w:rFonts w:ascii="Times New Roman" w:hAnsi="Times New Roman" w:cs="Times New Roman"/>
          <w:b/>
          <w:bCs/>
        </w:rPr>
      </w:pPr>
      <w:r w:rsidRPr="00D344BD">
        <w:rPr>
          <w:rFonts w:ascii="Times New Roman" w:hAnsi="Times New Roman" w:cs="Times New Roman"/>
          <w:b/>
          <w:bCs/>
        </w:rPr>
        <w:t>References</w:t>
      </w:r>
    </w:p>
    <w:p w:rsidR="000F326B" w:rsidRPr="00D344BD" w:rsidRDefault="000F326B" w:rsidP="000F326B">
      <w:pPr>
        <w:rPr>
          <w:rFonts w:ascii="Times New Roman" w:hAnsi="Times New Roman" w:cs="Times New Roman"/>
        </w:rPr>
      </w:pPr>
      <w:r w:rsidRPr="00D344BD">
        <w:rPr>
          <w:rFonts w:ascii="Times New Roman" w:hAnsi="Times New Roman" w:cs="Times New Roman"/>
        </w:rPr>
        <w:t>Chen, Q., 2018. Corporate financial strategies: Effects on business performance. Journal of Business Finance &amp; Accounting, 45(3-4), pp.543-567.</w:t>
      </w:r>
    </w:p>
    <w:p w:rsidR="000F326B" w:rsidRPr="00D344BD" w:rsidRDefault="000F326B" w:rsidP="000F326B">
      <w:pPr>
        <w:rPr>
          <w:rFonts w:ascii="Times New Roman" w:hAnsi="Times New Roman" w:cs="Times New Roman"/>
        </w:rPr>
      </w:pPr>
      <w:r w:rsidRPr="00D344BD">
        <w:rPr>
          <w:rFonts w:ascii="Times New Roman" w:hAnsi="Times New Roman" w:cs="Times New Roman"/>
        </w:rPr>
        <w:t xml:space="preserve">Investopedia, 2023. Financial Ratio Analysis. Available at: </w:t>
      </w:r>
      <w:hyperlink r:id="rId6" w:history="1">
        <w:r w:rsidRPr="00D344BD">
          <w:rPr>
            <w:rStyle w:val="Hyperlink"/>
            <w:rFonts w:ascii="Times New Roman" w:hAnsi="Times New Roman" w:cs="Times New Roman"/>
          </w:rPr>
          <w:t>https://www.investopedia.com/terms/f/financial-ratio.asp</w:t>
        </w:r>
      </w:hyperlink>
      <w:r w:rsidRPr="00D344BD">
        <w:rPr>
          <w:rFonts w:ascii="Times New Roman" w:hAnsi="Times New Roman" w:cs="Times New Roman"/>
        </w:rPr>
        <w:t>.</w:t>
      </w:r>
    </w:p>
    <w:p w:rsidR="000F326B" w:rsidRPr="00D344BD" w:rsidRDefault="000F326B" w:rsidP="000F326B">
      <w:pPr>
        <w:rPr>
          <w:rFonts w:ascii="Times New Roman" w:hAnsi="Times New Roman" w:cs="Times New Roman"/>
        </w:rPr>
      </w:pPr>
      <w:r w:rsidRPr="00D344BD">
        <w:rPr>
          <w:rFonts w:ascii="Times New Roman" w:hAnsi="Times New Roman" w:cs="Times New Roman"/>
        </w:rPr>
        <w:t xml:space="preserve">McKinsey &amp; Company, 2023. The 2023 Financial Analysis of Tech Companies. Available at: </w:t>
      </w:r>
      <w:hyperlink r:id="rId7" w:history="1">
        <w:r w:rsidRPr="00D344BD">
          <w:rPr>
            <w:rStyle w:val="Hyperlink"/>
            <w:rFonts w:ascii="Times New Roman" w:hAnsi="Times New Roman" w:cs="Times New Roman"/>
          </w:rPr>
          <w:t>https://www.mckinsey.com/reports/2023-financial-analysis-tech-companies</w:t>
        </w:r>
      </w:hyperlink>
    </w:p>
    <w:p w:rsidR="000F326B" w:rsidRPr="00D344BD" w:rsidRDefault="000F326B" w:rsidP="000F326B">
      <w:pPr>
        <w:rPr>
          <w:rFonts w:ascii="Times New Roman" w:hAnsi="Times New Roman" w:cs="Times New Roman"/>
        </w:rPr>
      </w:pPr>
      <w:r w:rsidRPr="00D344BD">
        <w:rPr>
          <w:rFonts w:ascii="Times New Roman" w:hAnsi="Times New Roman" w:cs="Times New Roman"/>
        </w:rPr>
        <w:t xml:space="preserve">Ross, S.A., </w:t>
      </w:r>
      <w:proofErr w:type="spellStart"/>
      <w:r w:rsidRPr="00D344BD">
        <w:rPr>
          <w:rFonts w:ascii="Times New Roman" w:hAnsi="Times New Roman" w:cs="Times New Roman"/>
        </w:rPr>
        <w:t>Westerfield</w:t>
      </w:r>
      <w:proofErr w:type="spellEnd"/>
      <w:r w:rsidRPr="00D344BD">
        <w:rPr>
          <w:rFonts w:ascii="Times New Roman" w:hAnsi="Times New Roman" w:cs="Times New Roman"/>
        </w:rPr>
        <w:t>, R.W. and Jaffe, J., 2013. Corporate Finance: Core Principles and Applications. 10th ed. New York: McGraw-Hill Education.</w:t>
      </w:r>
    </w:p>
    <w:p w:rsidR="000F326B" w:rsidRPr="00D344BD" w:rsidRDefault="000F326B" w:rsidP="000F326B">
      <w:pPr>
        <w:rPr>
          <w:rFonts w:ascii="Times New Roman" w:hAnsi="Times New Roman" w:cs="Times New Roman"/>
        </w:rPr>
      </w:pPr>
      <w:r w:rsidRPr="00D344BD">
        <w:rPr>
          <w:rFonts w:ascii="Times New Roman" w:hAnsi="Times New Roman" w:cs="Times New Roman"/>
        </w:rPr>
        <w:t xml:space="preserve"> TechGrowth Inc., 2024. Annual Report 2024. Available at: </w:t>
      </w:r>
      <w:hyperlink r:id="rId8" w:history="1">
        <w:r w:rsidRPr="00D344BD">
          <w:rPr>
            <w:rStyle w:val="Hyperlink"/>
            <w:rFonts w:ascii="Times New Roman" w:hAnsi="Times New Roman" w:cs="Times New Roman"/>
          </w:rPr>
          <w:t>https://www.techgrowthinc.com/annual-report</w:t>
        </w:r>
      </w:hyperlink>
    </w:p>
    <w:p w:rsidR="000F326B" w:rsidRPr="00D344BD" w:rsidRDefault="000F326B" w:rsidP="000F326B">
      <w:pPr>
        <w:rPr>
          <w:rFonts w:ascii="Times New Roman" w:hAnsi="Times New Roman" w:cs="Times New Roman"/>
        </w:rPr>
      </w:pPr>
    </w:p>
    <w:sectPr w:rsidR="000F326B" w:rsidRPr="00D34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D6F"/>
    <w:multiLevelType w:val="hybridMultilevel"/>
    <w:tmpl w:val="000070E0"/>
    <w:lvl w:ilvl="0" w:tplc="0E4CC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7825"/>
    <w:multiLevelType w:val="hybridMultilevel"/>
    <w:tmpl w:val="E1DAE54E"/>
    <w:lvl w:ilvl="0" w:tplc="697E7B8E">
      <w:start w:val="2"/>
      <w:numFmt w:val="bullet"/>
      <w:lvlText w:val="-"/>
      <w:lvlJc w:val="left"/>
      <w:pPr>
        <w:ind w:left="1125" w:hanging="360"/>
      </w:pPr>
      <w:rPr>
        <w:rFonts w:ascii="Times New Roman" w:eastAsiaTheme="minorHAnsi" w:hAnsi="Times New Roman"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095F32F8"/>
    <w:multiLevelType w:val="multilevel"/>
    <w:tmpl w:val="3188A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A7170"/>
    <w:multiLevelType w:val="multilevel"/>
    <w:tmpl w:val="13B6942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52AE"/>
    <w:multiLevelType w:val="hybridMultilevel"/>
    <w:tmpl w:val="7A547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B229B"/>
    <w:multiLevelType w:val="multilevel"/>
    <w:tmpl w:val="ABE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16229"/>
    <w:multiLevelType w:val="multilevel"/>
    <w:tmpl w:val="288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50DA8"/>
    <w:multiLevelType w:val="multilevel"/>
    <w:tmpl w:val="53A8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377D1"/>
    <w:multiLevelType w:val="multilevel"/>
    <w:tmpl w:val="9956F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C54F7"/>
    <w:multiLevelType w:val="multilevel"/>
    <w:tmpl w:val="A16A0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56D1F"/>
    <w:multiLevelType w:val="hybridMultilevel"/>
    <w:tmpl w:val="94E0BB8E"/>
    <w:lvl w:ilvl="0" w:tplc="44ACFCA2">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26EFA"/>
    <w:multiLevelType w:val="multilevel"/>
    <w:tmpl w:val="B132495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A5182"/>
    <w:multiLevelType w:val="multilevel"/>
    <w:tmpl w:val="5476A02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AC1CE8"/>
    <w:multiLevelType w:val="multilevel"/>
    <w:tmpl w:val="2DAC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344F0"/>
    <w:multiLevelType w:val="multilevel"/>
    <w:tmpl w:val="DB668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C7CB2"/>
    <w:multiLevelType w:val="multilevel"/>
    <w:tmpl w:val="0C9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729C8"/>
    <w:multiLevelType w:val="multilevel"/>
    <w:tmpl w:val="40E2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B2EAE"/>
    <w:multiLevelType w:val="multilevel"/>
    <w:tmpl w:val="2C4C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747EA9"/>
    <w:multiLevelType w:val="multilevel"/>
    <w:tmpl w:val="F038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10730"/>
    <w:multiLevelType w:val="multilevel"/>
    <w:tmpl w:val="C7F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63554F"/>
    <w:multiLevelType w:val="hybridMultilevel"/>
    <w:tmpl w:val="53F66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62B91"/>
    <w:multiLevelType w:val="multilevel"/>
    <w:tmpl w:val="062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87868"/>
    <w:multiLevelType w:val="multilevel"/>
    <w:tmpl w:val="24345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E742C"/>
    <w:multiLevelType w:val="hybridMultilevel"/>
    <w:tmpl w:val="3C44596C"/>
    <w:lvl w:ilvl="0" w:tplc="1EE47A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34E8"/>
    <w:multiLevelType w:val="hybridMultilevel"/>
    <w:tmpl w:val="5C7217A4"/>
    <w:lvl w:ilvl="0" w:tplc="697E7B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B4A57"/>
    <w:multiLevelType w:val="hybridMultilevel"/>
    <w:tmpl w:val="42D09638"/>
    <w:lvl w:ilvl="0" w:tplc="CD304A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9A7A2D"/>
    <w:multiLevelType w:val="hybridMultilevel"/>
    <w:tmpl w:val="32D6BD24"/>
    <w:lvl w:ilvl="0" w:tplc="71F432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E603E3"/>
    <w:multiLevelType w:val="hybridMultilevel"/>
    <w:tmpl w:val="B6BA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D6D7A"/>
    <w:multiLevelType w:val="hybridMultilevel"/>
    <w:tmpl w:val="3E443DFC"/>
    <w:lvl w:ilvl="0" w:tplc="1EE47A12">
      <w:start w:val="1"/>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5B727DD8"/>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77E73"/>
    <w:multiLevelType w:val="multilevel"/>
    <w:tmpl w:val="BDC4B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5295C"/>
    <w:multiLevelType w:val="multilevel"/>
    <w:tmpl w:val="C7F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B61F3"/>
    <w:multiLevelType w:val="hybridMultilevel"/>
    <w:tmpl w:val="7E9EE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4052B"/>
    <w:multiLevelType w:val="hybridMultilevel"/>
    <w:tmpl w:val="87124C1A"/>
    <w:lvl w:ilvl="0" w:tplc="1EE47A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A32D31"/>
    <w:multiLevelType w:val="hybridMultilevel"/>
    <w:tmpl w:val="B7CA4C60"/>
    <w:lvl w:ilvl="0" w:tplc="1EE47A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14FDC"/>
    <w:multiLevelType w:val="multilevel"/>
    <w:tmpl w:val="06AA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70D45"/>
    <w:multiLevelType w:val="hybridMultilevel"/>
    <w:tmpl w:val="48AA1744"/>
    <w:lvl w:ilvl="0" w:tplc="28362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88886">
    <w:abstractNumId w:val="8"/>
  </w:num>
  <w:num w:numId="2" w16cid:durableId="1617446313">
    <w:abstractNumId w:val="22"/>
  </w:num>
  <w:num w:numId="3" w16cid:durableId="1860002816">
    <w:abstractNumId w:val="9"/>
  </w:num>
  <w:num w:numId="4" w16cid:durableId="1022052873">
    <w:abstractNumId w:val="14"/>
  </w:num>
  <w:num w:numId="5" w16cid:durableId="2058778435">
    <w:abstractNumId w:val="35"/>
  </w:num>
  <w:num w:numId="6" w16cid:durableId="392898217">
    <w:abstractNumId w:val="27"/>
  </w:num>
  <w:num w:numId="7" w16cid:durableId="227764452">
    <w:abstractNumId w:val="32"/>
  </w:num>
  <w:num w:numId="8" w16cid:durableId="453059961">
    <w:abstractNumId w:val="4"/>
  </w:num>
  <w:num w:numId="9" w16cid:durableId="673535751">
    <w:abstractNumId w:val="5"/>
  </w:num>
  <w:num w:numId="10" w16cid:durableId="1711342083">
    <w:abstractNumId w:val="31"/>
  </w:num>
  <w:num w:numId="11" w16cid:durableId="227226934">
    <w:abstractNumId w:val="21"/>
  </w:num>
  <w:num w:numId="12" w16cid:durableId="2074813603">
    <w:abstractNumId w:val="6"/>
  </w:num>
  <w:num w:numId="13" w16cid:durableId="1613901403">
    <w:abstractNumId w:val="15"/>
  </w:num>
  <w:num w:numId="14" w16cid:durableId="686058823">
    <w:abstractNumId w:val="7"/>
  </w:num>
  <w:num w:numId="15" w16cid:durableId="1058821431">
    <w:abstractNumId w:val="2"/>
  </w:num>
  <w:num w:numId="16" w16cid:durableId="117143320">
    <w:abstractNumId w:val="30"/>
  </w:num>
  <w:num w:numId="17" w16cid:durableId="1570382308">
    <w:abstractNumId w:val="17"/>
  </w:num>
  <w:num w:numId="18" w16cid:durableId="512888259">
    <w:abstractNumId w:val="24"/>
  </w:num>
  <w:num w:numId="19" w16cid:durableId="77558702">
    <w:abstractNumId w:val="18"/>
  </w:num>
  <w:num w:numId="20" w16cid:durableId="1071006876">
    <w:abstractNumId w:val="16"/>
  </w:num>
  <w:num w:numId="21" w16cid:durableId="1491409565">
    <w:abstractNumId w:val="19"/>
  </w:num>
  <w:num w:numId="22" w16cid:durableId="1573390942">
    <w:abstractNumId w:val="12"/>
  </w:num>
  <w:num w:numId="23" w16cid:durableId="860122150">
    <w:abstractNumId w:val="20"/>
  </w:num>
  <w:num w:numId="24" w16cid:durableId="1237209200">
    <w:abstractNumId w:val="36"/>
  </w:num>
  <w:num w:numId="25" w16cid:durableId="921110725">
    <w:abstractNumId w:val="10"/>
  </w:num>
  <w:num w:numId="26" w16cid:durableId="534512297">
    <w:abstractNumId w:val="26"/>
  </w:num>
  <w:num w:numId="27" w16cid:durableId="818228436">
    <w:abstractNumId w:val="0"/>
  </w:num>
  <w:num w:numId="28" w16cid:durableId="2092190091">
    <w:abstractNumId w:val="29"/>
  </w:num>
  <w:num w:numId="29" w16cid:durableId="2132478606">
    <w:abstractNumId w:val="11"/>
  </w:num>
  <w:num w:numId="30" w16cid:durableId="216163579">
    <w:abstractNumId w:val="3"/>
  </w:num>
  <w:num w:numId="31" w16cid:durableId="1826893368">
    <w:abstractNumId w:val="25"/>
  </w:num>
  <w:num w:numId="32" w16cid:durableId="182130528">
    <w:abstractNumId w:val="13"/>
  </w:num>
  <w:num w:numId="33" w16cid:durableId="681014359">
    <w:abstractNumId w:val="1"/>
  </w:num>
  <w:num w:numId="34" w16cid:durableId="2143575476">
    <w:abstractNumId w:val="33"/>
  </w:num>
  <w:num w:numId="35" w16cid:durableId="362828997">
    <w:abstractNumId w:val="28"/>
  </w:num>
  <w:num w:numId="36" w16cid:durableId="2073386759">
    <w:abstractNumId w:val="23"/>
  </w:num>
  <w:num w:numId="37" w16cid:durableId="19102629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AB"/>
    <w:rsid w:val="000B44C9"/>
    <w:rsid w:val="000F326B"/>
    <w:rsid w:val="001A7028"/>
    <w:rsid w:val="002147AD"/>
    <w:rsid w:val="00227D72"/>
    <w:rsid w:val="00256B7D"/>
    <w:rsid w:val="004163AB"/>
    <w:rsid w:val="00431F61"/>
    <w:rsid w:val="00442F6B"/>
    <w:rsid w:val="004D147C"/>
    <w:rsid w:val="00517F43"/>
    <w:rsid w:val="0061287E"/>
    <w:rsid w:val="00640A9B"/>
    <w:rsid w:val="00727E74"/>
    <w:rsid w:val="007A580E"/>
    <w:rsid w:val="00871EE4"/>
    <w:rsid w:val="00883A69"/>
    <w:rsid w:val="008A0CF9"/>
    <w:rsid w:val="008A1AE0"/>
    <w:rsid w:val="008A615E"/>
    <w:rsid w:val="00B4494E"/>
    <w:rsid w:val="00C708F1"/>
    <w:rsid w:val="00CC111D"/>
    <w:rsid w:val="00D344BD"/>
    <w:rsid w:val="00D66ACC"/>
    <w:rsid w:val="00E544F2"/>
    <w:rsid w:val="00EB2775"/>
    <w:rsid w:val="00F9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A33D"/>
  <w15:chartTrackingRefBased/>
  <w15:docId w15:val="{E4AA97FE-D116-44C3-A294-6E12E09F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F61"/>
    <w:pPr>
      <w:ind w:left="720"/>
      <w:contextualSpacing/>
    </w:pPr>
  </w:style>
  <w:style w:type="character" w:styleId="Hyperlink">
    <w:name w:val="Hyperlink"/>
    <w:basedOn w:val="DefaultParagraphFont"/>
    <w:uiPriority w:val="99"/>
    <w:unhideWhenUsed/>
    <w:rsid w:val="000F326B"/>
    <w:rPr>
      <w:color w:val="0563C1" w:themeColor="hyperlink"/>
      <w:u w:val="single"/>
    </w:rPr>
  </w:style>
  <w:style w:type="character" w:styleId="UnresolvedMention">
    <w:name w:val="Unresolved Mention"/>
    <w:basedOn w:val="DefaultParagraphFont"/>
    <w:uiPriority w:val="99"/>
    <w:semiHidden/>
    <w:unhideWhenUsed/>
    <w:rsid w:val="000F3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4588">
      <w:bodyDiv w:val="1"/>
      <w:marLeft w:val="0"/>
      <w:marRight w:val="0"/>
      <w:marTop w:val="0"/>
      <w:marBottom w:val="0"/>
      <w:divBdr>
        <w:top w:val="none" w:sz="0" w:space="0" w:color="auto"/>
        <w:left w:val="none" w:sz="0" w:space="0" w:color="auto"/>
        <w:bottom w:val="none" w:sz="0" w:space="0" w:color="auto"/>
        <w:right w:val="none" w:sz="0" w:space="0" w:color="auto"/>
      </w:divBdr>
    </w:div>
    <w:div w:id="84232743">
      <w:bodyDiv w:val="1"/>
      <w:marLeft w:val="0"/>
      <w:marRight w:val="0"/>
      <w:marTop w:val="0"/>
      <w:marBottom w:val="0"/>
      <w:divBdr>
        <w:top w:val="none" w:sz="0" w:space="0" w:color="auto"/>
        <w:left w:val="none" w:sz="0" w:space="0" w:color="auto"/>
        <w:bottom w:val="none" w:sz="0" w:space="0" w:color="auto"/>
        <w:right w:val="none" w:sz="0" w:space="0" w:color="auto"/>
      </w:divBdr>
    </w:div>
    <w:div w:id="184750484">
      <w:bodyDiv w:val="1"/>
      <w:marLeft w:val="0"/>
      <w:marRight w:val="0"/>
      <w:marTop w:val="0"/>
      <w:marBottom w:val="0"/>
      <w:divBdr>
        <w:top w:val="none" w:sz="0" w:space="0" w:color="auto"/>
        <w:left w:val="none" w:sz="0" w:space="0" w:color="auto"/>
        <w:bottom w:val="none" w:sz="0" w:space="0" w:color="auto"/>
        <w:right w:val="none" w:sz="0" w:space="0" w:color="auto"/>
      </w:divBdr>
    </w:div>
    <w:div w:id="319113562">
      <w:bodyDiv w:val="1"/>
      <w:marLeft w:val="0"/>
      <w:marRight w:val="0"/>
      <w:marTop w:val="0"/>
      <w:marBottom w:val="0"/>
      <w:divBdr>
        <w:top w:val="none" w:sz="0" w:space="0" w:color="auto"/>
        <w:left w:val="none" w:sz="0" w:space="0" w:color="auto"/>
        <w:bottom w:val="none" w:sz="0" w:space="0" w:color="auto"/>
        <w:right w:val="none" w:sz="0" w:space="0" w:color="auto"/>
      </w:divBdr>
    </w:div>
    <w:div w:id="331756708">
      <w:bodyDiv w:val="1"/>
      <w:marLeft w:val="0"/>
      <w:marRight w:val="0"/>
      <w:marTop w:val="0"/>
      <w:marBottom w:val="0"/>
      <w:divBdr>
        <w:top w:val="none" w:sz="0" w:space="0" w:color="auto"/>
        <w:left w:val="none" w:sz="0" w:space="0" w:color="auto"/>
        <w:bottom w:val="none" w:sz="0" w:space="0" w:color="auto"/>
        <w:right w:val="none" w:sz="0" w:space="0" w:color="auto"/>
      </w:divBdr>
    </w:div>
    <w:div w:id="438374123">
      <w:bodyDiv w:val="1"/>
      <w:marLeft w:val="0"/>
      <w:marRight w:val="0"/>
      <w:marTop w:val="0"/>
      <w:marBottom w:val="0"/>
      <w:divBdr>
        <w:top w:val="none" w:sz="0" w:space="0" w:color="auto"/>
        <w:left w:val="none" w:sz="0" w:space="0" w:color="auto"/>
        <w:bottom w:val="none" w:sz="0" w:space="0" w:color="auto"/>
        <w:right w:val="none" w:sz="0" w:space="0" w:color="auto"/>
      </w:divBdr>
    </w:div>
    <w:div w:id="464615769">
      <w:bodyDiv w:val="1"/>
      <w:marLeft w:val="0"/>
      <w:marRight w:val="0"/>
      <w:marTop w:val="0"/>
      <w:marBottom w:val="0"/>
      <w:divBdr>
        <w:top w:val="none" w:sz="0" w:space="0" w:color="auto"/>
        <w:left w:val="none" w:sz="0" w:space="0" w:color="auto"/>
        <w:bottom w:val="none" w:sz="0" w:space="0" w:color="auto"/>
        <w:right w:val="none" w:sz="0" w:space="0" w:color="auto"/>
      </w:divBdr>
    </w:div>
    <w:div w:id="560363795">
      <w:bodyDiv w:val="1"/>
      <w:marLeft w:val="0"/>
      <w:marRight w:val="0"/>
      <w:marTop w:val="0"/>
      <w:marBottom w:val="0"/>
      <w:divBdr>
        <w:top w:val="none" w:sz="0" w:space="0" w:color="auto"/>
        <w:left w:val="none" w:sz="0" w:space="0" w:color="auto"/>
        <w:bottom w:val="none" w:sz="0" w:space="0" w:color="auto"/>
        <w:right w:val="none" w:sz="0" w:space="0" w:color="auto"/>
      </w:divBdr>
    </w:div>
    <w:div w:id="598296757">
      <w:bodyDiv w:val="1"/>
      <w:marLeft w:val="0"/>
      <w:marRight w:val="0"/>
      <w:marTop w:val="0"/>
      <w:marBottom w:val="0"/>
      <w:divBdr>
        <w:top w:val="none" w:sz="0" w:space="0" w:color="auto"/>
        <w:left w:val="none" w:sz="0" w:space="0" w:color="auto"/>
        <w:bottom w:val="none" w:sz="0" w:space="0" w:color="auto"/>
        <w:right w:val="none" w:sz="0" w:space="0" w:color="auto"/>
      </w:divBdr>
    </w:div>
    <w:div w:id="706025591">
      <w:bodyDiv w:val="1"/>
      <w:marLeft w:val="0"/>
      <w:marRight w:val="0"/>
      <w:marTop w:val="0"/>
      <w:marBottom w:val="0"/>
      <w:divBdr>
        <w:top w:val="none" w:sz="0" w:space="0" w:color="auto"/>
        <w:left w:val="none" w:sz="0" w:space="0" w:color="auto"/>
        <w:bottom w:val="none" w:sz="0" w:space="0" w:color="auto"/>
        <w:right w:val="none" w:sz="0" w:space="0" w:color="auto"/>
      </w:divBdr>
    </w:div>
    <w:div w:id="807207198">
      <w:bodyDiv w:val="1"/>
      <w:marLeft w:val="0"/>
      <w:marRight w:val="0"/>
      <w:marTop w:val="0"/>
      <w:marBottom w:val="0"/>
      <w:divBdr>
        <w:top w:val="none" w:sz="0" w:space="0" w:color="auto"/>
        <w:left w:val="none" w:sz="0" w:space="0" w:color="auto"/>
        <w:bottom w:val="none" w:sz="0" w:space="0" w:color="auto"/>
        <w:right w:val="none" w:sz="0" w:space="0" w:color="auto"/>
      </w:divBdr>
    </w:div>
    <w:div w:id="860633549">
      <w:bodyDiv w:val="1"/>
      <w:marLeft w:val="0"/>
      <w:marRight w:val="0"/>
      <w:marTop w:val="0"/>
      <w:marBottom w:val="0"/>
      <w:divBdr>
        <w:top w:val="none" w:sz="0" w:space="0" w:color="auto"/>
        <w:left w:val="none" w:sz="0" w:space="0" w:color="auto"/>
        <w:bottom w:val="none" w:sz="0" w:space="0" w:color="auto"/>
        <w:right w:val="none" w:sz="0" w:space="0" w:color="auto"/>
      </w:divBdr>
    </w:div>
    <w:div w:id="896621517">
      <w:bodyDiv w:val="1"/>
      <w:marLeft w:val="0"/>
      <w:marRight w:val="0"/>
      <w:marTop w:val="0"/>
      <w:marBottom w:val="0"/>
      <w:divBdr>
        <w:top w:val="none" w:sz="0" w:space="0" w:color="auto"/>
        <w:left w:val="none" w:sz="0" w:space="0" w:color="auto"/>
        <w:bottom w:val="none" w:sz="0" w:space="0" w:color="auto"/>
        <w:right w:val="none" w:sz="0" w:space="0" w:color="auto"/>
      </w:divBdr>
    </w:div>
    <w:div w:id="1012533133">
      <w:bodyDiv w:val="1"/>
      <w:marLeft w:val="0"/>
      <w:marRight w:val="0"/>
      <w:marTop w:val="0"/>
      <w:marBottom w:val="0"/>
      <w:divBdr>
        <w:top w:val="none" w:sz="0" w:space="0" w:color="auto"/>
        <w:left w:val="none" w:sz="0" w:space="0" w:color="auto"/>
        <w:bottom w:val="none" w:sz="0" w:space="0" w:color="auto"/>
        <w:right w:val="none" w:sz="0" w:space="0" w:color="auto"/>
      </w:divBdr>
    </w:div>
    <w:div w:id="1022365957">
      <w:bodyDiv w:val="1"/>
      <w:marLeft w:val="0"/>
      <w:marRight w:val="0"/>
      <w:marTop w:val="0"/>
      <w:marBottom w:val="0"/>
      <w:divBdr>
        <w:top w:val="none" w:sz="0" w:space="0" w:color="auto"/>
        <w:left w:val="none" w:sz="0" w:space="0" w:color="auto"/>
        <w:bottom w:val="none" w:sz="0" w:space="0" w:color="auto"/>
        <w:right w:val="none" w:sz="0" w:space="0" w:color="auto"/>
      </w:divBdr>
    </w:div>
    <w:div w:id="1060327727">
      <w:bodyDiv w:val="1"/>
      <w:marLeft w:val="0"/>
      <w:marRight w:val="0"/>
      <w:marTop w:val="0"/>
      <w:marBottom w:val="0"/>
      <w:divBdr>
        <w:top w:val="none" w:sz="0" w:space="0" w:color="auto"/>
        <w:left w:val="none" w:sz="0" w:space="0" w:color="auto"/>
        <w:bottom w:val="none" w:sz="0" w:space="0" w:color="auto"/>
        <w:right w:val="none" w:sz="0" w:space="0" w:color="auto"/>
      </w:divBdr>
    </w:div>
    <w:div w:id="1147547676">
      <w:bodyDiv w:val="1"/>
      <w:marLeft w:val="0"/>
      <w:marRight w:val="0"/>
      <w:marTop w:val="0"/>
      <w:marBottom w:val="0"/>
      <w:divBdr>
        <w:top w:val="none" w:sz="0" w:space="0" w:color="auto"/>
        <w:left w:val="none" w:sz="0" w:space="0" w:color="auto"/>
        <w:bottom w:val="none" w:sz="0" w:space="0" w:color="auto"/>
        <w:right w:val="none" w:sz="0" w:space="0" w:color="auto"/>
      </w:divBdr>
    </w:div>
    <w:div w:id="1169174459">
      <w:bodyDiv w:val="1"/>
      <w:marLeft w:val="0"/>
      <w:marRight w:val="0"/>
      <w:marTop w:val="0"/>
      <w:marBottom w:val="0"/>
      <w:divBdr>
        <w:top w:val="none" w:sz="0" w:space="0" w:color="auto"/>
        <w:left w:val="none" w:sz="0" w:space="0" w:color="auto"/>
        <w:bottom w:val="none" w:sz="0" w:space="0" w:color="auto"/>
        <w:right w:val="none" w:sz="0" w:space="0" w:color="auto"/>
      </w:divBdr>
    </w:div>
    <w:div w:id="1288779760">
      <w:bodyDiv w:val="1"/>
      <w:marLeft w:val="0"/>
      <w:marRight w:val="0"/>
      <w:marTop w:val="0"/>
      <w:marBottom w:val="0"/>
      <w:divBdr>
        <w:top w:val="none" w:sz="0" w:space="0" w:color="auto"/>
        <w:left w:val="none" w:sz="0" w:space="0" w:color="auto"/>
        <w:bottom w:val="none" w:sz="0" w:space="0" w:color="auto"/>
        <w:right w:val="none" w:sz="0" w:space="0" w:color="auto"/>
      </w:divBdr>
    </w:div>
    <w:div w:id="1323198529">
      <w:bodyDiv w:val="1"/>
      <w:marLeft w:val="0"/>
      <w:marRight w:val="0"/>
      <w:marTop w:val="0"/>
      <w:marBottom w:val="0"/>
      <w:divBdr>
        <w:top w:val="none" w:sz="0" w:space="0" w:color="auto"/>
        <w:left w:val="none" w:sz="0" w:space="0" w:color="auto"/>
        <w:bottom w:val="none" w:sz="0" w:space="0" w:color="auto"/>
        <w:right w:val="none" w:sz="0" w:space="0" w:color="auto"/>
      </w:divBdr>
    </w:div>
    <w:div w:id="1429423746">
      <w:bodyDiv w:val="1"/>
      <w:marLeft w:val="0"/>
      <w:marRight w:val="0"/>
      <w:marTop w:val="0"/>
      <w:marBottom w:val="0"/>
      <w:divBdr>
        <w:top w:val="none" w:sz="0" w:space="0" w:color="auto"/>
        <w:left w:val="none" w:sz="0" w:space="0" w:color="auto"/>
        <w:bottom w:val="none" w:sz="0" w:space="0" w:color="auto"/>
        <w:right w:val="none" w:sz="0" w:space="0" w:color="auto"/>
      </w:divBdr>
    </w:div>
    <w:div w:id="1633437014">
      <w:bodyDiv w:val="1"/>
      <w:marLeft w:val="0"/>
      <w:marRight w:val="0"/>
      <w:marTop w:val="0"/>
      <w:marBottom w:val="0"/>
      <w:divBdr>
        <w:top w:val="none" w:sz="0" w:space="0" w:color="auto"/>
        <w:left w:val="none" w:sz="0" w:space="0" w:color="auto"/>
        <w:bottom w:val="none" w:sz="0" w:space="0" w:color="auto"/>
        <w:right w:val="none" w:sz="0" w:space="0" w:color="auto"/>
      </w:divBdr>
    </w:div>
    <w:div w:id="1685864709">
      <w:bodyDiv w:val="1"/>
      <w:marLeft w:val="0"/>
      <w:marRight w:val="0"/>
      <w:marTop w:val="0"/>
      <w:marBottom w:val="0"/>
      <w:divBdr>
        <w:top w:val="none" w:sz="0" w:space="0" w:color="auto"/>
        <w:left w:val="none" w:sz="0" w:space="0" w:color="auto"/>
        <w:bottom w:val="none" w:sz="0" w:space="0" w:color="auto"/>
        <w:right w:val="none" w:sz="0" w:space="0" w:color="auto"/>
      </w:divBdr>
    </w:div>
    <w:div w:id="19547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growthinc.com/annual-report" TargetMode="External"/><Relationship Id="rId3" Type="http://schemas.openxmlformats.org/officeDocument/2006/relationships/settings" Target="settings.xml"/><Relationship Id="rId7" Type="http://schemas.openxmlformats.org/officeDocument/2006/relationships/hyperlink" Target="https://www.mckinsey.com/reports/2023-financial-analysis-tech-compan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f/financial-ratio.as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9</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4</cp:revision>
  <dcterms:created xsi:type="dcterms:W3CDTF">2024-12-23T03:21:00Z</dcterms:created>
  <dcterms:modified xsi:type="dcterms:W3CDTF">2024-12-23T20:06:00Z</dcterms:modified>
</cp:coreProperties>
</file>