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Calibri" w:cs="Calibri" w:eastAsia="Calibri" w:hAnsi="Calibri"/>
          <w:b/>
          <w:bCs/>
          <w:color w:val="365C73"/>
          <w:sz w:val="20"/>
          <w:szCs w:val="20"/>
        </w:rPr>
        <w:t xml:space="preserve">DIGITALEY DRIVE DATA ANALYST BOOTCAMP</w:t>
      </w:r>
    </w:p>
    <w:p>
      <w:pPr>
        <w:spacing w:after="200"/>
      </w:pPr>
      <w:r>
        <w:rPr>
          <w:rFonts w:ascii="Calibri" w:cs="Calibri" w:eastAsia="Calibri" w:hAnsi="Calibri"/>
          <w:color w:val="5B7484"/>
          <w:sz w:val="20"/>
          <w:szCs w:val="20"/>
        </w:rPr>
        <w:t xml:space="preserve">Capstone Project</w:t>
      </w:r>
    </w:p>
    <w:p>
      <w:pPr>
        <w:spacing w:after="100"/>
      </w:pPr>
      <w:r>
        <w:rPr>
          <w:rFonts w:ascii="Calibri" w:cs="Calibri" w:eastAsia="Calibri" w:hAnsi="Calibri"/>
          <w:b/>
          <w:bCs/>
          <w:color w:val="042A41"/>
          <w:sz w:val="48"/>
          <w:szCs w:val="48"/>
        </w:rPr>
        <w:t xml:space="preserve">Restaurant Ratings Analysis</w:t>
      </w:r>
    </w:p>
    <w:p>
      <w:pPr>
        <w:spacing w:after="400"/>
      </w:pPr>
      <w:r>
        <w:rPr>
          <w:rFonts w:ascii="Calibri" w:cs="Calibri" w:eastAsia="Calibri" w:hAnsi="Calibri"/>
          <w:i/>
          <w:iCs/>
          <w:color w:val="365C73"/>
          <w:sz w:val="26"/>
          <w:szCs w:val="26"/>
        </w:rPr>
        <w:t xml:space="preserve">A Data-Driven Guide for Restaurant Investors and Entrepreneurs in Mexico</w:t>
      </w:r>
    </w:p>
    <w:p>
      <w:pPr>
        <w:spacing w:after="40"/>
      </w:pPr>
      <w:r>
        <w:rPr>
          <w:rFonts w:ascii="Calibri" w:cs="Calibri" w:eastAsia="Calibri" w:hAnsi="Calibri"/>
          <w:color w:val="1A1A1A"/>
          <w:sz w:val="22"/>
          <w:szCs w:val="22"/>
        </w:rPr>
        <w:t xml:space="preserve">Prepared by: Abiola Damilola Mercy</w:t>
      </w:r>
    </w:p>
    <w:p>
      <w:pPr>
        <w:spacing w:after="40"/>
      </w:pPr>
      <w:r>
        <w:rPr>
          <w:rFonts w:ascii="Calibri" w:cs="Calibri" w:eastAsia="Calibri" w:hAnsi="Calibri"/>
          <w:color w:val="1A1A1A"/>
          <w:sz w:val="22"/>
          <w:szCs w:val="22"/>
        </w:rPr>
        <w:t xml:space="preserve">Tool: Microsoft Power BI  |  Data Model: Star schema across 5 linked tables</w:t>
      </w:r>
    </w:p>
    <w:p>
      <w:pPr>
        <w:spacing w:after="600"/>
      </w:pPr>
      <w:r>
        <w:rPr>
          <w:rFonts w:ascii="Calibri" w:cs="Calibri" w:eastAsia="Calibri" w:hAnsi="Calibri"/>
          <w:color w:val="1A1A1A"/>
          <w:sz w:val="22"/>
          <w:szCs w:val="22"/>
        </w:rPr>
        <w:t xml:space="preserve">Submission deadline: October 12, 2026</w:t>
      </w:r>
    </w:p>
    <w:p>
      <w:pPr>
        <w:pBdr>
          <w:bottom w:val="single" w:color="C2E8FF" w:sz="8" w:space="1"/>
        </w:pBdr>
        <w:spacing w:after="260" w:before="60"/>
      </w:pPr>
    </w:p>
    <w:p>
      <w:r>
        <w:br w:type="page"/>
      </w:r>
    </w:p>
    <w:p>
      <w:pPr>
        <w:pStyle w:val="Heading1"/>
        <w:spacing w:after="160" w:before="320"/>
      </w:pPr>
      <w:r>
        <w:rPr>
          <w:rFonts w:ascii="Calibri" w:cs="Calibri" w:eastAsia="Calibri" w:hAnsi="Calibri"/>
          <w:b/>
          <w:bCs/>
          <w:color w:val="042A41"/>
          <w:sz w:val="30"/>
          <w:szCs w:val="30"/>
        </w:rPr>
        <w:t xml:space="preserve">Executive Summary</w:t>
      </w:r>
    </w:p>
    <w:p>
      <w:pPr>
        <w:spacing w:after="160" w:line="276"/>
      </w:pPr>
      <w:r>
        <w:rPr>
          <w:rFonts w:ascii="Calibri" w:cs="Calibri" w:eastAsia="Calibri" w:hAnsi="Calibri"/>
          <w:color w:val="1A1A1A"/>
          <w:sz w:val="22"/>
          <w:szCs w:val="22"/>
        </w:rPr>
        <w:t xml:space="preserve">This project analyzes a 2012 consumer survey of restaurants across four Mexican cities to help entrepreneurs and investors make more informed decisions about where and how to invest in a restaurant. The dataset covers 138 consumers, 130 restaurants, and 1,161 individual ratings, linked through consumer preferences and restaurant cuisine tags.</w:t>
      </w:r>
    </w:p>
    <w:p>
      <w:pPr>
        <w:spacing w:after="160" w:line="276"/>
      </w:pPr>
      <w:r>
        <w:rPr>
          <w:rFonts w:ascii="Calibri" w:cs="Calibri" w:eastAsia="Calibri" w:hAnsi="Calibri"/>
          <w:color w:val="1A1A1A"/>
          <w:sz w:val="22"/>
          <w:szCs w:val="22"/>
        </w:rPr>
        <w:t xml:space="preserve">A five-page Power BI dashboard was built to answer four questions: what distinguishes the highest-rated restaurants, who the survey respondents are and whether the sample is biased, where gaps exist between what consumers want and what restaurants supply, and what an investor should look for.</w:t>
      </w:r>
    </w:p>
    <w:p>
      <w:pPr>
        <w:spacing w:after="160" w:line="276"/>
      </w:pPr>
      <w:r>
        <w:rPr>
          <w:rFonts w:ascii="Calibri" w:cs="Calibri" w:eastAsia="Calibri" w:hAnsi="Calibri"/>
          <w:color w:val="1A1A1A"/>
          <w:sz w:val="22"/>
          <w:szCs w:val="22"/>
        </w:rPr>
        <w:t xml:space="preserve">The headline findings:</w:t>
      </w:r>
    </w:p>
    <w:p>
      <w:pPr>
        <w:pStyle w:val="ListParagraph"/>
        <w:numPr>
          <w:ilvl w:val="0"/>
          <w:numId w:val="2"/>
        </w:numPr>
        <w:spacing w:after="90" w:line="276"/>
      </w:pPr>
      <w:r>
        <w:rPr>
          <w:rFonts w:ascii="Calibri" w:cs="Calibri" w:eastAsia="Calibri" w:hAnsi="Calibri"/>
          <w:color w:val="1A1A1A"/>
          <w:sz w:val="22"/>
          <w:szCs w:val="22"/>
        </w:rPr>
        <w:t xml:space="preserve">Restaurants average 1.20 out of 2 overall, with 42% of ratings “Highly Satisfactory” and 22% “Unsatisfactory.” Service is the weakest component (1.09) compared with food (1.22).</w:t>
      </w:r>
    </w:p>
    <w:p>
      <w:pPr>
        <w:pStyle w:val="ListParagraph"/>
        <w:numPr>
          <w:ilvl w:val="0"/>
          <w:numId w:val="2"/>
        </w:numPr>
        <w:spacing w:after="90" w:line="276"/>
      </w:pPr>
      <w:r>
        <w:rPr>
          <w:rFonts w:ascii="Calibri" w:cs="Calibri" w:eastAsia="Calibri" w:hAnsi="Calibri"/>
          <w:color w:val="1A1A1A"/>
          <w:sz w:val="22"/>
          <w:szCs w:val="22"/>
        </w:rPr>
        <w:t xml:space="preserve">Restaurant-level features move ratings only modestly — price point and enclosed seating help a little — while differences between types of consumers are larger. Matching a diner’s preferred cuisine does not raise their rating.</w:t>
      </w:r>
    </w:p>
    <w:p>
      <w:pPr>
        <w:pStyle w:val="ListParagraph"/>
        <w:numPr>
          <w:ilvl w:val="0"/>
          <w:numId w:val="2"/>
        </w:numPr>
        <w:spacing w:after="90" w:line="276"/>
      </w:pPr>
      <w:r>
        <w:rPr>
          <w:rFonts w:ascii="Calibri" w:cs="Calibri" w:eastAsia="Calibri" w:hAnsi="Calibri"/>
          <w:color w:val="1A1A1A"/>
          <w:sz w:val="22"/>
          <w:szCs w:val="22"/>
        </w:rPr>
        <w:t xml:space="preserve">The survey sample is heavily skewed toward young, single, budget-conscious students, so findings describe that segment of diners, not the broader Mexican dining market.</w:t>
      </w:r>
    </w:p>
    <w:p>
      <w:pPr>
        <w:pStyle w:val="ListParagraph"/>
        <w:numPr>
          <w:ilvl w:val="0"/>
          <w:numId w:val="2"/>
        </w:numPr>
        <w:spacing w:after="90" w:line="276"/>
      </w:pPr>
      <w:r>
        <w:rPr>
          <w:rFonts w:ascii="Calibri" w:cs="Calibri" w:eastAsia="Calibri" w:hAnsi="Calibri"/>
          <w:color w:val="1A1A1A"/>
          <w:sz w:val="22"/>
          <w:szCs w:val="22"/>
        </w:rPr>
        <w:t xml:space="preserve">Several cuisines with real consumer demand — including Hot Dogs, Latin American, and Afghan — have no restaurants serving them at all, while cuisines like Mexican are demanded far more than the current supply of restaurants can match.</w:t>
      </w:r>
    </w:p>
    <w:p>
      <w:pPr>
        <w:spacing w:after="160" w:line="276"/>
      </w:pPr>
      <w:r>
        <w:rPr>
          <w:rFonts w:ascii="Calibri" w:cs="Calibri" w:eastAsia="Calibri" w:hAnsi="Calibri"/>
          <w:color w:val="1A1A1A"/>
          <w:sz w:val="22"/>
          <w:szCs w:val="22"/>
        </w:rPr>
        <w:t xml:space="preserve">The full analysis, methodology, and recommendations follow.</w:t>
      </w:r>
    </w:p>
    <w:p>
      <w:pPr>
        <w:pStyle w:val="Heading1"/>
        <w:spacing w:after="160" w:before="320"/>
      </w:pPr>
      <w:r>
        <w:rPr>
          <w:rFonts w:ascii="Calibri" w:cs="Calibri" w:eastAsia="Calibri" w:hAnsi="Calibri"/>
          <w:b/>
          <w:bCs/>
          <w:color w:val="042A41"/>
          <w:sz w:val="30"/>
          <w:szCs w:val="30"/>
        </w:rPr>
        <w:t xml:space="preserve">Project Overview</w:t>
      </w:r>
    </w:p>
    <w:p>
      <w:pPr>
        <w:spacing w:after="160" w:line="276"/>
      </w:pPr>
      <w:r>
        <w:rPr>
          <w:rFonts w:ascii="Calibri" w:cs="Calibri" w:eastAsia="Calibri" w:hAnsi="Calibri"/>
          <w:color w:val="1A1A1A"/>
          <w:sz w:val="22"/>
          <w:szCs w:val="22"/>
        </w:rPr>
        <w:t xml:space="preserve">This capstone was assigned as part of the Digitaley Drive Data Analyst Bootcamp. The brief frames the analyst as being contracted to analyze a restaurant rating dataset and draw out insight that would help business entrepreneurs and investors make more informed decisions. Four guiding questions were set:</w:t>
      </w:r>
    </w:p>
    <w:p>
      <w:pPr>
        <w:pStyle w:val="ListParagraph"/>
        <w:numPr>
          <w:ilvl w:val="0"/>
          <w:numId w:val="2"/>
        </w:numPr>
        <w:spacing w:after="90" w:line="276"/>
      </w:pPr>
      <w:r>
        <w:rPr>
          <w:rFonts w:ascii="Calibri" w:cs="Calibri" w:eastAsia="Calibri" w:hAnsi="Calibri"/>
          <w:color w:val="1A1A1A"/>
          <w:sz w:val="22"/>
          <w:szCs w:val="22"/>
        </w:rPr>
        <w:t xml:space="preserve">What can be learned from the highest-rated restaurants? Do consumer preferences affect ratings?</w:t>
      </w:r>
    </w:p>
    <w:p>
      <w:pPr>
        <w:pStyle w:val="ListParagraph"/>
        <w:numPr>
          <w:ilvl w:val="0"/>
          <w:numId w:val="2"/>
        </w:numPr>
        <w:spacing w:after="90" w:line="276"/>
      </w:pPr>
      <w:r>
        <w:rPr>
          <w:rFonts w:ascii="Calibri" w:cs="Calibri" w:eastAsia="Calibri" w:hAnsi="Calibri"/>
          <w:color w:val="1A1A1A"/>
          <w:sz w:val="22"/>
          <w:szCs w:val="22"/>
        </w:rPr>
        <w:t xml:space="preserve">What are the consumer demographics, and does this indicate bias in the sample?</w:t>
      </w:r>
    </w:p>
    <w:p>
      <w:pPr>
        <w:pStyle w:val="ListParagraph"/>
        <w:numPr>
          <w:ilvl w:val="0"/>
          <w:numId w:val="2"/>
        </w:numPr>
        <w:spacing w:after="90" w:line="276"/>
      </w:pPr>
      <w:r>
        <w:rPr>
          <w:rFonts w:ascii="Calibri" w:cs="Calibri" w:eastAsia="Calibri" w:hAnsi="Calibri"/>
          <w:color w:val="1A1A1A"/>
          <w:sz w:val="22"/>
          <w:szCs w:val="22"/>
        </w:rPr>
        <w:t xml:space="preserve">Are there demand and supply gaps that can be exploited in the market?</w:t>
      </w:r>
    </w:p>
    <w:p>
      <w:pPr>
        <w:pStyle w:val="ListParagraph"/>
        <w:numPr>
          <w:ilvl w:val="0"/>
          <w:numId w:val="2"/>
        </w:numPr>
        <w:spacing w:after="90" w:line="276"/>
      </w:pPr>
      <w:r>
        <w:rPr>
          <w:rFonts w:ascii="Calibri" w:cs="Calibri" w:eastAsia="Calibri" w:hAnsi="Calibri"/>
          <w:color w:val="1A1A1A"/>
          <w:sz w:val="22"/>
          <w:szCs w:val="22"/>
        </w:rPr>
        <w:t xml:space="preserve">If investing in a restaurant, which characteristics should be prioritized?</w:t>
      </w:r>
    </w:p>
    <w:p>
      <w:pPr>
        <w:spacing w:after="160" w:line="276"/>
      </w:pPr>
      <w:r>
        <w:rPr>
          <w:rFonts w:ascii="Calibri" w:cs="Calibri" w:eastAsia="Calibri" w:hAnsi="Calibri"/>
          <w:color w:val="1A1A1A"/>
          <w:sz w:val="22"/>
          <w:szCs w:val="22"/>
        </w:rPr>
        <w:t xml:space="preserve">The deliverable is an interactive Power BI dashboard with five pages — Overview, Ratings Drivers, Consumers, Demand and Supply, and Investment — each built around one of these questions, supported by this written analysis.</w:t>
      </w:r>
    </w:p>
    <w:p>
      <w:pPr>
        <w:pStyle w:val="Heading1"/>
        <w:spacing w:after="160" w:before="320"/>
      </w:pPr>
      <w:r>
        <w:rPr>
          <w:rFonts w:ascii="Calibri" w:cs="Calibri" w:eastAsia="Calibri" w:hAnsi="Calibri"/>
          <w:b/>
          <w:bCs/>
          <w:color w:val="042A41"/>
          <w:sz w:val="30"/>
          <w:szCs w:val="30"/>
        </w:rPr>
        <w:t xml:space="preserve">Data Sources</w:t>
      </w:r>
    </w:p>
    <w:p>
      <w:pPr>
        <w:spacing w:after="160" w:line="276"/>
      </w:pPr>
      <w:r>
        <w:rPr>
          <w:rFonts w:ascii="Calibri" w:cs="Calibri" w:eastAsia="Calibri" w:hAnsi="Calibri"/>
          <w:color w:val="1A1A1A"/>
          <w:sz w:val="22"/>
          <w:szCs w:val="22"/>
        </w:rPr>
        <w:t xml:space="preserve">The dataset is a 2012 consumer survey of restaurants in Mexico, provided as five linked CSV/Excel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Table</w:t>
            </w:r>
          </w:p>
        </w:tc>
        <w:tc>
          <w:tcPr>
            <w:tcW w:type="dxa" w:w="16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Rows</w:t>
            </w:r>
          </w:p>
        </w:tc>
        <w:tc>
          <w:tcPr>
            <w:tcW w:type="dxa" w:w="52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Contents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Consumers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138</w:t>
            </w:r>
          </w:p>
        </w:tc>
        <w:tc>
          <w:tcPr>
            <w:tcW w:type="dxa" w:w="5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Demographics: age, city, budget, marital status, occupation, drinking and smoking habits, transportation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Restaurants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130</w:t>
            </w:r>
          </w:p>
        </w:tc>
        <w:tc>
          <w:tcPr>
            <w:tcW w:type="dxa" w:w="5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Attributes: city, price tier, alcohol service, smoking policy, parking, area, franchise status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Ratings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1,161</w:t>
            </w:r>
          </w:p>
        </w:tc>
        <w:tc>
          <w:tcPr>
            <w:tcW w:type="dxa" w:w="5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Overall, food, and service scores (0–2) linking a consumer to a restaurant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Consumer_Preferences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328 (after de-duplication)</w:t>
            </w:r>
          </w:p>
        </w:tc>
        <w:tc>
          <w:tcPr>
            <w:tcW w:type="dxa" w:w="5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Cuisines each consumer says they prefer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Restaurant_Cuisines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112</w:t>
            </w:r>
          </w:p>
        </w:tc>
        <w:tc>
          <w:tcPr>
            <w:tcW w:type="dxa" w:w="5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Cuisines each restaurant is tagged as serving</w:t>
            </w:r>
          </w:p>
        </w:tc>
      </w:tr>
    </w:tbl>
    <w:p>
      <w:pPr>
        <w:spacing w:after="200"/>
      </w:pPr>
      <w:r>
        <w:rPr>
          <w:rFonts w:ascii="Calibri" w:cs="Calibri" w:eastAsia="Calibri" w:hAnsi="Calibri"/>
          <w:i/>
          <w:iCs/>
          <w:color w:val="5B7484"/>
          <w:sz w:val="19"/>
          <w:szCs w:val="19"/>
        </w:rPr>
        <w:t xml:space="preserve">Restaurants span four cities: San Luis Potosí (84), Ciudad Victoria (23), Cuernavaca (21), and Jiutepec (2).</w:t>
      </w:r>
    </w:p>
    <w:p>
      <w:pPr>
        <w:pStyle w:val="Heading1"/>
        <w:spacing w:after="160" w:before="320"/>
      </w:pPr>
      <w:r>
        <w:rPr>
          <w:rFonts w:ascii="Calibri" w:cs="Calibri" w:eastAsia="Calibri" w:hAnsi="Calibri"/>
          <w:b/>
          <w:bCs/>
          <w:color w:val="042A41"/>
          <w:sz w:val="30"/>
          <w:szCs w:val="30"/>
        </w:rPr>
        <w:t xml:space="preserve">Data Cleaning &amp; Transformation</w:t>
      </w:r>
    </w:p>
    <w:p>
      <w:pPr>
        <w:spacing w:after="160" w:line="276"/>
      </w:pPr>
      <w:r>
        <w:rPr>
          <w:rFonts w:ascii="Calibri" w:cs="Calibri" w:eastAsia="Calibri" w:hAnsi="Calibri"/>
          <w:color w:val="1A1A1A"/>
          <w:sz w:val="22"/>
          <w:szCs w:val="22"/>
        </w:rPr>
        <w:t xml:space="preserve">Cleaning and modeling were done in Power Query, with the following decisions:</w:t>
      </w:r>
    </w:p>
    <w:p>
      <w:pPr>
        <w:pStyle w:val="ListParagraph"/>
        <w:numPr>
          <w:ilvl w:val="0"/>
          <w:numId w:val="2"/>
        </w:numPr>
        <w:spacing w:after="90" w:line="276"/>
      </w:pPr>
      <w:r>
        <w:rPr>
          <w:rFonts w:ascii="Calibri" w:cs="Calibri" w:eastAsia="Calibri" w:hAnsi="Calibri"/>
          <w:b/>
          <w:bCs/>
          <w:color w:val="042A41"/>
          <w:sz w:val="22"/>
          <w:szCs w:val="22"/>
        </w:rPr>
        <w:t xml:space="preserve">“None” preserved as a category. </w:t>
      </w:r>
      <w:r>
        <w:rPr>
          <w:rFonts w:ascii="Calibri" w:cs="Calibri" w:eastAsia="Calibri" w:hAnsi="Calibri"/>
          <w:color w:val="1A1A1A"/>
          <w:sz w:val="22"/>
          <w:szCs w:val="22"/>
        </w:rPr>
        <w:t xml:space="preserve">In the Alcohol_Service (87 rows) and Parking (65 rows) columns, “None” is a genuine answer meaning no alcohol or no parking is offered — not a missing value — and was kept as text rather than replaced or removed.</w:t>
      </w:r>
    </w:p>
    <w:p>
      <w:pPr>
        <w:pStyle w:val="ListParagraph"/>
        <w:numPr>
          <w:ilvl w:val="0"/>
          <w:numId w:val="2"/>
        </w:numPr>
        <w:spacing w:after="90" w:line="276"/>
      </w:pPr>
      <w:r>
        <w:rPr>
          <w:rFonts w:ascii="Calibri" w:cs="Calibri" w:eastAsia="Calibri" w:hAnsi="Calibri"/>
          <w:b/>
          <w:bCs/>
          <w:color w:val="042A41"/>
          <w:sz w:val="22"/>
          <w:szCs w:val="22"/>
        </w:rPr>
        <w:t xml:space="preserve">Blank consumer fields relabeled “Unknown.” </w:t>
      </w:r>
      <w:r>
        <w:rPr>
          <w:rFonts w:ascii="Calibri" w:cs="Calibri" w:eastAsia="Calibri" w:hAnsi="Calibri"/>
          <w:color w:val="1A1A1A"/>
          <w:sz w:val="22"/>
          <w:szCs w:val="22"/>
        </w:rPr>
        <w:t xml:space="preserve">39 blanks across Smoker, Transportation_Method, Marital_Status, Children, Occupation, and Budget were set to “Unknown” rather than dropped, so the consumer (and their ratings) stayed in the analysis.</w:t>
      </w:r>
    </w:p>
    <w:p>
      <w:pPr>
        <w:pStyle w:val="ListParagraph"/>
        <w:numPr>
          <w:ilvl w:val="0"/>
          <w:numId w:val="2"/>
        </w:numPr>
        <w:spacing w:after="90" w:line="276"/>
      </w:pPr>
      <w:r>
        <w:rPr>
          <w:rFonts w:ascii="Calibri" w:cs="Calibri" w:eastAsia="Calibri" w:hAnsi="Calibri"/>
          <w:b/>
          <w:bCs/>
          <w:color w:val="042A41"/>
          <w:sz w:val="22"/>
          <w:szCs w:val="22"/>
        </w:rPr>
        <w:t xml:space="preserve">Duplicate rows removed. </w:t>
      </w:r>
      <w:r>
        <w:rPr>
          <w:rFonts w:ascii="Calibri" w:cs="Calibri" w:eastAsia="Calibri" w:hAnsi="Calibri"/>
          <w:color w:val="1A1A1A"/>
          <w:sz w:val="22"/>
          <w:szCs w:val="22"/>
        </w:rPr>
        <w:t xml:space="preserve">Consumer_Preferences had 2 exact duplicate rows (330 → 328); Restaurant_Cuisines was also de-duplicated.</w:t>
      </w:r>
    </w:p>
    <w:p>
      <w:pPr>
        <w:pStyle w:val="ListParagraph"/>
        <w:numPr>
          <w:ilvl w:val="0"/>
          <w:numId w:val="2"/>
        </w:numPr>
        <w:spacing w:after="90" w:line="276"/>
      </w:pPr>
      <w:r>
        <w:rPr>
          <w:rFonts w:ascii="Calibri" w:cs="Calibri" w:eastAsia="Calibri" w:hAnsi="Calibri"/>
          <w:b/>
          <w:bCs/>
          <w:color w:val="042A41"/>
          <w:sz w:val="22"/>
          <w:szCs w:val="22"/>
        </w:rPr>
        <w:t xml:space="preserve">Constant and empty columns dropped. </w:t>
      </w:r>
      <w:r>
        <w:rPr>
          <w:rFonts w:ascii="Calibri" w:cs="Calibri" w:eastAsia="Calibri" w:hAnsi="Calibri"/>
          <w:color w:val="1A1A1A"/>
          <w:sz w:val="22"/>
          <w:szCs w:val="22"/>
        </w:rPr>
        <w:t xml:space="preserve">Country (always “Mexico”) and Zip_Code (blank for 74 of 130 restaurants) were removed.</w:t>
      </w:r>
    </w:p>
    <w:p>
      <w:pPr>
        <w:pStyle w:val="ListParagraph"/>
        <w:numPr>
          <w:ilvl w:val="0"/>
          <w:numId w:val="2"/>
        </w:numPr>
        <w:spacing w:after="90" w:line="276"/>
      </w:pPr>
      <w:r>
        <w:rPr>
          <w:rFonts w:ascii="Calibri" w:cs="Calibri" w:eastAsia="Calibri" w:hAnsi="Calibri"/>
          <w:b/>
          <w:bCs/>
          <w:color w:val="042A41"/>
          <w:sz w:val="22"/>
          <w:szCs w:val="22"/>
        </w:rPr>
        <w:t xml:space="preserve">Data model. </w:t>
      </w:r>
      <w:r>
        <w:rPr>
          <w:rFonts w:ascii="Calibri" w:cs="Calibri" w:eastAsia="Calibri" w:hAnsi="Calibri"/>
          <w:color w:val="1A1A1A"/>
          <w:sz w:val="22"/>
          <w:szCs w:val="22"/>
        </w:rPr>
        <w:t xml:space="preserve">Ratings sits at the center of a star schema, linked to Consumers and Restaurants. A shared Cuisine dimension table links Consumer_Preferences and Restaurant_Cuisines, so consumer demand and restaurant supply can be compared cuisine by cuisine.</w:t>
      </w:r>
    </w:p>
    <w:p>
      <w:pPr>
        <w:pStyle w:val="ListParagraph"/>
        <w:numPr>
          <w:ilvl w:val="0"/>
          <w:numId w:val="2"/>
        </w:numPr>
        <w:spacing w:after="90" w:line="276"/>
      </w:pPr>
      <w:r>
        <w:rPr>
          <w:rFonts w:ascii="Calibri" w:cs="Calibri" w:eastAsia="Calibri" w:hAnsi="Calibri"/>
          <w:b/>
          <w:bCs/>
          <w:color w:val="042A41"/>
          <w:sz w:val="22"/>
          <w:szCs w:val="22"/>
        </w:rPr>
        <w:t xml:space="preserve">Calculated columns and measures. </w:t>
      </w:r>
      <w:r>
        <w:rPr>
          <w:rFonts w:ascii="Calibri" w:cs="Calibri" w:eastAsia="Calibri" w:hAnsi="Calibri"/>
          <w:color w:val="1A1A1A"/>
          <w:sz w:val="22"/>
          <w:szCs w:val="22"/>
        </w:rPr>
        <w:t xml:space="preserve">A Cuisine_Match column flags whether a rated restaurant’s cuisine overlaps with the consumer’s stated preferences. DAX measures were built for average ratings, percentage “Highly Satisfactory,” demographic shares, and a Market Gap classification (Unserved demand / Under-supplied / Balanced / Over-supplied / Niche demand) comparing consumers preferring a cuisine against restaurants serving it.</w:t>
      </w:r>
    </w:p>
    <w:p>
      <w:pPr>
        <w:pStyle w:val="ListParagraph"/>
        <w:numPr>
          <w:ilvl w:val="0"/>
          <w:numId w:val="2"/>
        </w:numPr>
        <w:spacing w:after="90" w:line="276"/>
      </w:pPr>
      <w:r>
        <w:rPr>
          <w:rFonts w:ascii="Calibri" w:cs="Calibri" w:eastAsia="Calibri" w:hAnsi="Calibri"/>
          <w:b/>
          <w:bCs/>
          <w:color w:val="042A41"/>
          <w:sz w:val="22"/>
          <w:szCs w:val="22"/>
        </w:rPr>
        <w:t xml:space="preserve">Known limitation. </w:t>
      </w:r>
      <w:r>
        <w:rPr>
          <w:rFonts w:ascii="Calibri" w:cs="Calibri" w:eastAsia="Calibri" w:hAnsi="Calibri"/>
          <w:color w:val="1A1A1A"/>
          <w:sz w:val="22"/>
          <w:szCs w:val="22"/>
        </w:rPr>
        <w:t xml:space="preserve">Only 95 of 130 restaurants (73%) carry a cuisine tag, so supply-side figures in the Demand and Supply analysis are a partial picture and are reported as such.</w:t>
      </w:r>
    </w:p>
    <w:p>
      <w:pPr>
        <w:pStyle w:val="Heading1"/>
        <w:spacing w:after="160" w:before="320"/>
      </w:pPr>
      <w:r>
        <w:rPr>
          <w:rFonts w:ascii="Calibri" w:cs="Calibri" w:eastAsia="Calibri" w:hAnsi="Calibri"/>
          <w:b/>
          <w:bCs/>
          <w:color w:val="042A41"/>
          <w:sz w:val="30"/>
          <w:szCs w:val="30"/>
        </w:rPr>
        <w:t xml:space="preserve">Analysis</w:t>
      </w:r>
    </w:p>
    <w:p>
      <w:pPr>
        <w:pStyle w:val="Heading2"/>
        <w:spacing w:after="120" w:before="240"/>
      </w:pPr>
      <w:r>
        <w:rPr>
          <w:rFonts w:ascii="Calibri" w:cs="Calibri" w:eastAsia="Calibri" w:hAnsi="Calibri"/>
          <w:b/>
          <w:bCs/>
          <w:color w:val="365C73"/>
          <w:sz w:val="24"/>
          <w:szCs w:val="24"/>
        </w:rPr>
        <w:t xml:space="preserve">Question 1: What distinguishes the highest-rated restaurants? Do preferences affect ratings?</w:t>
      </w:r>
    </w:p>
    <w:p>
      <w:pPr>
        <w:spacing w:after="160" w:line="276"/>
      </w:pPr>
      <w:r>
        <w:rPr>
          <w:rFonts w:ascii="Calibri" w:cs="Calibri" w:eastAsia="Calibri" w:hAnsi="Calibri"/>
          <w:color w:val="1A1A1A"/>
          <w:sz w:val="22"/>
          <w:szCs w:val="22"/>
        </w:rPr>
        <w:t xml:space="preserve">Across 1,161 ratings, the overall average is 1.20 out of 2 (Food 1.22, Service 1.09), with 42% of ratings “Highly Satisfactory” and 22% “Unsatisfactory.” Restaurant-level features show modest but consistent differences:</w:t>
      </w:r>
    </w:p>
    <w:p>
      <w:pPr>
        <w:pStyle w:val="ListParagraph"/>
        <w:numPr>
          <w:ilvl w:val="0"/>
          <w:numId w:val="2"/>
        </w:numPr>
        <w:spacing w:after="90" w:line="276"/>
      </w:pPr>
      <w:r>
        <w:rPr>
          <w:rFonts w:ascii="Calibri" w:cs="Calibri" w:eastAsia="Calibri" w:hAnsi="Calibri"/>
          <w:color w:val="1A1A1A"/>
          <w:sz w:val="22"/>
          <w:szCs w:val="22"/>
        </w:rPr>
        <w:t xml:space="preserve">Price: Low-priced restaurants average 1.07, versus 1.25 (Medium) and 1.26 (High).</w:t>
      </w:r>
    </w:p>
    <w:p>
      <w:pPr>
        <w:pStyle w:val="ListParagraph"/>
        <w:numPr>
          <w:ilvl w:val="0"/>
          <w:numId w:val="2"/>
        </w:numPr>
        <w:spacing w:after="90" w:line="276"/>
      </w:pPr>
      <w:r>
        <w:rPr>
          <w:rFonts w:ascii="Calibri" w:cs="Calibri" w:eastAsia="Calibri" w:hAnsi="Calibri"/>
          <w:color w:val="1A1A1A"/>
          <w:sz w:val="22"/>
          <w:szCs w:val="22"/>
        </w:rPr>
        <w:t xml:space="preserve">Area: Closed/enclosed restaurants average 1.21, versus 1.12 for open-air ones.</w:t>
      </w:r>
    </w:p>
    <w:p>
      <w:pPr>
        <w:pStyle w:val="ListParagraph"/>
        <w:numPr>
          <w:ilvl w:val="0"/>
          <w:numId w:val="2"/>
        </w:numPr>
        <w:spacing w:after="90" w:line="276"/>
      </w:pPr>
      <w:r>
        <w:rPr>
          <w:rFonts w:ascii="Calibri" w:cs="Calibri" w:eastAsia="Calibri" w:hAnsi="Calibri"/>
          <w:color w:val="1A1A1A"/>
          <w:sz w:val="22"/>
          <w:szCs w:val="22"/>
        </w:rPr>
        <w:t xml:space="preserve">Alcohol service: Full Bar (1.26) and Wine &amp; Beer (1.24) restaurants slightly outrate those with no alcohol service (1.17).</w:t>
      </w:r>
    </w:p>
    <w:p>
      <w:pPr>
        <w:pStyle w:val="ListParagraph"/>
        <w:numPr>
          <w:ilvl w:val="0"/>
          <w:numId w:val="2"/>
        </w:numPr>
        <w:spacing w:after="90" w:line="276"/>
      </w:pPr>
      <w:r>
        <w:rPr>
          <w:rFonts w:ascii="Calibri" w:cs="Calibri" w:eastAsia="Calibri" w:hAnsi="Calibri"/>
          <w:color w:val="1A1A1A"/>
          <w:sz w:val="22"/>
          <w:szCs w:val="22"/>
        </w:rPr>
        <w:t xml:space="preserve">Cuisine (restaurants with 20+ ratings): International (1.51) and Japanese (1.34) rate highest; Italian (1.04) and Burgers (1.03) rate lowest. Mexican, the most common cuisine, sits at 1.19.</w:t>
      </w:r>
    </w:p>
    <w:p>
      <w:pPr>
        <w:spacing w:after="160" w:line="276"/>
      </w:pPr>
      <w:r>
        <w:rPr>
          <w:rFonts w:ascii="Calibri" w:cs="Calibri" w:eastAsia="Calibri" w:hAnsi="Calibri"/>
          <w:color w:val="1A1A1A"/>
          <w:sz w:val="22"/>
          <w:szCs w:val="22"/>
        </w:rPr>
        <w:t xml:space="preserve">Differences between types of consumers are larger than differences between restaurant features:</w:t>
      </w:r>
    </w:p>
    <w:p>
      <w:pPr>
        <w:pStyle w:val="ListParagraph"/>
        <w:numPr>
          <w:ilvl w:val="0"/>
          <w:numId w:val="2"/>
        </w:numPr>
        <w:spacing w:after="90" w:line="276"/>
      </w:pPr>
      <w:r>
        <w:rPr>
          <w:rFonts w:ascii="Calibri" w:cs="Calibri" w:eastAsia="Calibri" w:hAnsi="Calibri"/>
          <w:color w:val="1A1A1A"/>
          <w:sz w:val="22"/>
          <w:szCs w:val="22"/>
        </w:rPr>
        <w:t xml:space="preserve">Drinking level: Social drinkers rate 1.34 on average versus 1.02 for casual drinkers.</w:t>
      </w:r>
    </w:p>
    <w:p>
      <w:pPr>
        <w:pStyle w:val="ListParagraph"/>
        <w:numPr>
          <w:ilvl w:val="0"/>
          <w:numId w:val="2"/>
        </w:numPr>
        <w:spacing w:after="90" w:line="276"/>
      </w:pPr>
      <w:r>
        <w:rPr>
          <w:rFonts w:ascii="Calibri" w:cs="Calibri" w:eastAsia="Calibri" w:hAnsi="Calibri"/>
          <w:color w:val="1A1A1A"/>
          <w:sz w:val="22"/>
          <w:szCs w:val="22"/>
        </w:rPr>
        <w:t xml:space="preserve">Children: Consumers with young kids rate 0.87 on average, notably lower than independent adults (1.22) or those with dependents (1.58).</w:t>
      </w:r>
    </w:p>
    <w:p>
      <w:pPr>
        <w:pStyle w:val="ListParagraph"/>
        <w:numPr>
          <w:ilvl w:val="0"/>
          <w:numId w:val="2"/>
        </w:numPr>
        <w:spacing w:after="90" w:line="276"/>
      </w:pPr>
      <w:r>
        <w:rPr>
          <w:rFonts w:ascii="Calibri" w:cs="Calibri" w:eastAsia="Calibri" w:hAnsi="Calibri"/>
          <w:color w:val="1A1A1A"/>
          <w:sz w:val="22"/>
          <w:szCs w:val="22"/>
        </w:rPr>
        <w:t xml:space="preserve">Budget: High-budget consumers rate 1.48 on average versus 1.14 for low-budget consumers.</w:t>
      </w:r>
    </w:p>
    <w:p>
      <w:pPr>
        <w:spacing w:after="160" w:line="276"/>
      </w:pPr>
      <w:r>
        <w:rPr>
          <w:rFonts w:ascii="Calibri" w:cs="Calibri" w:eastAsia="Calibri" w:hAnsi="Calibri"/>
          <w:color w:val="1A1A1A"/>
          <w:sz w:val="22"/>
          <w:szCs w:val="22"/>
        </w:rPr>
        <w:t xml:space="preserve">On preferences specifically: matching a restaurant’s cuisine to a consumer’s stated preference does not raise the rating they give — matched ratings average 1.11 versus 1.25 for unmatched ratings, a small but statistically detectable difference in the opposite direction from what might be expected (Mann-Whitney p ≈ 0.03). This is an unadjusted comparison and should be read as “no evidence preference-matching helps,” not as proof that it hurts.</w:t>
      </w:r>
    </w:p>
    <w:p>
      <w:pPr>
        <w:pStyle w:val="ListParagraph"/>
        <w:numPr>
          <w:ilvl w:val="0"/>
          <w:numId w:val="2"/>
        </w:numPr>
        <w:spacing w:after="90" w:line="276"/>
      </w:pPr>
      <w:r>
        <w:rPr>
          <w:rFonts w:ascii="Calibri" w:cs="Calibri" w:eastAsia="Calibri" w:hAnsi="Calibri"/>
          <w:b/>
          <w:bCs/>
          <w:color w:val="042A41"/>
          <w:sz w:val="22"/>
          <w:szCs w:val="22"/>
        </w:rPr>
        <w:t xml:space="preserve">Top-rated restaurants (minimum 5 ratings): </w:t>
      </w:r>
      <w:r>
        <w:rPr>
          <w:rFonts w:ascii="Calibri" w:cs="Calibri" w:eastAsia="Calibri" w:hAnsi="Calibri"/>
          <w:color w:val="1A1A1A"/>
          <w:sz w:val="22"/>
          <w:szCs w:val="22"/>
        </w:rPr>
        <w:t xml:space="preserve">Las Mañanitas, Emilianos, and Michiko Restaurant Japonés each average a perfect 2.00, though on small samples of 5–8 ratings; results this close to the top should be read directionally rather than as fine-grained rankings.</w:t>
      </w:r>
    </w:p>
    <w:p>
      <w:pPr>
        <w:pStyle w:val="Heading2"/>
        <w:spacing w:after="120" w:before="240"/>
      </w:pPr>
      <w:r>
        <w:rPr>
          <w:rFonts w:ascii="Calibri" w:cs="Calibri" w:eastAsia="Calibri" w:hAnsi="Calibri"/>
          <w:b/>
          <w:bCs/>
          <w:color w:val="365C73"/>
          <w:sz w:val="24"/>
          <w:szCs w:val="24"/>
        </w:rPr>
        <w:t xml:space="preserve">Question 2: Who are the consumers, and does the sample show bias?</w:t>
      </w:r>
    </w:p>
    <w:p>
      <w:pPr>
        <w:spacing w:after="160" w:line="276"/>
      </w:pPr>
      <w:r>
        <w:rPr>
          <w:rFonts w:ascii="Calibri" w:cs="Calibri" w:eastAsia="Calibri" w:hAnsi="Calibri"/>
          <w:color w:val="1A1A1A"/>
          <w:sz w:val="22"/>
          <w:szCs w:val="22"/>
        </w:rPr>
        <w:t xml:space="preserve">The 138 respondents are not representative of the general dining public:</w:t>
      </w:r>
    </w:p>
    <w:p>
      <w:pPr>
        <w:pStyle w:val="ListParagraph"/>
        <w:numPr>
          <w:ilvl w:val="0"/>
          <w:numId w:val="2"/>
        </w:numPr>
        <w:spacing w:after="90" w:line="276"/>
      </w:pPr>
      <w:r>
        <w:rPr>
          <w:rFonts w:ascii="Calibri" w:cs="Calibri" w:eastAsia="Calibri" w:hAnsi="Calibri"/>
          <w:color w:val="1A1A1A"/>
          <w:sz w:val="22"/>
          <w:szCs w:val="22"/>
        </w:rPr>
        <w:t xml:space="preserve">86% of those who reported an occupation are students.</w:t>
      </w:r>
    </w:p>
    <w:p>
      <w:pPr>
        <w:pStyle w:val="ListParagraph"/>
        <w:numPr>
          <w:ilvl w:val="0"/>
          <w:numId w:val="2"/>
        </w:numPr>
        <w:spacing w:after="90" w:line="276"/>
      </w:pPr>
      <w:r>
        <w:rPr>
          <w:rFonts w:ascii="Calibri" w:cs="Calibri" w:eastAsia="Calibri" w:hAnsi="Calibri"/>
          <w:color w:val="1A1A1A"/>
          <w:sz w:val="22"/>
          <w:szCs w:val="22"/>
        </w:rPr>
        <w:t xml:space="preserve">80% are 25 years old or younger; the age distribution is heavily concentrated in the 21–25 bracket (101 of 138).</w:t>
      </w:r>
    </w:p>
    <w:p>
      <w:pPr>
        <w:pStyle w:val="ListParagraph"/>
        <w:numPr>
          <w:ilvl w:val="0"/>
          <w:numId w:val="2"/>
        </w:numPr>
        <w:spacing w:after="90" w:line="276"/>
      </w:pPr>
      <w:r>
        <w:rPr>
          <w:rFonts w:ascii="Calibri" w:cs="Calibri" w:eastAsia="Calibri" w:hAnsi="Calibri"/>
          <w:color w:val="1A1A1A"/>
          <w:sz w:val="22"/>
          <w:szCs w:val="22"/>
        </w:rPr>
        <w:t xml:space="preserve">92% of those who reported marital status are single.</w:t>
      </w:r>
    </w:p>
    <w:p>
      <w:pPr>
        <w:pStyle w:val="ListParagraph"/>
        <w:numPr>
          <w:ilvl w:val="0"/>
          <w:numId w:val="2"/>
        </w:numPr>
        <w:spacing w:after="90" w:line="276"/>
      </w:pPr>
      <w:r>
        <w:rPr>
          <w:rFonts w:ascii="Calibri" w:cs="Calibri" w:eastAsia="Calibri" w:hAnsi="Calibri"/>
          <w:color w:val="1A1A1A"/>
          <w:sz w:val="22"/>
          <w:szCs w:val="22"/>
        </w:rPr>
        <w:t xml:space="preserve">70% report a medium budget; only 5 people (4%) report a high budget, and 25% report a low budget.</w:t>
      </w:r>
    </w:p>
    <w:p>
      <w:pPr>
        <w:spacing w:after="160" w:line="276"/>
      </w:pPr>
      <w:r>
        <w:rPr>
          <w:rFonts w:ascii="Calibri" w:cs="Calibri" w:eastAsia="Calibri" w:hAnsi="Calibri"/>
          <w:color w:val="1A1A1A"/>
          <w:sz w:val="22"/>
          <w:szCs w:val="22"/>
        </w:rPr>
        <w:t xml:space="preserve">This means the survey speaks primarily for young, single, budget-conscious diners — largely students — in San Luis Potosí, Ciudad Victoria, Cuernavaca, and Jiutepec. Findings should not be generalized to older, higher-income, or family diners without caution. Some subgroups are also too small to draw firm conclusions from: only 2 consumers report being unemployed (14 ratings total) and only 5 report a high budget.</w:t>
      </w:r>
    </w:p>
    <w:p>
      <w:pPr>
        <w:pStyle w:val="Heading2"/>
        <w:spacing w:after="120" w:before="240"/>
      </w:pPr>
      <w:r>
        <w:rPr>
          <w:rFonts w:ascii="Calibri" w:cs="Calibri" w:eastAsia="Calibri" w:hAnsi="Calibri"/>
          <w:b/>
          <w:bCs/>
          <w:color w:val="365C73"/>
          <w:sz w:val="24"/>
          <w:szCs w:val="24"/>
        </w:rPr>
        <w:t xml:space="preserve">Question 3: Are there demand and supply gaps in the market?</w:t>
      </w:r>
    </w:p>
    <w:p>
      <w:pPr>
        <w:spacing w:after="160" w:line="276"/>
      </w:pPr>
      <w:r>
        <w:rPr>
          <w:rFonts w:ascii="Calibri" w:cs="Calibri" w:eastAsia="Calibri" w:hAnsi="Calibri"/>
          <w:color w:val="1A1A1A"/>
          <w:sz w:val="22"/>
          <w:szCs w:val="22"/>
        </w:rPr>
        <w:t xml:space="preserve">Comparing how many consumers prefer each cuisine against how many restaurants serve it reveals clear gaps (restaurant totals reflect the 95 of 130 restaurants with a cuisine tag):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Cuisine</w:t>
            </w:r>
          </w:p>
        </w:tc>
        <w:tc>
          <w:tcPr>
            <w:tcW w:type="dxa" w:w="24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Consumers preferring</w:t>
            </w:r>
          </w:p>
        </w:tc>
        <w:tc>
          <w:tcPr>
            <w:tcW w:type="dxa" w:w="24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Restaurants serving</w:t>
            </w:r>
          </w:p>
        </w:tc>
        <w:tc>
          <w:tcPr>
            <w:tcW w:type="dxa" w:w="2200"/>
            <w:shd w:fill="365C73"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Classification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Mexican</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97</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28</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Under-supplied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Coffee Shop</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8</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Under-supplied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Family</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8</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Under-supplied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Hot Dogs</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6</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Unserved demand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Latin American</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6</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Unserved demand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Afghan</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4</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Unserved demand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Bar</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13</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Over-supplied</w:t>
            </w:r>
          </w:p>
        </w:tc>
      </w:tr>
    </w:tbl>
    <w:p>
      <w:pPr>
        <w:spacing w:after="160" w:line="276"/>
      </w:pPr>
      <w:r>
        <w:rPr>
          <w:rFonts w:ascii="Calibri" w:cs="Calibri" w:eastAsia="Calibri" w:hAnsi="Calibri"/>
          <w:color w:val="1A1A1A"/>
          <w:sz w:val="22"/>
          <w:szCs w:val="22"/>
        </w:rPr>
        <w:t xml:space="preserve">Mexican cuisine is the single most-demanded category (97 of 138 consumers) yet remains under-supplied relative to that demand — roughly 3.5 consumers per Mexican restaurant. Coffee Shop and Family restaurants show the same pattern on a smaller scale. At the other end, Bar, Brewery, and Seafood restaurants are more numerous than current demand would suggest. Because 27% of restaurants carry no cuisine tag, these supply figures likely understate true restaurant coverage in some categories and should be treated as directional rather than exact.</w:t>
      </w:r>
    </w:p>
    <w:p>
      <w:pPr>
        <w:spacing w:after="160" w:line="276"/>
      </w:pPr>
      <w:r>
        <w:rPr>
          <w:rFonts w:ascii="Calibri" w:cs="Calibri" w:eastAsia="Calibri" w:hAnsi="Calibri"/>
          <w:color w:val="1A1A1A"/>
          <w:sz w:val="22"/>
          <w:szCs w:val="22"/>
        </w:rPr>
        <w:t xml:space="preserve">A parallel gap shows up on price: 35% of restaurants are low-priced against only 25–27% of consumers reporting a low budget, while 19% of restaurants are high-priced against just 4% of consumers reporting a high budget — suggesting the high end of the market is comparatively over-built for the budgets represented in this sample.</w:t>
      </w:r>
    </w:p>
    <w:p>
      <w:pPr>
        <w:pStyle w:val="Heading2"/>
        <w:spacing w:after="120" w:before="240"/>
      </w:pPr>
      <w:r>
        <w:rPr>
          <w:rFonts w:ascii="Calibri" w:cs="Calibri" w:eastAsia="Calibri" w:hAnsi="Calibri"/>
          <w:b/>
          <w:bCs/>
          <w:color w:val="365C73"/>
          <w:sz w:val="24"/>
          <w:szCs w:val="24"/>
        </w:rPr>
        <w:t xml:space="preserve">Question 4: What should an investor look for?</w:t>
      </w:r>
    </w:p>
    <w:p>
      <w:pPr>
        <w:spacing w:after="160" w:line="276"/>
      </w:pPr>
      <w:r>
        <w:rPr>
          <w:rFonts w:ascii="Calibri" w:cs="Calibri" w:eastAsia="Calibri" w:hAnsi="Calibri"/>
          <w:color w:val="1A1A1A"/>
          <w:sz w:val="22"/>
          <w:szCs w:val="22"/>
        </w:rPr>
        <w:t xml:space="preserve">Combining the findings above into an investment profile:</w:t>
      </w:r>
    </w:p>
    <w:p>
      <w:pPr>
        <w:pStyle w:val="ListParagraph"/>
        <w:numPr>
          <w:ilvl w:val="0"/>
          <w:numId w:val="2"/>
        </w:numPr>
        <w:spacing w:after="90" w:line="276"/>
      </w:pPr>
      <w:r>
        <w:rPr>
          <w:rFonts w:ascii="Calibri" w:cs="Calibri" w:eastAsia="Calibri" w:hAnsi="Calibri"/>
          <w:color w:val="1A1A1A"/>
          <w:sz w:val="22"/>
          <w:szCs w:val="22"/>
        </w:rPr>
        <w:t xml:space="preserve">Price point: Medium or high, not low (low-priced restaurants underperform by roughly 0.18–0.19 points on the 0–2 scale).</w:t>
      </w:r>
    </w:p>
    <w:p>
      <w:pPr>
        <w:pStyle w:val="ListParagraph"/>
        <w:numPr>
          <w:ilvl w:val="0"/>
          <w:numId w:val="2"/>
        </w:numPr>
        <w:spacing w:after="90" w:line="276"/>
      </w:pPr>
      <w:r>
        <w:rPr>
          <w:rFonts w:ascii="Calibri" w:cs="Calibri" w:eastAsia="Calibri" w:hAnsi="Calibri"/>
          <w:color w:val="1A1A1A"/>
          <w:sz w:val="22"/>
          <w:szCs w:val="22"/>
        </w:rPr>
        <w:t xml:space="preserve">Setting: Enclosed/closed-area seating rather than open-air (1.21 vs. 1.12).</w:t>
      </w:r>
    </w:p>
    <w:p>
      <w:pPr>
        <w:pStyle w:val="ListParagraph"/>
        <w:numPr>
          <w:ilvl w:val="0"/>
          <w:numId w:val="2"/>
        </w:numPr>
        <w:spacing w:after="90" w:line="276"/>
      </w:pPr>
      <w:r>
        <w:rPr>
          <w:rFonts w:ascii="Calibri" w:cs="Calibri" w:eastAsia="Calibri" w:hAnsi="Calibri"/>
          <w:color w:val="1A1A1A"/>
          <w:sz w:val="22"/>
          <w:szCs w:val="22"/>
        </w:rPr>
        <w:t xml:space="preserve">Location: Cuernavaca (1.38 average) or San Luis Potosí (1.21) over Ciudad Victoria (0.93), keeping in mind Jiutepec’s 1.25 average rests on only 2 restaurants and 12 ratings.</w:t>
      </w:r>
    </w:p>
    <w:p>
      <w:pPr>
        <w:pStyle w:val="ListParagraph"/>
        <w:numPr>
          <w:ilvl w:val="0"/>
          <w:numId w:val="2"/>
        </w:numPr>
        <w:spacing w:after="90" w:line="276"/>
      </w:pPr>
      <w:r>
        <w:rPr>
          <w:rFonts w:ascii="Calibri" w:cs="Calibri" w:eastAsia="Calibri" w:hAnsi="Calibri"/>
          <w:color w:val="1A1A1A"/>
          <w:sz w:val="22"/>
          <w:szCs w:val="22"/>
        </w:rPr>
        <w:t xml:space="preserve">Cuisine: An under-supplied category with proven demand — Mexican, Coffee Shop, Family, Bakery, Breakfast, or Regional — rather than an already crowded category like Bar or Brewery.</w:t>
      </w:r>
    </w:p>
    <w:p>
      <w:pPr>
        <w:pStyle w:val="ListParagraph"/>
        <w:numPr>
          <w:ilvl w:val="0"/>
          <w:numId w:val="2"/>
        </w:numPr>
        <w:spacing w:after="90" w:line="276"/>
      </w:pPr>
      <w:r>
        <w:rPr>
          <w:rFonts w:ascii="Calibri" w:cs="Calibri" w:eastAsia="Calibri" w:hAnsi="Calibri"/>
          <w:color w:val="1A1A1A"/>
          <w:sz w:val="22"/>
          <w:szCs w:val="22"/>
        </w:rPr>
        <w:t xml:space="preserve">Franchise status showed almost no effect on rating (Yes 1.22 vs. No 1.20) and should not weigh heavily in the decision.</w:t>
      </w:r>
    </w:p>
    <w:p>
      <w:pPr>
        <w:spacing w:after="160" w:line="276"/>
      </w:pPr>
      <w:r>
        <w:rPr>
          <w:rFonts w:ascii="Calibri" w:cs="Calibri" w:eastAsia="Calibri" w:hAnsi="Calibri"/>
          <w:color w:val="1A1A1A"/>
          <w:sz w:val="22"/>
          <w:szCs w:val="22"/>
        </w:rPr>
        <w:t xml:space="preserve">These are hypotheses to validate with further research, not guarantees — they are drawn from a young, student-heavy sample of 138 respondents surveyed in 2012.</w:t>
      </w:r>
    </w:p>
    <w:p>
      <w:pPr>
        <w:pStyle w:val="Heading1"/>
        <w:spacing w:after="160" w:before="320"/>
      </w:pPr>
      <w:r>
        <w:rPr>
          <w:rFonts w:ascii="Calibri" w:cs="Calibri" w:eastAsia="Calibri" w:hAnsi="Calibri"/>
          <w:b/>
          <w:bCs/>
          <w:color w:val="042A41"/>
          <w:sz w:val="30"/>
          <w:szCs w:val="30"/>
        </w:rPr>
        <w:t xml:space="preserve">Key Findings</w:t>
      </w:r>
    </w:p>
    <w:p>
      <w:pPr>
        <w:pStyle w:val="ListParagraph"/>
        <w:numPr>
          <w:ilvl w:val="0"/>
          <w:numId w:val="2"/>
        </w:numPr>
        <w:spacing w:after="90" w:line="276"/>
      </w:pPr>
      <w:r>
        <w:rPr>
          <w:rFonts w:ascii="Calibri" w:cs="Calibri" w:eastAsia="Calibri" w:hAnsi="Calibri"/>
          <w:b/>
          <w:bCs/>
          <w:color w:val="042A41"/>
          <w:sz w:val="22"/>
          <w:szCs w:val="22"/>
        </w:rPr>
        <w:t xml:space="preserve">1. Service is the weak point. </w:t>
      </w:r>
      <w:r>
        <w:rPr>
          <w:rFonts w:ascii="Calibri" w:cs="Calibri" w:eastAsia="Calibri" w:hAnsi="Calibri"/>
          <w:color w:val="1A1A1A"/>
          <w:sz w:val="22"/>
          <w:szCs w:val="22"/>
        </w:rPr>
        <w:t xml:space="preserve">Average service ratings (1.09) trail food ratings (1.22) across the board, suggesting service quality is a more common differentiator than food quality.</w:t>
      </w:r>
    </w:p>
    <w:p>
      <w:pPr>
        <w:pStyle w:val="ListParagraph"/>
        <w:numPr>
          <w:ilvl w:val="0"/>
          <w:numId w:val="2"/>
        </w:numPr>
        <w:spacing w:after="90" w:line="276"/>
      </w:pPr>
      <w:r>
        <w:rPr>
          <w:rFonts w:ascii="Calibri" w:cs="Calibri" w:eastAsia="Calibri" w:hAnsi="Calibri"/>
          <w:b/>
          <w:bCs/>
          <w:color w:val="042A41"/>
          <w:sz w:val="22"/>
          <w:szCs w:val="22"/>
        </w:rPr>
        <w:t xml:space="preserve">2. Restaurant features matter less than who is rating. </w:t>
      </w:r>
      <w:r>
        <w:rPr>
          <w:rFonts w:ascii="Calibri" w:cs="Calibri" w:eastAsia="Calibri" w:hAnsi="Calibri"/>
          <w:color w:val="1A1A1A"/>
          <w:sz w:val="22"/>
          <w:szCs w:val="22"/>
        </w:rPr>
        <w:t xml:space="preserve">Gaps between consumer segments (e.g., drinkers vs. non-drinkers, budget levels, presence of young children) are consistently larger than gaps between restaurant price tiers, areas, or alcohol policies.</w:t>
      </w:r>
    </w:p>
    <w:p>
      <w:pPr>
        <w:pStyle w:val="ListParagraph"/>
        <w:numPr>
          <w:ilvl w:val="0"/>
          <w:numId w:val="2"/>
        </w:numPr>
        <w:spacing w:after="90" w:line="276"/>
      </w:pPr>
      <w:r>
        <w:rPr>
          <w:rFonts w:ascii="Calibri" w:cs="Calibri" w:eastAsia="Calibri" w:hAnsi="Calibri"/>
          <w:b/>
          <w:bCs/>
          <w:color w:val="042A41"/>
          <w:sz w:val="22"/>
          <w:szCs w:val="22"/>
        </w:rPr>
        <w:t xml:space="preserve">3. Preference-matching does not predict satisfaction. </w:t>
      </w:r>
      <w:r>
        <w:rPr>
          <w:rFonts w:ascii="Calibri" w:cs="Calibri" w:eastAsia="Calibri" w:hAnsi="Calibri"/>
          <w:color w:val="1A1A1A"/>
          <w:sz w:val="22"/>
          <w:szCs w:val="22"/>
        </w:rPr>
        <w:t xml:space="preserve">Consumers rate restaurants serving their preferred cuisine no higher — in fact slightly lower — than restaurants outside their stated preference.</w:t>
      </w:r>
    </w:p>
    <w:p>
      <w:pPr>
        <w:pStyle w:val="ListParagraph"/>
        <w:numPr>
          <w:ilvl w:val="0"/>
          <w:numId w:val="2"/>
        </w:numPr>
        <w:spacing w:after="90" w:line="276"/>
      </w:pPr>
      <w:r>
        <w:rPr>
          <w:rFonts w:ascii="Calibri" w:cs="Calibri" w:eastAsia="Calibri" w:hAnsi="Calibri"/>
          <w:b/>
          <w:bCs/>
          <w:color w:val="042A41"/>
          <w:sz w:val="22"/>
          <w:szCs w:val="22"/>
        </w:rPr>
        <w:t xml:space="preserve">4. The sample is young, single, and budget-conscious. </w:t>
      </w:r>
      <w:r>
        <w:rPr>
          <w:rFonts w:ascii="Calibri" w:cs="Calibri" w:eastAsia="Calibri" w:hAnsi="Calibri"/>
          <w:color w:val="1A1A1A"/>
          <w:sz w:val="22"/>
          <w:szCs w:val="22"/>
        </w:rPr>
        <w:t xml:space="preserve">86% student, 80% aged 25 or under, 92% single — this shapes every other finding and limits how broadly the results can be applied.</w:t>
      </w:r>
    </w:p>
    <w:p>
      <w:pPr>
        <w:pStyle w:val="ListParagraph"/>
        <w:numPr>
          <w:ilvl w:val="0"/>
          <w:numId w:val="2"/>
        </w:numPr>
        <w:spacing w:after="90" w:line="276"/>
      </w:pPr>
      <w:r>
        <w:rPr>
          <w:rFonts w:ascii="Calibri" w:cs="Calibri" w:eastAsia="Calibri" w:hAnsi="Calibri"/>
          <w:b/>
          <w:bCs/>
          <w:color w:val="042A41"/>
          <w:sz w:val="22"/>
          <w:szCs w:val="22"/>
        </w:rPr>
        <w:t xml:space="preserve">5. Mexican cuisine is the biggest visible opportunity. </w:t>
      </w:r>
      <w:r>
        <w:rPr>
          <w:rFonts w:ascii="Calibri" w:cs="Calibri" w:eastAsia="Calibri" w:hAnsi="Calibri"/>
          <w:color w:val="1A1A1A"/>
          <w:sz w:val="22"/>
          <w:szCs w:val="22"/>
        </w:rPr>
        <w:t xml:space="preserve">It is the most-demanded cuisine by a wide margin and remains under-supplied relative to that demand, even accounting for incomplete cuisine tagging.</w:t>
      </w:r>
    </w:p>
    <w:p>
      <w:pPr>
        <w:pStyle w:val="ListParagraph"/>
        <w:numPr>
          <w:ilvl w:val="0"/>
          <w:numId w:val="2"/>
        </w:numPr>
        <w:spacing w:after="90" w:line="276"/>
      </w:pPr>
      <w:r>
        <w:rPr>
          <w:rFonts w:ascii="Calibri" w:cs="Calibri" w:eastAsia="Calibri" w:hAnsi="Calibri"/>
          <w:b/>
          <w:bCs/>
          <w:color w:val="042A41"/>
          <w:sz w:val="22"/>
          <w:szCs w:val="22"/>
        </w:rPr>
        <w:t xml:space="preserve">6. Several niche cuisines have zero supply. </w:t>
      </w:r>
      <w:r>
        <w:rPr>
          <w:rFonts w:ascii="Calibri" w:cs="Calibri" w:eastAsia="Calibri" w:hAnsi="Calibri"/>
          <w:color w:val="1A1A1A"/>
          <w:sz w:val="22"/>
          <w:szCs w:val="22"/>
        </w:rPr>
        <w:t xml:space="preserve">Hot Dogs, Latin American, and Afghan cuisines have real, if modest, consumer demand and no restaurants currently serving them in this dataset.</w:t>
      </w:r>
    </w:p>
    <w:p>
      <w:pPr>
        <w:pStyle w:val="Heading1"/>
        <w:spacing w:after="160" w:before="320"/>
      </w:pPr>
      <w:r>
        <w:rPr>
          <w:rFonts w:ascii="Calibri" w:cs="Calibri" w:eastAsia="Calibri" w:hAnsi="Calibri"/>
          <w:b/>
          <w:bCs/>
          <w:color w:val="042A41"/>
          <w:sz w:val="30"/>
          <w:szCs w:val="30"/>
        </w:rPr>
        <w:t xml:space="preserve">Recommendations</w:t>
      </w:r>
    </w:p>
    <w:p>
      <w:pPr>
        <w:pStyle w:val="ListParagraph"/>
        <w:numPr>
          <w:ilvl w:val="0"/>
          <w:numId w:val="2"/>
        </w:numPr>
        <w:spacing w:after="90" w:line="276"/>
      </w:pPr>
      <w:r>
        <w:rPr>
          <w:rFonts w:ascii="Calibri" w:cs="Calibri" w:eastAsia="Calibri" w:hAnsi="Calibri"/>
          <w:b/>
          <w:bCs/>
          <w:color w:val="042A41"/>
          <w:sz w:val="22"/>
          <w:szCs w:val="22"/>
        </w:rPr>
        <w:t xml:space="preserve">For an investor or entrepreneur: </w:t>
      </w:r>
      <w:r>
        <w:rPr>
          <w:rFonts w:ascii="Calibri" w:cs="Calibri" w:eastAsia="Calibri" w:hAnsi="Calibri"/>
          <w:color w:val="1A1A1A"/>
          <w:sz w:val="22"/>
          <w:szCs w:val="22"/>
        </w:rPr>
        <w:t xml:space="preserve">prioritize a medium-to-high-priced, enclosed-seating restaurant in a well-rated city (Cuernavaca or San Luis Potosí), in an under-supplied cuisine category such as Mexican, Coffee Shop, or Family dining, rather than an already crowded category like Bar or Brewery.</w:t>
      </w:r>
    </w:p>
    <w:p>
      <w:pPr>
        <w:pStyle w:val="ListParagraph"/>
        <w:numPr>
          <w:ilvl w:val="0"/>
          <w:numId w:val="2"/>
        </w:numPr>
        <w:spacing w:after="90" w:line="276"/>
      </w:pPr>
      <w:r>
        <w:rPr>
          <w:rFonts w:ascii="Calibri" w:cs="Calibri" w:eastAsia="Calibri" w:hAnsi="Calibri"/>
          <w:b/>
          <w:bCs/>
          <w:color w:val="042A41"/>
          <w:sz w:val="22"/>
          <w:szCs w:val="22"/>
        </w:rPr>
        <w:t xml:space="preserve">For an existing restaurant operator: </w:t>
      </w:r>
      <w:r>
        <w:rPr>
          <w:rFonts w:ascii="Calibri" w:cs="Calibri" w:eastAsia="Calibri" w:hAnsi="Calibri"/>
          <w:color w:val="1A1A1A"/>
          <w:sz w:val="22"/>
          <w:szCs w:val="22"/>
        </w:rPr>
        <w:t xml:space="preserve">invest in service quality specifically, since it is the most common weak point across restaurants of every price tier and cuisine.</w:t>
      </w:r>
    </w:p>
    <w:p>
      <w:pPr>
        <w:pStyle w:val="ListParagraph"/>
        <w:numPr>
          <w:ilvl w:val="0"/>
          <w:numId w:val="2"/>
        </w:numPr>
        <w:spacing w:after="90" w:line="276"/>
      </w:pPr>
      <w:r>
        <w:rPr>
          <w:rFonts w:ascii="Calibri" w:cs="Calibri" w:eastAsia="Calibri" w:hAnsi="Calibri"/>
          <w:b/>
          <w:bCs/>
          <w:color w:val="042A41"/>
          <w:sz w:val="22"/>
          <w:szCs w:val="22"/>
        </w:rPr>
        <w:t xml:space="preserve">For market entry: </w:t>
      </w:r>
      <w:r>
        <w:rPr>
          <w:rFonts w:ascii="Calibri" w:cs="Calibri" w:eastAsia="Calibri" w:hAnsi="Calibri"/>
          <w:color w:val="1A1A1A"/>
          <w:sz w:val="22"/>
          <w:szCs w:val="22"/>
        </w:rPr>
        <w:t xml:space="preserve">the Hot Dogs, Latin American, and Afghan cuisine gaps are worth exploring further — they represent real, currently-unserved demand, though on small consumer counts (4–6 people) that would benefit from additional market research before committing capital.</w:t>
      </w:r>
    </w:p>
    <w:p>
      <w:pPr>
        <w:pStyle w:val="ListParagraph"/>
        <w:numPr>
          <w:ilvl w:val="0"/>
          <w:numId w:val="2"/>
        </w:numPr>
        <w:spacing w:after="90" w:line="276"/>
      </w:pPr>
      <w:r>
        <w:rPr>
          <w:rFonts w:ascii="Calibri" w:cs="Calibri" w:eastAsia="Calibri" w:hAnsi="Calibri"/>
          <w:b/>
          <w:bCs/>
          <w:color w:val="042A41"/>
          <w:sz w:val="22"/>
          <w:szCs w:val="22"/>
        </w:rPr>
        <w:t xml:space="preserve">For interpreting this analysis: </w:t>
      </w:r>
      <w:r>
        <w:rPr>
          <w:rFonts w:ascii="Calibri" w:cs="Calibri" w:eastAsia="Calibri" w:hAnsi="Calibri"/>
          <w:color w:val="1A1A1A"/>
          <w:sz w:val="22"/>
          <w:szCs w:val="22"/>
        </w:rPr>
        <w:t xml:space="preserve">treat findings as representative of young, budget-conscious, largely student diners rather than the general Mexican dining public, and note that 27% of restaurants lack a cuisine tag, so supply-side figures are directional. A follow-up survey with a more age- and income-diverse sample would strengthen these conclusions.</w:t>
      </w:r>
    </w:p>
    <w:p>
      <w:pPr>
        <w:spacing w:before="400"/>
      </w:pPr>
    </w:p>
    <w:p>
      <w:pPr>
        <w:pBdr>
          <w:bottom w:val="single" w:color="C2E8FF" w:sz="8" w:space="1"/>
        </w:pBdr>
        <w:spacing w:after="260" w:before="60"/>
      </w:pPr>
    </w:p>
    <w:p>
      <w:pPr>
        <w:spacing w:after="200"/>
      </w:pPr>
      <w:r>
        <w:rPr>
          <w:rFonts w:ascii="Calibri" w:cs="Calibri" w:eastAsia="Calibri" w:hAnsi="Calibri"/>
          <w:i/>
          <w:iCs/>
          <w:color w:val="5B7484"/>
          <w:sz w:val="19"/>
          <w:szCs w:val="19"/>
        </w:rPr>
        <w:t xml:space="preserve">Analysis conducted in Microsoft Power BI. Dataset: Restaurant Rating consumer survey, Mexico, 2012. Prepared for the Digitaley Drive Data Analyst Bootcamp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2026-09-24T19:49:00.244Z</dcterms:created>
  <dcterms:modified xsi:type="dcterms:W3CDTF">2026-09-24T19:49:00.245Z</dcterms:modified>
</cp:coreProperties>
</file>

<file path=docProps/custom.xml><?xml version="1.0" encoding="utf-8"?>
<Properties xmlns="http://schemas.openxmlformats.org/officeDocument/2006/custom-properties" xmlns:vt="http://schemas.openxmlformats.org/officeDocument/2006/docPropsVTypes"/>
</file>