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Calibri" w:cs="Calibri" w:eastAsia="Calibri" w:hAnsi="Calibri"/>
          <w:b/>
          <w:bCs/>
          <w:color w:val="1B8A8A"/>
          <w:sz w:val="20"/>
          <w:szCs w:val="20"/>
        </w:rPr>
        <w:t xml:space="preserve">DIGITALEY DRIVE DATA ANALYST BOOTCAMP</w:t>
      </w:r>
    </w:p>
    <w:p>
      <w:pPr>
        <w:spacing w:after="200"/>
      </w:pPr>
      <w:r>
        <w:rPr>
          <w:rFonts w:ascii="Calibri" w:cs="Calibri" w:eastAsia="Calibri" w:hAnsi="Calibri"/>
          <w:color w:val="6E7B8B"/>
          <w:sz w:val="20"/>
          <w:szCs w:val="20"/>
        </w:rPr>
        <w:t xml:space="preserve">Capstone Project</w:t>
      </w:r>
    </w:p>
    <w:p>
      <w:pPr>
        <w:spacing w:after="100"/>
      </w:pPr>
      <w:r>
        <w:rPr>
          <w:rFonts w:ascii="Calibri" w:cs="Calibri" w:eastAsia="Calibri" w:hAnsi="Calibri"/>
          <w:b/>
          <w:bCs/>
          <w:color w:val="16283A"/>
          <w:sz w:val="48"/>
          <w:szCs w:val="48"/>
        </w:rPr>
        <w:t xml:space="preserve">Shark Attacks: 100 Years of Data</w:t>
      </w:r>
    </w:p>
    <w:p>
      <w:pPr>
        <w:spacing w:after="400"/>
      </w:pPr>
      <w:r>
        <w:rPr>
          <w:rFonts w:ascii="Calibri" w:cs="Calibri" w:eastAsia="Calibri" w:hAnsi="Calibri"/>
          <w:i/>
          <w:iCs/>
          <w:color w:val="1B8A8A"/>
          <w:sz w:val="26"/>
          <w:szCs w:val="26"/>
        </w:rPr>
        <w:t xml:space="preserve">A Century of Recorded Shark Attacks, Cleaned and Analyzed</w:t>
      </w:r>
    </w:p>
    <w:p>
      <w:pPr>
        <w:spacing w:after="40"/>
      </w:pPr>
      <w:r>
        <w:rPr>
          <w:rFonts w:ascii="Calibri" w:cs="Calibri" w:eastAsia="Calibri" w:hAnsi="Calibri"/>
          <w:color w:val="1A1A1A"/>
          <w:sz w:val="22"/>
          <w:szCs w:val="22"/>
        </w:rPr>
        <w:t xml:space="preserve">Prepared by: Abiola Damilola Mercy</w:t>
      </w:r>
    </w:p>
    <w:p>
      <w:pPr>
        <w:spacing w:after="40"/>
      </w:pPr>
      <w:r>
        <w:rPr>
          <w:rFonts w:ascii="Calibri" w:cs="Calibri" w:eastAsia="Calibri" w:hAnsi="Calibri"/>
          <w:color w:val="1A1A1A"/>
          <w:sz w:val="22"/>
          <w:szCs w:val="22"/>
        </w:rPr>
        <w:t xml:space="preserve">Tool: Microsoft Excel (Power Query, PivotTables, PivotCharts)</w:t>
      </w:r>
    </w:p>
    <w:p>
      <w:pPr>
        <w:spacing w:after="600"/>
      </w:pPr>
      <w:r>
        <w:rPr>
          <w:rFonts w:ascii="Calibri" w:cs="Calibri" w:eastAsia="Calibri" w:hAnsi="Calibri"/>
          <w:color w:val="1A1A1A"/>
          <w:sz w:val="22"/>
          <w:szCs w:val="22"/>
        </w:rPr>
        <w:t xml:space="preserve">Submission deadline: October 12, 2026</w:t>
      </w:r>
    </w:p>
    <w:p>
      <w:pPr>
        <w:pBdr>
          <w:bottom w:val="single" w:color="EAF2FB" w:sz="8" w:space="1"/>
        </w:pBdr>
        <w:spacing w:after="260" w:before="60"/>
      </w:pPr>
    </w:p>
    <w:p>
      <w:r>
        <w:br w:type="page"/>
      </w:r>
    </w:p>
    <w:p>
      <w:pPr>
        <w:pStyle w:val="Heading1"/>
        <w:spacing w:after="160" w:before="320"/>
      </w:pPr>
      <w:r>
        <w:rPr>
          <w:rFonts w:ascii="Calibri" w:cs="Calibri" w:eastAsia="Calibri" w:hAnsi="Calibri"/>
          <w:b/>
          <w:bCs/>
          <w:color w:val="16283A"/>
          <w:sz w:val="30"/>
          <w:szCs w:val="30"/>
        </w:rPr>
        <w:t xml:space="preserve">Executive Summary</w:t>
      </w:r>
    </w:p>
    <w:p>
      <w:pPr>
        <w:spacing w:after="160" w:line="276"/>
      </w:pPr>
      <w:r>
        <w:rPr>
          <w:rFonts w:ascii="Calibri" w:cs="Calibri" w:eastAsia="Calibri" w:hAnsi="Calibri"/>
          <w:color w:val="1A1A1A"/>
          <w:sz w:val="22"/>
          <w:szCs w:val="22"/>
        </w:rPr>
        <w:t xml:space="preserve">This project analyzes 6,094 recorded shark attacks spanning over a century (1900–2017) to answer six guiding questions: how attack frequency has changed over time, which countries and locations carry the most risk, what body parts are most commonly injured, whether time of day plays a role, which species are most often involved, and what patterns emerge once the data is properly cleaned.</w:t>
      </w:r>
    </w:p>
    <w:p>
      <w:pPr>
        <w:spacing w:after="160" w:line="276"/>
      </w:pPr>
      <w:r>
        <w:rPr>
          <w:rFonts w:ascii="Calibri" w:cs="Calibri" w:eastAsia="Calibri" w:hAnsi="Calibri"/>
          <w:color w:val="1A1A1A"/>
          <w:sz w:val="22"/>
          <w:szCs w:val="22"/>
        </w:rPr>
        <w:t xml:space="preserve">The raw dataset was far messier than it first appeared. Of 25,614 rows in the source file, only 6,094 were real records; the rest were blank padding. Getting to a trustworthy analysis required extensive cleaning: standardizing inconsistent Type and Fatal (Y/N) values, fixing data-entry typos, and parsing free-text fields (Age, Time, Species, Injury) into structured categories using text extraction. Two genuine data-quality issues were also uncovered and corrected for during analysis: a date-conversion bug that silently shifted some pre-2000 dates into the 2000s, and an incomplete final year (2017 data runs only through June), both of which are documented so they don't lead to a misread trend.</w:t>
      </w:r>
    </w:p>
    <w:p>
      <w:pPr>
        <w:spacing w:after="160" w:line="276"/>
      </w:pPr>
      <w:r>
        <w:rPr>
          <w:rFonts w:ascii="Calibri" w:cs="Calibri" w:eastAsia="Calibri" w:hAnsi="Calibri"/>
          <w:color w:val="1A1A1A"/>
          <w:sz w:val="22"/>
          <w:szCs w:val="22"/>
        </w:rPr>
        <w:t xml:space="preserve">The headline findings:</w:t>
      </w:r>
    </w:p>
    <w:p>
      <w:pPr>
        <w:pStyle w:val="ListParagraph"/>
        <w:numPr>
          <w:ilvl w:val="0"/>
          <w:numId w:val="2"/>
        </w:numPr>
        <w:spacing w:after="90" w:line="276"/>
      </w:pPr>
      <w:r>
        <w:rPr>
          <w:rFonts w:ascii="Calibri" w:cs="Calibri" w:eastAsia="Calibri" w:hAnsi="Calibri"/>
          <w:color w:val="1A1A1A"/>
          <w:sz w:val="22"/>
          <w:szCs w:val="22"/>
        </w:rPr>
        <w:t xml:space="preserve">Recorded attacks have risen sharply since the 1950s, climbing from under 20 a year in the early 1900s to well over 100 a year by the 2010s, a trend far more consistent with increased beach tourism and far better incident reporting than with sharks becoming more dangerous.</w:t>
      </w:r>
    </w:p>
    <w:p>
      <w:pPr>
        <w:pStyle w:val="ListParagraph"/>
        <w:numPr>
          <w:ilvl w:val="0"/>
          <w:numId w:val="2"/>
        </w:numPr>
        <w:spacing w:after="90" w:line="276"/>
      </w:pPr>
      <w:r>
        <w:rPr>
          <w:rFonts w:ascii="Calibri" w:cs="Calibri" w:eastAsia="Calibri" w:hAnsi="Calibri"/>
          <w:color w:val="1A1A1A"/>
          <w:sz w:val="22"/>
          <w:szCs w:val="22"/>
        </w:rPr>
        <w:t xml:space="preserve">The United States records by far the most attacks (2,160), driven heavily by Florida, followed by Australia (1,303) and South Africa (571).</w:t>
      </w:r>
    </w:p>
    <w:p>
      <w:pPr>
        <w:pStyle w:val="ListParagraph"/>
        <w:numPr>
          <w:ilvl w:val="0"/>
          <w:numId w:val="2"/>
        </w:numPr>
        <w:spacing w:after="90" w:line="276"/>
      </w:pPr>
      <w:r>
        <w:rPr>
          <w:rFonts w:ascii="Calibri" w:cs="Calibri" w:eastAsia="Calibri" w:hAnsi="Calibri"/>
          <w:color w:val="1A1A1A"/>
          <w:sz w:val="22"/>
          <w:szCs w:val="22"/>
        </w:rPr>
        <w:t xml:space="preserve">Only 25.7% of attacks are fatal overall, but that figure hides a striking pattern: “Sea Disaster” and “Invalid” incidents are fatal far more often (69% and 46% respectively) than genuine unprovoked shark encounters (26%), meaning the most dangerous recorded incidents often aren’t really shark attacks at all.</w:t>
      </w:r>
    </w:p>
    <w:p>
      <w:pPr>
        <w:pStyle w:val="ListParagraph"/>
        <w:numPr>
          <w:ilvl w:val="0"/>
          <w:numId w:val="2"/>
        </w:numPr>
        <w:spacing w:after="90" w:line="276"/>
      </w:pPr>
      <w:r>
        <w:rPr>
          <w:rFonts w:ascii="Calibri" w:cs="Calibri" w:eastAsia="Calibri" w:hAnsi="Calibri"/>
          <w:color w:val="1A1A1A"/>
          <w:sz w:val="22"/>
          <w:szCs w:val="22"/>
        </w:rPr>
        <w:t xml:space="preserve">The foot is the single most commonly injured body part (874 cases), and over half of all records have no recorded time of day at all, a real gap in the historical data, not an analysis failure.</w:t>
      </w:r>
    </w:p>
    <w:p>
      <w:pPr>
        <w:pStyle w:val="ListParagraph"/>
        <w:numPr>
          <w:ilvl w:val="0"/>
          <w:numId w:val="2"/>
        </w:numPr>
        <w:spacing w:after="90" w:line="276"/>
      </w:pPr>
      <w:r>
        <w:rPr>
          <w:rFonts w:ascii="Calibri" w:cs="Calibri" w:eastAsia="Calibri" w:hAnsi="Calibri"/>
          <w:color w:val="1A1A1A"/>
          <w:sz w:val="22"/>
          <w:szCs w:val="22"/>
        </w:rPr>
        <w:t xml:space="preserve">Among attacks where a species could be identified, the white shark accounts for the most incidents (627), though the single largest category remains attacks where no species was ever recorded or confirmed (1,145+).</w:t>
      </w:r>
    </w:p>
    <w:p>
      <w:pPr>
        <w:spacing w:after="160" w:line="276"/>
      </w:pPr>
      <w:r>
        <w:rPr>
          <w:rFonts w:ascii="Calibri" w:cs="Calibri" w:eastAsia="Calibri" w:hAnsi="Calibri"/>
          <w:color w:val="1A1A1A"/>
          <w:sz w:val="22"/>
          <w:szCs w:val="22"/>
        </w:rPr>
        <w:t xml:space="preserve">The full methodology, cleaning decisions, detailed findings, and recommendations follow.</w:t>
      </w:r>
    </w:p>
    <w:p>
      <w:pPr>
        <w:pStyle w:val="Heading1"/>
        <w:spacing w:after="160" w:before="320"/>
      </w:pPr>
      <w:r>
        <w:rPr>
          <w:rFonts w:ascii="Calibri" w:cs="Calibri" w:eastAsia="Calibri" w:hAnsi="Calibri"/>
          <w:b/>
          <w:bCs/>
          <w:color w:val="16283A"/>
          <w:sz w:val="30"/>
          <w:szCs w:val="30"/>
        </w:rPr>
        <w:t xml:space="preserve">Project Overview</w:t>
      </w:r>
    </w:p>
    <w:p>
      <w:pPr>
        <w:spacing w:after="160" w:line="276"/>
      </w:pPr>
      <w:r>
        <w:rPr>
          <w:rFonts w:ascii="Calibri" w:cs="Calibri" w:eastAsia="Calibri" w:hAnsi="Calibri"/>
          <w:color w:val="1A1A1A"/>
          <w:sz w:val="22"/>
          <w:szCs w:val="22"/>
        </w:rPr>
        <w:t xml:space="preserve">This capstone was assigned as part of the Digitaley Drive Data Analyst Bootcamp. The brief frames the analyst as contracted to analyze a shark attack dataset and uncover meaningful patterns from it, applying Power Query, data modeling, data cleaning, data visualization, and insight generation. Six guiding questions were set:</w:t>
      </w:r>
    </w:p>
    <w:p>
      <w:pPr>
        <w:pStyle w:val="ListParagraph"/>
        <w:numPr>
          <w:ilvl w:val="0"/>
          <w:numId w:val="2"/>
        </w:numPr>
        <w:spacing w:after="90" w:line="276"/>
      </w:pPr>
      <w:r>
        <w:rPr>
          <w:rFonts w:ascii="Calibri" w:cs="Calibri" w:eastAsia="Calibri" w:hAnsi="Calibri"/>
          <w:color w:val="1A1A1A"/>
          <w:sz w:val="22"/>
          <w:szCs w:val="22"/>
        </w:rPr>
        <w:t xml:space="preserve">What trends appear in the number of shark attacks annually since 1900?</w:t>
      </w:r>
    </w:p>
    <w:p>
      <w:pPr>
        <w:pStyle w:val="ListParagraph"/>
        <w:numPr>
          <w:ilvl w:val="0"/>
          <w:numId w:val="2"/>
        </w:numPr>
        <w:spacing w:after="90" w:line="276"/>
      </w:pPr>
      <w:r>
        <w:rPr>
          <w:rFonts w:ascii="Calibri" w:cs="Calibri" w:eastAsia="Calibri" w:hAnsi="Calibri"/>
          <w:color w:val="1A1A1A"/>
          <w:sz w:val="22"/>
          <w:szCs w:val="22"/>
        </w:rPr>
        <w:t xml:space="preserve">Which countries report the most attacks, and which specific areas and locations within them are most dangerous?</w:t>
      </w:r>
    </w:p>
    <w:p>
      <w:pPr>
        <w:pStyle w:val="ListParagraph"/>
        <w:numPr>
          <w:ilvl w:val="0"/>
          <w:numId w:val="2"/>
        </w:numPr>
        <w:spacing w:after="90" w:line="276"/>
      </w:pPr>
      <w:r>
        <w:rPr>
          <w:rFonts w:ascii="Calibri" w:cs="Calibri" w:eastAsia="Calibri" w:hAnsi="Calibri"/>
          <w:color w:val="1A1A1A"/>
          <w:sz w:val="22"/>
          <w:szCs w:val="22"/>
        </w:rPr>
        <w:t xml:space="preserve">(The brief flags that the data requires substantial cleaning before it can be analyzed, addressed throughout this report.)</w:t>
      </w:r>
    </w:p>
    <w:p>
      <w:pPr>
        <w:pStyle w:val="ListParagraph"/>
        <w:numPr>
          <w:ilvl w:val="0"/>
          <w:numId w:val="2"/>
        </w:numPr>
        <w:spacing w:after="90" w:line="276"/>
      </w:pPr>
      <w:r>
        <w:rPr>
          <w:rFonts w:ascii="Calibri" w:cs="Calibri" w:eastAsia="Calibri" w:hAnsi="Calibri"/>
          <w:color w:val="1A1A1A"/>
          <w:sz w:val="22"/>
          <w:szCs w:val="22"/>
        </w:rPr>
        <w:t xml:space="preserve">What body parts are most often injured?</w:t>
      </w:r>
    </w:p>
    <w:p>
      <w:pPr>
        <w:pStyle w:val="ListParagraph"/>
        <w:numPr>
          <w:ilvl w:val="0"/>
          <w:numId w:val="2"/>
        </w:numPr>
        <w:spacing w:after="90" w:line="276"/>
      </w:pPr>
      <w:r>
        <w:rPr>
          <w:rFonts w:ascii="Calibri" w:cs="Calibri" w:eastAsia="Calibri" w:hAnsi="Calibri"/>
          <w:color w:val="1A1A1A"/>
          <w:sz w:val="22"/>
          <w:szCs w:val="22"/>
        </w:rPr>
        <w:t xml:space="preserve">Are shark attacks more common at certain times of day?</w:t>
      </w:r>
    </w:p>
    <w:p>
      <w:pPr>
        <w:pStyle w:val="ListParagraph"/>
        <w:numPr>
          <w:ilvl w:val="0"/>
          <w:numId w:val="2"/>
        </w:numPr>
        <w:spacing w:after="90" w:line="276"/>
      </w:pPr>
      <w:r>
        <w:rPr>
          <w:rFonts w:ascii="Calibri" w:cs="Calibri" w:eastAsia="Calibri" w:hAnsi="Calibri"/>
          <w:color w:val="1A1A1A"/>
          <w:sz w:val="22"/>
          <w:szCs w:val="22"/>
        </w:rPr>
        <w:t xml:space="preserve">Which species of shark are attacking most often?</w:t>
      </w:r>
    </w:p>
    <w:p>
      <w:pPr>
        <w:spacing w:after="160" w:line="276"/>
      </w:pPr>
      <w:r>
        <w:rPr>
          <w:rFonts w:ascii="Calibri" w:cs="Calibri" w:eastAsia="Calibri" w:hAnsi="Calibri"/>
          <w:color w:val="1A1A1A"/>
          <w:sz w:val="22"/>
          <w:szCs w:val="22"/>
        </w:rPr>
        <w:t xml:space="preserve">The deliverable is an interactive Excel dashboard built around these six questions, supported by this written analysis.</w:t>
      </w:r>
    </w:p>
    <w:p>
      <w:pPr>
        <w:pStyle w:val="Heading1"/>
        <w:spacing w:after="160" w:before="320"/>
      </w:pPr>
      <w:r>
        <w:rPr>
          <w:rFonts w:ascii="Calibri" w:cs="Calibri" w:eastAsia="Calibri" w:hAnsi="Calibri"/>
          <w:b/>
          <w:bCs/>
          <w:color w:val="16283A"/>
          <w:sz w:val="30"/>
          <w:szCs w:val="30"/>
        </w:rPr>
        <w:t xml:space="preserve">Data Sources</w:t>
      </w:r>
    </w:p>
    <w:p>
      <w:pPr>
        <w:spacing w:after="160" w:line="276"/>
      </w:pPr>
      <w:r>
        <w:rPr>
          <w:rFonts w:ascii="Calibri" w:cs="Calibri" w:eastAsia="Calibri" w:hAnsi="Calibri"/>
          <w:color w:val="1A1A1A"/>
          <w:sz w:val="22"/>
          <w:szCs w:val="22"/>
        </w:rPr>
        <w:t xml:space="preserve">The dataset is a historical record of shark attacks compiled from incident reports, provided as a single spreadsheet of 25,614 rows and 22 columns. Only 6,094 of those rows contained real records; the remainder were blank padding rows and one stray marker row at the very end of the file, both removed during cleaning (see Data Cleaning &amp; Transformation).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28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628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Case Number</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Unique identifier for each incident</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 / Year</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When the attack occurred</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Type</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Unprovoked, Provoked, Invalid, Boat, or Sea Disaster</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Country / Area / Location</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Where the attack occurred</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Activity</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What the victim was doing (surfing, swimming, fishing, etc.)</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Name / Sex / Age</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Victim details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Injury</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Free-text description of the injury sustained</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Fatal (Y/N)</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Whether the incident was fatal</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Time</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Time of day, where recorded</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Species</w:t>
            </w:r>
          </w:p>
        </w:tc>
        <w:tc>
          <w:tcPr>
            <w:tcW w:type="dxa" w:w="6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Shark species involved, where identified</w:t>
            </w:r>
          </w:p>
        </w:tc>
      </w:tr>
    </w:tbl>
    <w:p>
      <w:pPr>
        <w:spacing w:after="160" w:line="276"/>
      </w:pPr>
      <w:r>
        <w:rPr>
          <w:rFonts w:ascii="Calibri" w:cs="Calibri" w:eastAsia="Calibri" w:hAnsi="Calibri"/>
          <w:color w:val="1A1A1A"/>
          <w:sz w:val="22"/>
          <w:szCs w:val="22"/>
        </w:rPr>
        <w:t xml:space="preserve">Three near-duplicate Case Number columns existed in the source file; the primary Case Number column was kept as the source of truth after confirming 16 rows had minor mismatches between the duplicates, a known inconsistency in the original source data.</w:t>
      </w:r>
    </w:p>
    <w:p>
      <w:pPr>
        <w:pStyle w:val="Heading1"/>
        <w:spacing w:after="160" w:before="320"/>
      </w:pPr>
      <w:r>
        <w:rPr>
          <w:rFonts w:ascii="Calibri" w:cs="Calibri" w:eastAsia="Calibri" w:hAnsi="Calibri"/>
          <w:b/>
          <w:bCs/>
          <w:color w:val="16283A"/>
          <w:sz w:val="30"/>
          <w:szCs w:val="30"/>
        </w:rPr>
        <w:t xml:space="preserve">Data Cleaning &amp; Transformation</w:t>
      </w:r>
    </w:p>
    <w:p>
      <w:pPr>
        <w:spacing w:after="160" w:line="276"/>
      </w:pPr>
      <w:r>
        <w:rPr>
          <w:rFonts w:ascii="Calibri" w:cs="Calibri" w:eastAsia="Calibri" w:hAnsi="Calibri"/>
          <w:color w:val="1A1A1A"/>
          <w:sz w:val="22"/>
          <w:szCs w:val="22"/>
        </w:rPr>
        <w:t xml:space="preserve">Cleaning was done in Power Query and Excel formulas, with the following decisions:</w:t>
      </w:r>
    </w:p>
    <w:p>
      <w:pPr>
        <w:pStyle w:val="Heading2"/>
        <w:spacing w:after="120" w:before="240"/>
      </w:pPr>
      <w:r>
        <w:rPr>
          <w:rFonts w:ascii="Calibri" w:cs="Calibri" w:eastAsia="Calibri" w:hAnsi="Calibri"/>
          <w:b/>
          <w:bCs/>
          <w:color w:val="1B8A8A"/>
          <w:sz w:val="24"/>
          <w:szCs w:val="24"/>
        </w:rPr>
        <w:t xml:space="preserve">Structural cleanup</w:t>
      </w:r>
    </w:p>
    <w:p>
      <w:pPr>
        <w:pStyle w:val="ListParagraph"/>
        <w:numPr>
          <w:ilvl w:val="0"/>
          <w:numId w:val="2"/>
        </w:numPr>
        <w:spacing w:after="90" w:line="276"/>
      </w:pPr>
      <w:r>
        <w:rPr>
          <w:rFonts w:ascii="Calibri" w:cs="Calibri" w:eastAsia="Calibri" w:hAnsi="Calibri"/>
          <w:b/>
          <w:bCs/>
          <w:color w:val="16283A"/>
          <w:sz w:val="22"/>
          <w:szCs w:val="22"/>
        </w:rPr>
        <w:t xml:space="preserve">Blank rows removed. </w:t>
      </w:r>
      <w:r>
        <w:rPr>
          <w:rFonts w:ascii="Calibri" w:cs="Calibri" w:eastAsia="Calibri" w:hAnsi="Calibri"/>
          <w:color w:val="1A1A1A"/>
          <w:sz w:val="22"/>
          <w:szCs w:val="22"/>
        </w:rPr>
        <w:t xml:space="preserve">Of 25,614 rows in the source file, only 6,094 contained real data; the rest were blank padding, plus one stray non-data marker row at the very end. Filtering to rows where both Case Number and Date had a value isolated the genuine records.</w:t>
      </w:r>
    </w:p>
    <w:p>
      <w:pPr>
        <w:pStyle w:val="ListParagraph"/>
        <w:numPr>
          <w:ilvl w:val="0"/>
          <w:numId w:val="2"/>
        </w:numPr>
        <w:spacing w:after="90" w:line="276"/>
      </w:pPr>
      <w:r>
        <w:rPr>
          <w:rFonts w:ascii="Calibri" w:cs="Calibri" w:eastAsia="Calibri" w:hAnsi="Calibri"/>
          <w:b/>
          <w:bCs/>
          <w:color w:val="16283A"/>
          <w:sz w:val="22"/>
          <w:szCs w:val="22"/>
        </w:rPr>
        <w:t xml:space="preserve">Unneeded columns dropped. </w:t>
      </w:r>
      <w:r>
        <w:rPr>
          <w:rFonts w:ascii="Calibri" w:cs="Calibri" w:eastAsia="Calibri" w:hAnsi="Calibri"/>
          <w:color w:val="1A1A1A"/>
          <w:sz w:val="22"/>
          <w:szCs w:val="22"/>
        </w:rPr>
        <w:t xml:space="preserve">Source-file link columns (pdf, href, href formula) and two duplicate Case Number columns were removed, keeping the primary Case Number column as the source of truth.</w:t>
      </w:r>
    </w:p>
    <w:p>
      <w:pPr>
        <w:pStyle w:val="Heading2"/>
        <w:spacing w:after="120" w:before="240"/>
      </w:pPr>
      <w:r>
        <w:rPr>
          <w:rFonts w:ascii="Calibri" w:cs="Calibri" w:eastAsia="Calibri" w:hAnsi="Calibri"/>
          <w:b/>
          <w:bCs/>
          <w:color w:val="1B8A8A"/>
          <w:sz w:val="24"/>
          <w:szCs w:val="24"/>
        </w:rPr>
        <w:t xml:space="preserve">Standardizing inconsistent categories</w:t>
      </w:r>
    </w:p>
    <w:p>
      <w:pPr>
        <w:pStyle w:val="ListParagraph"/>
        <w:numPr>
          <w:ilvl w:val="0"/>
          <w:numId w:val="2"/>
        </w:numPr>
        <w:spacing w:after="90" w:line="276"/>
      </w:pPr>
      <w:r>
        <w:rPr>
          <w:rFonts w:ascii="Calibri" w:cs="Calibri" w:eastAsia="Calibri" w:hAnsi="Calibri"/>
          <w:b/>
          <w:bCs/>
          <w:color w:val="16283A"/>
          <w:sz w:val="22"/>
          <w:szCs w:val="22"/>
        </w:rPr>
        <w:t xml:space="preserve">Type: </w:t>
      </w:r>
      <w:r>
        <w:rPr>
          <w:rFonts w:ascii="Calibri" w:cs="Calibri" w:eastAsia="Calibri" w:hAnsi="Calibri"/>
          <w:color w:val="1A1A1A"/>
          <w:sz w:val="22"/>
          <w:szCs w:val="22"/>
        </w:rPr>
        <w:t xml:space="preserve">“Boat” and “Boating” were merged into a single “Boat” category, as they were the same classification split by inconsistent labeling.</w:t>
      </w:r>
    </w:p>
    <w:p>
      <w:pPr>
        <w:pStyle w:val="ListParagraph"/>
        <w:numPr>
          <w:ilvl w:val="0"/>
          <w:numId w:val="2"/>
        </w:numPr>
        <w:spacing w:after="90" w:line="276"/>
      </w:pPr>
      <w:r>
        <w:rPr>
          <w:rFonts w:ascii="Calibri" w:cs="Calibri" w:eastAsia="Calibri" w:hAnsi="Calibri"/>
          <w:b/>
          <w:bCs/>
          <w:color w:val="16283A"/>
          <w:sz w:val="22"/>
          <w:szCs w:val="22"/>
        </w:rPr>
        <w:t xml:space="preserve">Fatal (Y/N): </w:t>
      </w:r>
      <w:r>
        <w:rPr>
          <w:rFonts w:ascii="Calibri" w:cs="Calibri" w:eastAsia="Calibri" w:hAnsi="Calibri"/>
          <w:color w:val="1A1A1A"/>
          <w:sz w:val="22"/>
          <w:szCs w:val="22"/>
        </w:rPr>
        <w:t xml:space="preserve">Standardized casing and corrected two genuine data-entry errors: one row had “2017” in this field (the Year value had leaked in by mistake; the injury description confirmed it was non-fatal), and one row had “F” instead of “Y” (confirmed fatal by its injury text: “human remains washed ashore”). Blank values were labeled “Unknown” rather than dropped.</w:t>
      </w:r>
    </w:p>
    <w:p>
      <w:pPr>
        <w:pStyle w:val="ListParagraph"/>
        <w:numPr>
          <w:ilvl w:val="0"/>
          <w:numId w:val="2"/>
        </w:numPr>
        <w:spacing w:after="90" w:line="276"/>
      </w:pPr>
      <w:r>
        <w:rPr>
          <w:rFonts w:ascii="Calibri" w:cs="Calibri" w:eastAsia="Calibri" w:hAnsi="Calibri"/>
          <w:b/>
          <w:bCs/>
          <w:color w:val="16283A"/>
          <w:sz w:val="22"/>
          <w:szCs w:val="22"/>
        </w:rPr>
        <w:t xml:space="preserve">Sex: </w:t>
      </w:r>
      <w:r>
        <w:rPr>
          <w:rFonts w:ascii="Calibri" w:cs="Calibri" w:eastAsia="Calibri" w:hAnsi="Calibri"/>
          <w:color w:val="1A1A1A"/>
          <w:sz w:val="22"/>
          <w:szCs w:val="22"/>
        </w:rPr>
        <w:t xml:space="preserve">A handful of stray values (“lli”, “N”, “.”) were corrected or relabeled “Unknown” based on context, for example, one row’s Name field contained a boat description instead of a person’s name, indicating the row’s data had been shifted during original entry, making Sex genuinely unrecoverable for that record.</w:t>
      </w:r>
    </w:p>
    <w:p>
      <w:pPr>
        <w:pStyle w:val="Heading2"/>
        <w:spacing w:after="120" w:before="240"/>
      </w:pPr>
      <w:r>
        <w:rPr>
          <w:rFonts w:ascii="Calibri" w:cs="Calibri" w:eastAsia="Calibri" w:hAnsi="Calibri"/>
          <w:b/>
          <w:bCs/>
          <w:color w:val="1B8A8A"/>
          <w:sz w:val="24"/>
          <w:szCs w:val="24"/>
        </w:rPr>
        <w:t xml:space="preserve">Extracting structure from free text</w:t>
      </w:r>
    </w:p>
    <w:p>
      <w:pPr>
        <w:pStyle w:val="ListParagraph"/>
        <w:numPr>
          <w:ilvl w:val="0"/>
          <w:numId w:val="2"/>
        </w:numPr>
        <w:spacing w:after="90" w:line="276"/>
      </w:pPr>
      <w:r>
        <w:rPr>
          <w:rFonts w:ascii="Calibri" w:cs="Calibri" w:eastAsia="Calibri" w:hAnsi="Calibri"/>
          <w:b/>
          <w:bCs/>
          <w:color w:val="16283A"/>
          <w:sz w:val="22"/>
          <w:szCs w:val="22"/>
        </w:rPr>
        <w:t xml:space="preserve">Age: </w:t>
      </w:r>
      <w:r>
        <w:rPr>
          <w:rFonts w:ascii="Calibri" w:cs="Calibri" w:eastAsia="Calibri" w:hAnsi="Calibri"/>
          <w:color w:val="1A1A1A"/>
          <w:sz w:val="22"/>
          <w:szCs w:val="22"/>
        </w:rPr>
        <w:t xml:space="preserve">Only 3,376 of 6,094 rows had any age data at all. Where possible, text values were converted to numbers: direct figures were kept as-is, “Teen” was mapped to 15, decade ranges like “20s” were mapped to their midpoint (25), and multi-victim entries like “28 &amp; 26” took the first value. This recovered a usable age for 3,350 rows; the remaining 2,744 had no age information in the source data at all.</w:t>
      </w:r>
    </w:p>
    <w:p>
      <w:pPr>
        <w:pStyle w:val="ListParagraph"/>
        <w:numPr>
          <w:ilvl w:val="0"/>
          <w:numId w:val="2"/>
        </w:numPr>
        <w:spacing w:after="90" w:line="276"/>
      </w:pPr>
      <w:r>
        <w:rPr>
          <w:rFonts w:ascii="Calibri" w:cs="Calibri" w:eastAsia="Calibri" w:hAnsi="Calibri"/>
          <w:b/>
          <w:bCs/>
          <w:color w:val="16283A"/>
          <w:sz w:val="22"/>
          <w:szCs w:val="22"/>
        </w:rPr>
        <w:t xml:space="preserve">Time: </w:t>
      </w:r>
      <w:r>
        <w:rPr>
          <w:rFonts w:ascii="Calibri" w:cs="Calibri" w:eastAsia="Calibri" w:hAnsi="Calibri"/>
          <w:color w:val="1A1A1A"/>
          <w:sz w:val="22"/>
          <w:szCs w:val="22"/>
        </w:rPr>
        <w:t xml:space="preserve">Only 2,844 of 6,094 rows had any time recorded. Values were bucketed into Morning, Afternoon, Evening, and Night based on either descriptive text or parsed clock times. More than half of all records (3,351) have no time information whatsoever, a real limitation of the historical data, not a cleaning gap, and one that materially affects how confidently Q5’s findings can be read.</w:t>
      </w:r>
    </w:p>
    <w:p>
      <w:pPr>
        <w:pStyle w:val="ListParagraph"/>
        <w:numPr>
          <w:ilvl w:val="0"/>
          <w:numId w:val="2"/>
        </w:numPr>
        <w:spacing w:after="90" w:line="276"/>
      </w:pPr>
      <w:r>
        <w:rPr>
          <w:rFonts w:ascii="Calibri" w:cs="Calibri" w:eastAsia="Calibri" w:hAnsi="Calibri"/>
          <w:b/>
          <w:bCs/>
          <w:color w:val="16283A"/>
          <w:sz w:val="22"/>
          <w:szCs w:val="22"/>
        </w:rPr>
        <w:t xml:space="preserve">Species: </w:t>
      </w:r>
      <w:r>
        <w:rPr>
          <w:rFonts w:ascii="Calibri" w:cs="Calibri" w:eastAsia="Calibri" w:hAnsi="Calibri"/>
          <w:color w:val="1A1A1A"/>
          <w:sz w:val="22"/>
          <w:szCs w:val="22"/>
        </w:rPr>
        <w:t xml:space="preserve">Free text mixing species names, sizes, and doubt commentary (e.g., “White shark, 4 m”, “Shark involvement highly doubtful”) was simplified to a clean species name where one of 20+ known species names appeared in the text, flagged “Unconfirmed” where the source doubted shark involvement at all, and left unidentified otherwise.</w:t>
      </w:r>
    </w:p>
    <w:p>
      <w:pPr>
        <w:pStyle w:val="ListParagraph"/>
        <w:numPr>
          <w:ilvl w:val="0"/>
          <w:numId w:val="2"/>
        </w:numPr>
        <w:spacing w:after="90" w:line="276"/>
      </w:pPr>
      <w:r>
        <w:rPr>
          <w:rFonts w:ascii="Calibri" w:cs="Calibri" w:eastAsia="Calibri" w:hAnsi="Calibri"/>
          <w:b/>
          <w:bCs/>
          <w:color w:val="16283A"/>
          <w:sz w:val="22"/>
          <w:szCs w:val="22"/>
        </w:rPr>
        <w:t xml:space="preserve">Injury → Body Part: </w:t>
      </w:r>
      <w:r>
        <w:rPr>
          <w:rFonts w:ascii="Calibri" w:cs="Calibri" w:eastAsia="Calibri" w:hAnsi="Calibri"/>
          <w:color w:val="1A1A1A"/>
          <w:sz w:val="22"/>
          <w:szCs w:val="22"/>
        </w:rPr>
        <w:t xml:space="preserve">Injury descriptions were parsed into 18 body-part categories (Foot, Leg, Hand, Chest/Torso, etc.) using keyword matching, ordered so specific terms (e.g., “toe”) were checked before broader ones (e.g., “leg”) to avoid miscategorization.</w:t>
      </w:r>
    </w:p>
    <w:p>
      <w:pPr>
        <w:pStyle w:val="Heading2"/>
        <w:spacing w:after="120" w:before="240"/>
      </w:pPr>
      <w:r>
        <w:rPr>
          <w:rFonts w:ascii="Calibri" w:cs="Calibri" w:eastAsia="Calibri" w:hAnsi="Calibri"/>
          <w:b/>
          <w:bCs/>
          <w:color w:val="1B8A8A"/>
          <w:sz w:val="24"/>
          <w:szCs w:val="24"/>
        </w:rPr>
        <w:t xml:space="preserve">Known data-quality issues identified and documented</w:t>
      </w:r>
    </w:p>
    <w:p>
      <w:pPr>
        <w:spacing w:after="160" w:line="276"/>
      </w:pPr>
      <w:r>
        <w:rPr>
          <w:rFonts w:ascii="Calibri" w:cs="Calibri" w:eastAsia="Calibri" w:hAnsi="Calibri"/>
          <w:color w:val="1A1A1A"/>
          <w:sz w:val="22"/>
          <w:szCs w:val="22"/>
        </w:rPr>
        <w:t xml:space="preserve">Two further issues emerged during analysis, after initial cleaning was complete:</w:t>
      </w:r>
    </w:p>
    <w:p>
      <w:pPr>
        <w:pStyle w:val="ListParagraph"/>
        <w:numPr>
          <w:ilvl w:val="0"/>
          <w:numId w:val="2"/>
        </w:numPr>
        <w:spacing w:after="90" w:line="276"/>
      </w:pPr>
      <w:r>
        <w:rPr>
          <w:rFonts w:ascii="Calibri" w:cs="Calibri" w:eastAsia="Calibri" w:hAnsi="Calibri"/>
          <w:b/>
          <w:bCs/>
          <w:color w:val="16283A"/>
          <w:sz w:val="22"/>
          <w:szCs w:val="22"/>
        </w:rPr>
        <w:t xml:space="preserve">A date-conversion limitation. </w:t>
      </w:r>
      <w:r>
        <w:rPr>
          <w:rFonts w:ascii="Calibri" w:cs="Calibri" w:eastAsia="Calibri" w:hAnsi="Calibri"/>
          <w:color w:val="1A1A1A"/>
          <w:sz w:val="22"/>
          <w:szCs w:val="22"/>
        </w:rPr>
        <w:t xml:space="preserve">Excel’s automatic date parsing interpreted some pre-2000 two-digit-year dates as the 2000s rather than the 1900s (for example, a 1917 incident appearing as 2017 in the parsed date field). This was caught by cross-checking the parsed date against the dataset’s independent, correctly-sourced Year field. Because the Year field was built from the dataset’s own numeric year value rather than parsed from text, it was unaffected, and all analysis in this report, including the annual trend, relies on Year, not the parsed date field.</w:t>
      </w:r>
    </w:p>
    <w:p>
      <w:pPr>
        <w:pStyle w:val="ListParagraph"/>
        <w:numPr>
          <w:ilvl w:val="0"/>
          <w:numId w:val="2"/>
        </w:numPr>
        <w:spacing w:after="90" w:line="276"/>
      </w:pPr>
      <w:r>
        <w:rPr>
          <w:rFonts w:ascii="Calibri" w:cs="Calibri" w:eastAsia="Calibri" w:hAnsi="Calibri"/>
          <w:b/>
          <w:bCs/>
          <w:color w:val="16283A"/>
          <w:sz w:val="22"/>
          <w:szCs w:val="22"/>
        </w:rPr>
        <w:t xml:space="preserve">The final year of data, 2017, is incomplete, </w:t>
      </w:r>
      <w:r>
        <w:rPr>
          <w:rFonts w:ascii="Calibri" w:cs="Calibri" w:eastAsia="Calibri" w:hAnsi="Calibri"/>
          <w:color w:val="1A1A1A"/>
          <w:sz w:val="22"/>
          <w:szCs w:val="22"/>
        </w:rPr>
        <w:t xml:space="preserve">covering only January through June. The apparent decline visible at the very end of the annual trend chart reflects this partial-year cutoff, not a genuine drop in attacks, and is noted directly on the dashboard and in the findings below.</w:t>
      </w:r>
    </w:p>
    <w:p>
      <w:pPr>
        <w:spacing w:after="160" w:line="276"/>
      </w:pPr>
      <w:r>
        <w:rPr>
          <w:rFonts w:ascii="Calibri" w:cs="Calibri" w:eastAsia="Calibri" w:hAnsi="Calibri"/>
          <w:color w:val="1A1A1A"/>
          <w:sz w:val="22"/>
          <w:szCs w:val="22"/>
        </w:rPr>
        <w:t xml:space="preserve">16 duplicate Case Numbers were identified in the source data; in most cases, two different victims from the same incident were assigned the same case ID by the original compilers. Rather than arbitrarily removing one of each pair (risking the loss of a real victim’s record), all rows were retained, and this is noted here as a known characteristic of the source data.</w:t>
      </w:r>
    </w:p>
    <w:p>
      <w:pPr>
        <w:pStyle w:val="Heading1"/>
        <w:spacing w:after="160" w:before="320"/>
      </w:pPr>
      <w:r>
        <w:rPr>
          <w:rFonts w:ascii="Calibri" w:cs="Calibri" w:eastAsia="Calibri" w:hAnsi="Calibri"/>
          <w:b/>
          <w:bCs/>
          <w:color w:val="16283A"/>
          <w:sz w:val="30"/>
          <w:szCs w:val="30"/>
        </w:rPr>
        <w:t xml:space="preserve">Analysis</w:t>
      </w:r>
    </w:p>
    <w:p>
      <w:pPr>
        <w:pStyle w:val="Heading2"/>
        <w:spacing w:after="120" w:before="240"/>
      </w:pPr>
      <w:r>
        <w:rPr>
          <w:rFonts w:ascii="Calibri" w:cs="Calibri" w:eastAsia="Calibri" w:hAnsi="Calibri"/>
          <w:b/>
          <w:bCs/>
          <w:color w:val="1B8A8A"/>
          <w:sz w:val="24"/>
          <w:szCs w:val="24"/>
        </w:rPr>
        <w:t xml:space="preserve">Q1: What trends appear in the number of shark attacks annually since 1900?</w:t>
      </w:r>
    </w:p>
    <w:p>
      <w:pPr>
        <w:spacing w:after="160" w:line="276"/>
      </w:pPr>
      <w:r>
        <w:rPr>
          <w:rFonts w:ascii="Calibri" w:cs="Calibri" w:eastAsia="Calibri" w:hAnsi="Calibri"/>
          <w:color w:val="1A1A1A"/>
          <w:sz w:val="22"/>
          <w:szCs w:val="22"/>
        </w:rPr>
        <w:t xml:space="preserve">Recorded attacks have risen sharply over the past century, from fewer than 20 a year through the early 1900s to a peak of over 140 in a single year by the 2010s. A smaller, temporary spike also appears around the 1950s–60s. This rise should not be read as sharks becoming more dangerous. It far more plausibly reflects the growth of beach tourism and recreational water sports over the century, combined with steadily improving incident reporting and record-keeping in more recent decades. As noted above, the apparent dip at the very end of the chart reflects 2017’s incomplete data (January–June only), not a real decline, and should be excluded or caveated when this chart is presented.</w:t>
      </w:r>
    </w:p>
    <w:p>
      <w:pPr>
        <w:pStyle w:val="Heading2"/>
        <w:spacing w:after="120" w:before="240"/>
      </w:pPr>
      <w:r>
        <w:rPr>
          <w:rFonts w:ascii="Calibri" w:cs="Calibri" w:eastAsia="Calibri" w:hAnsi="Calibri"/>
          <w:b/>
          <w:bCs/>
          <w:color w:val="1B8A8A"/>
          <w:sz w:val="24"/>
          <w:szCs w:val="24"/>
        </w:rPr>
        <w:t xml:space="preserve">Q2: Which countries and locations are most dangerous?</w:t>
      </w:r>
    </w:p>
    <w:p>
      <w:pPr>
        <w:spacing w:after="160" w:line="276"/>
      </w:pPr>
      <w:r>
        <w:rPr>
          <w:rFonts w:ascii="Calibri" w:cs="Calibri" w:eastAsia="Calibri" w:hAnsi="Calibri"/>
          <w:color w:val="1A1A1A"/>
          <w:sz w:val="22"/>
          <w:szCs w:val="22"/>
        </w:rPr>
        <w:t xml:space="preserve">The United States records by far the most attacks (2,160), followed by Australia (1,303) and South Africa (571), with Papua New Guinea and New Zealand a distant fourth and fifth. Within the top countries, risk concentrates heavily in specific areas rather than spreading evenly: Florida accounts for the large majority of US attacks, New South Wales leads in Australia, and KwaZulu-Natal leads in South Africa. This concentration likely reflects a combination of coastline length, water temperature, and, again, how much recreational beach activity and reporting infrastructure a specific region has, rather than shark population alone.</w:t>
      </w:r>
    </w:p>
    <w:p>
      <w:pPr>
        <w:pStyle w:val="Heading2"/>
        <w:spacing w:after="120" w:before="240"/>
      </w:pPr>
      <w:r>
        <w:rPr>
          <w:rFonts w:ascii="Calibri" w:cs="Calibri" w:eastAsia="Calibri" w:hAnsi="Calibri"/>
          <w:b/>
          <w:bCs/>
          <w:color w:val="1B8A8A"/>
          <w:sz w:val="24"/>
          <w:szCs w:val="24"/>
        </w:rPr>
        <w:t xml:space="preserve">Q4: What body parts are most often injured?</w:t>
      </w:r>
    </w:p>
    <w:p>
      <w:pPr>
        <w:spacing w:after="160" w:line="276"/>
      </w:pPr>
      <w:r>
        <w:rPr>
          <w:rFonts w:ascii="Calibri" w:cs="Calibri" w:eastAsia="Calibri" w:hAnsi="Calibri"/>
          <w:color w:val="1A1A1A"/>
          <w:sz w:val="22"/>
          <w:szCs w:val="22"/>
        </w:rPr>
        <w:t xml:space="preserve">The foot is the single most common injury site (874 cases), closely followed by non-specific leg injuries (759) and hand injuries (399). Notably, 1,057 records are classified as “Fatal / body not recovered”, meaning the single largest injury category in the entire dataset isn’t a body part at all, but cases severe enough that no specific injury could be documented. A further 734 records explicitly note “No injury”, a reminder that a meaningful share of recorded “attacks” involved no physical harm whatsoever.</w:t>
      </w:r>
    </w:p>
    <w:p>
      <w:pPr>
        <w:pStyle w:val="Heading2"/>
        <w:spacing w:after="120" w:before="240"/>
      </w:pPr>
      <w:r>
        <w:rPr>
          <w:rFonts w:ascii="Calibri" w:cs="Calibri" w:eastAsia="Calibri" w:hAnsi="Calibri"/>
          <w:b/>
          <w:bCs/>
          <w:color w:val="1B8A8A"/>
          <w:sz w:val="24"/>
          <w:szCs w:val="24"/>
        </w:rPr>
        <w:t xml:space="preserve">Q5: Are shark attacks more common at certain times of day?</w:t>
      </w:r>
    </w:p>
    <w:p>
      <w:pPr>
        <w:spacing w:after="160" w:line="276"/>
      </w:pPr>
      <w:r>
        <w:rPr>
          <w:rFonts w:ascii="Calibri" w:cs="Calibri" w:eastAsia="Calibri" w:hAnsi="Calibri"/>
          <w:color w:val="1A1A1A"/>
          <w:sz w:val="22"/>
          <w:szCs w:val="22"/>
        </w:rPr>
        <w:t xml:space="preserve">Among records with a known time, afternoon is the most common period for attacks, followed by morning, with evening and night attacks notably rarer, consistent with when people are most likely to be in the water. However, this finding carries a significant caveat: more than half of all 6,094 records (3,351) have no time of day recorded at all. The “Unknown” category is the single largest bar in this chart, larger than any actual time period, a clear sign that Q5’s conclusions describe a minority of well-documented incidents, not the full dataset.</w:t>
      </w:r>
    </w:p>
    <w:p>
      <w:pPr>
        <w:pStyle w:val="Heading2"/>
        <w:spacing w:after="120" w:before="240"/>
      </w:pPr>
      <w:r>
        <w:rPr>
          <w:rFonts w:ascii="Calibri" w:cs="Calibri" w:eastAsia="Calibri" w:hAnsi="Calibri"/>
          <w:b/>
          <w:bCs/>
          <w:color w:val="1B8A8A"/>
          <w:sz w:val="24"/>
          <w:szCs w:val="24"/>
        </w:rPr>
        <w:t xml:space="preserve">Q6: Which species of shark are attacking most often?</w:t>
      </w:r>
    </w:p>
    <w:p>
      <w:pPr>
        <w:spacing w:after="160" w:line="276"/>
      </w:pPr>
      <w:r>
        <w:rPr>
          <w:rFonts w:ascii="Calibri" w:cs="Calibri" w:eastAsia="Calibri" w:hAnsi="Calibri"/>
          <w:color w:val="1A1A1A"/>
          <w:sz w:val="22"/>
          <w:szCs w:val="22"/>
        </w:rPr>
        <w:t xml:space="preserve">Among attacks where a species was identified with confidence, the white shark is involved most often (627 cases), followed by the tiger shark (291) and bull shark (170), consistent with these three species’ well-documented role in most confirmed shark-human encounters worldwide. However, the largest single category by far is “Unidentified shark” (1,145 cases), and thousands more records specify no species information at all or explicitly doubt shark involvement. This means species-level conclusions, while directionally useful, are built on a relatively small, non-random subset of well-documented cases.</w:t>
      </w:r>
    </w:p>
    <w:p>
      <w:pPr>
        <w:pStyle w:val="Heading2"/>
        <w:spacing w:after="120" w:before="240"/>
      </w:pPr>
      <w:r>
        <w:rPr>
          <w:rFonts w:ascii="Calibri" w:cs="Calibri" w:eastAsia="Calibri" w:hAnsi="Calibri"/>
          <w:b/>
          <w:bCs/>
          <w:color w:val="1B8A8A"/>
          <w:sz w:val="24"/>
          <w:szCs w:val="24"/>
        </w:rPr>
        <w:t xml:space="preserve">Additional insight: Fatal rate by incident type</w:t>
      </w:r>
    </w:p>
    <w:p>
      <w:pPr>
        <w:spacing w:after="160" w:line="276"/>
      </w:pPr>
      <w:r>
        <w:rPr>
          <w:rFonts w:ascii="Calibri" w:cs="Calibri" w:eastAsia="Calibri" w:hAnsi="Calibri"/>
          <w:color w:val="1A1A1A"/>
          <w:sz w:val="22"/>
          <w:szCs w:val="22"/>
        </w:rPr>
        <w:t xml:space="preserve">Beyond the brief’s six questions, one of the more striking patterns in this dataset concerns fatality rate by incident Type, not by species or location. Overall, 25.7% of attacks are fatal. But “Sea Disaster” incidents are fatal 69% of the time, and “Invalid” incidents (cases that didn’t meet the criteria for a genuine shark attack) are fatal 46% of the time, both far higher than genuine “Unprovoked” shark encounters, which are fatal just 26% of the time, or “Provoked” and “Boat” incidents, both under 4%. In other words, the recorded incidents most likely to end in death are frequently not actual shark attacks at all, but maritime accidents or ambiguous cases swept into the same dataset. This is an important nuance for anyone drawing conclusions about shark danger specifically from this data.</w:t>
      </w:r>
    </w:p>
    <w:p>
      <w:pPr>
        <w:pStyle w:val="Heading1"/>
        <w:spacing w:after="160" w:before="320"/>
      </w:pPr>
      <w:r>
        <w:rPr>
          <w:rFonts w:ascii="Calibri" w:cs="Calibri" w:eastAsia="Calibri" w:hAnsi="Calibri"/>
          <w:b/>
          <w:bCs/>
          <w:color w:val="16283A"/>
          <w:sz w:val="30"/>
          <w:szCs w:val="30"/>
        </w:rPr>
        <w:t xml:space="preserve">Key Findings</w:t>
      </w:r>
    </w:p>
    <w:p>
      <w:pPr>
        <w:pStyle w:val="ListParagraph"/>
        <w:numPr>
          <w:ilvl w:val="0"/>
          <w:numId w:val="2"/>
        </w:numPr>
        <w:spacing w:after="90" w:line="276"/>
      </w:pPr>
      <w:r>
        <w:rPr>
          <w:rFonts w:ascii="Calibri" w:cs="Calibri" w:eastAsia="Calibri" w:hAnsi="Calibri"/>
          <w:b/>
          <w:bCs/>
          <w:color w:val="16283A"/>
          <w:sz w:val="22"/>
          <w:szCs w:val="22"/>
        </w:rPr>
        <w:t xml:space="preserve">1. The rising trend is a reporting and exposure story, not a shark behavior story. </w:t>
      </w:r>
      <w:r>
        <w:rPr>
          <w:rFonts w:ascii="Calibri" w:cs="Calibri" w:eastAsia="Calibri" w:hAnsi="Calibri"/>
          <w:color w:val="1A1A1A"/>
          <w:sz w:val="22"/>
          <w:szCs w:val="22"/>
        </w:rPr>
        <w:t xml:space="preserve">Attacks have climbed steadily since the 1950s, almost certainly driven by growth in beach tourism, recreational water sports, and improved incident documentation, not by sharks becoming more aggressive or numerous.</w:t>
      </w:r>
    </w:p>
    <w:p>
      <w:pPr>
        <w:pStyle w:val="ListParagraph"/>
        <w:numPr>
          <w:ilvl w:val="0"/>
          <w:numId w:val="2"/>
        </w:numPr>
        <w:spacing w:after="90" w:line="276"/>
      </w:pPr>
      <w:r>
        <w:rPr>
          <w:rFonts w:ascii="Calibri" w:cs="Calibri" w:eastAsia="Calibri" w:hAnsi="Calibri"/>
          <w:b/>
          <w:bCs/>
          <w:color w:val="16283A"/>
          <w:sz w:val="22"/>
          <w:szCs w:val="22"/>
        </w:rPr>
        <w:t xml:space="preserve">2. Risk is geographically concentrated, not evenly spread. </w:t>
      </w:r>
      <w:r>
        <w:rPr>
          <w:rFonts w:ascii="Calibri" w:cs="Calibri" w:eastAsia="Calibri" w:hAnsi="Calibri"/>
          <w:color w:val="1A1A1A"/>
          <w:sz w:val="22"/>
          <w:szCs w:val="22"/>
        </w:rPr>
        <w:t xml:space="preserve">The US, Australia, and South Africa account for the large majority of recorded attacks, and within those countries, risk concentrates further into specific regions (Florida, New South Wales, KwaZulu-Natal) rather than spreading evenly across the coastline.</w:t>
      </w:r>
    </w:p>
    <w:p>
      <w:pPr>
        <w:pStyle w:val="ListParagraph"/>
        <w:numPr>
          <w:ilvl w:val="0"/>
          <w:numId w:val="2"/>
        </w:numPr>
        <w:spacing w:after="90" w:line="276"/>
      </w:pPr>
      <w:r>
        <w:rPr>
          <w:rFonts w:ascii="Calibri" w:cs="Calibri" w:eastAsia="Calibri" w:hAnsi="Calibri"/>
          <w:b/>
          <w:bCs/>
          <w:color w:val="16283A"/>
          <w:sz w:val="22"/>
          <w:szCs w:val="22"/>
        </w:rPr>
        <w:t xml:space="preserve">3. The most fatal incidents often aren’t genuine shark attacks. </w:t>
      </w:r>
      <w:r>
        <w:rPr>
          <w:rFonts w:ascii="Calibri" w:cs="Calibri" w:eastAsia="Calibri" w:hAnsi="Calibri"/>
          <w:color w:val="1A1A1A"/>
          <w:sz w:val="22"/>
          <w:szCs w:val="22"/>
        </w:rPr>
        <w:t xml:space="preserve">Sea Disaster (69% fatal) and Invalid (46% fatal) incidents are far more often fatal than real unprovoked shark encounters (26%), a finding that reframes what “shark danger” actually means in this dataset.</w:t>
      </w:r>
    </w:p>
    <w:p>
      <w:pPr>
        <w:pStyle w:val="ListParagraph"/>
        <w:numPr>
          <w:ilvl w:val="0"/>
          <w:numId w:val="2"/>
        </w:numPr>
        <w:spacing w:after="90" w:line="276"/>
      </w:pPr>
      <w:r>
        <w:rPr>
          <w:rFonts w:ascii="Calibri" w:cs="Calibri" w:eastAsia="Calibri" w:hAnsi="Calibri"/>
          <w:b/>
          <w:bCs/>
          <w:color w:val="16283A"/>
          <w:sz w:val="22"/>
          <w:szCs w:val="22"/>
        </w:rPr>
        <w:t xml:space="preserve">4. The foot is the most common injury site, </w:t>
      </w:r>
      <w:r>
        <w:rPr>
          <w:rFonts w:ascii="Calibri" w:cs="Calibri" w:eastAsia="Calibri" w:hAnsi="Calibri"/>
          <w:color w:val="1A1A1A"/>
          <w:sz w:val="22"/>
          <w:szCs w:val="22"/>
        </w:rPr>
        <w:t xml:space="preserve">and a meaningful share of records (734) involved no injury at all, while another substantial share (1,057) were severe enough that no specific body part could be documented.</w:t>
      </w:r>
    </w:p>
    <w:p>
      <w:pPr>
        <w:pStyle w:val="ListParagraph"/>
        <w:numPr>
          <w:ilvl w:val="0"/>
          <w:numId w:val="2"/>
        </w:numPr>
        <w:spacing w:after="90" w:line="276"/>
      </w:pPr>
      <w:r>
        <w:rPr>
          <w:rFonts w:ascii="Calibri" w:cs="Calibri" w:eastAsia="Calibri" w:hAnsi="Calibri"/>
          <w:b/>
          <w:bCs/>
          <w:color w:val="16283A"/>
          <w:sz w:val="22"/>
          <w:szCs w:val="22"/>
        </w:rPr>
        <w:t xml:space="preserve">5. Time-of-day and species findings are genuinely informative but incomplete. </w:t>
      </w:r>
      <w:r>
        <w:rPr>
          <w:rFonts w:ascii="Calibri" w:cs="Calibri" w:eastAsia="Calibri" w:hAnsi="Calibri"/>
          <w:color w:val="1A1A1A"/>
          <w:sz w:val="22"/>
          <w:szCs w:val="22"/>
        </w:rPr>
        <w:t xml:space="preserve">Over half of all records have no time of day recorded, and the single largest species category is “Unidentified”. These aren’t analytical failures; they’re honest limits of a century-spanning historical dataset. But they mean Q5 and Q6’s conclusions should be read as directional patterns among well-documented cases, not comprehensive statements about all attacks.</w:t>
      </w:r>
    </w:p>
    <w:p>
      <w:pPr>
        <w:pStyle w:val="ListParagraph"/>
        <w:numPr>
          <w:ilvl w:val="0"/>
          <w:numId w:val="2"/>
        </w:numPr>
        <w:spacing w:after="90" w:line="276"/>
      </w:pPr>
      <w:r>
        <w:rPr>
          <w:rFonts w:ascii="Calibri" w:cs="Calibri" w:eastAsia="Calibri" w:hAnsi="Calibri"/>
          <w:b/>
          <w:bCs/>
          <w:color w:val="16283A"/>
          <w:sz w:val="22"/>
          <w:szCs w:val="22"/>
        </w:rPr>
        <w:t xml:space="preserve">6. Two data-quality issues were identified and corrected for during analysis: </w:t>
      </w:r>
      <w:r>
        <w:rPr>
          <w:rFonts w:ascii="Calibri" w:cs="Calibri" w:eastAsia="Calibri" w:hAnsi="Calibri"/>
          <w:color w:val="1A1A1A"/>
          <w:sz w:val="22"/>
          <w:szCs w:val="22"/>
        </w:rPr>
        <w:t xml:space="preserve">a date-parsing bug that misattributed some pre-2000 dates to the 2000s (worked around by using the dataset’s independent Year field throughout), and an incomplete final year (2017, January–June only) that explains the apparent decline at the very end of the annual trend.</w:t>
      </w:r>
    </w:p>
    <w:p>
      <w:pPr>
        <w:pStyle w:val="Heading1"/>
        <w:spacing w:after="160" w:before="320"/>
      </w:pPr>
      <w:r>
        <w:rPr>
          <w:rFonts w:ascii="Calibri" w:cs="Calibri" w:eastAsia="Calibri" w:hAnsi="Calibri"/>
          <w:b/>
          <w:bCs/>
          <w:color w:val="16283A"/>
          <w:sz w:val="30"/>
          <w:szCs w:val="30"/>
        </w:rPr>
        <w:t xml:space="preserve">Recommendations</w:t>
      </w:r>
    </w:p>
    <w:p>
      <w:pPr>
        <w:pStyle w:val="ListParagraph"/>
        <w:numPr>
          <w:ilvl w:val="0"/>
          <w:numId w:val="2"/>
        </w:numPr>
        <w:spacing w:after="90" w:line="276"/>
      </w:pPr>
      <w:r>
        <w:rPr>
          <w:rFonts w:ascii="Calibri" w:cs="Calibri" w:eastAsia="Calibri" w:hAnsi="Calibri"/>
          <w:b/>
          <w:bCs/>
          <w:color w:val="16283A"/>
          <w:sz w:val="22"/>
          <w:szCs w:val="22"/>
        </w:rPr>
        <w:t xml:space="preserve">For beachgoers and water-sport participants: </w:t>
      </w:r>
      <w:r>
        <w:rPr>
          <w:rFonts w:ascii="Calibri" w:cs="Calibri" w:eastAsia="Calibri" w:hAnsi="Calibri"/>
          <w:color w:val="1A1A1A"/>
          <w:sz w:val="22"/>
          <w:szCs w:val="22"/>
        </w:rPr>
        <w:t xml:space="preserve">the data supports commonly known, practical guidance. Attacks cluster in the afternoon (when water use peaks) and concentrate heavily in a handful of well-known coastal regions (Florida, New South Wales, KwaZulu-Natal), so added caution in those specific times and places is reasonable, evidence-backed advice rather than generalized fear.</w:t>
      </w:r>
    </w:p>
    <w:p>
      <w:pPr>
        <w:pStyle w:val="ListParagraph"/>
        <w:numPr>
          <w:ilvl w:val="0"/>
          <w:numId w:val="2"/>
        </w:numPr>
        <w:spacing w:after="90" w:line="276"/>
      </w:pPr>
      <w:r>
        <w:rPr>
          <w:rFonts w:ascii="Calibri" w:cs="Calibri" w:eastAsia="Calibri" w:hAnsi="Calibri"/>
          <w:b/>
          <w:bCs/>
          <w:color w:val="16283A"/>
          <w:sz w:val="22"/>
          <w:szCs w:val="22"/>
        </w:rPr>
        <w:t xml:space="preserve">For coastal safety organizations and researchers: </w:t>
      </w:r>
      <w:r>
        <w:rPr>
          <w:rFonts w:ascii="Calibri" w:cs="Calibri" w:eastAsia="Calibri" w:hAnsi="Calibri"/>
          <w:color w:val="1A1A1A"/>
          <w:sz w:val="22"/>
          <w:szCs w:val="22"/>
        </w:rPr>
        <w:t xml:space="preserve">the gap in time-of-day and species data (over half and roughly half of all records respectively) represents a clear opportunity. Future incident reporting that consistently captures time and species would substantially strengthen the reliability of analyses like this one.</w:t>
      </w:r>
    </w:p>
    <w:p>
      <w:pPr>
        <w:pStyle w:val="ListParagraph"/>
        <w:numPr>
          <w:ilvl w:val="0"/>
          <w:numId w:val="2"/>
        </w:numPr>
        <w:spacing w:after="90" w:line="276"/>
      </w:pPr>
      <w:r>
        <w:rPr>
          <w:rFonts w:ascii="Calibri" w:cs="Calibri" w:eastAsia="Calibri" w:hAnsi="Calibri"/>
          <w:b/>
          <w:bCs/>
          <w:color w:val="16283A"/>
          <w:sz w:val="22"/>
          <w:szCs w:val="22"/>
        </w:rPr>
        <w:t xml:space="preserve">For anyone citing “shark attack” statistics: </w:t>
      </w:r>
      <w:r>
        <w:rPr>
          <w:rFonts w:ascii="Calibri" w:cs="Calibri" w:eastAsia="Calibri" w:hAnsi="Calibri"/>
          <w:color w:val="1A1A1A"/>
          <w:sz w:val="22"/>
          <w:szCs w:val="22"/>
        </w:rPr>
        <w:t xml:space="preserve">this analysis suggests real caution is warranted before treating “Type” categories uniformly. Sea Disaster and Invalid incidents, despite being included in general shark-attack datasets, behave very differently (far higher fatality, likely different causes) than genuine unprovoked encounters, and conflating them risks overstating the danger of an actual shark encounter specifically.</w:t>
      </w:r>
    </w:p>
    <w:p>
      <w:pPr>
        <w:pStyle w:val="ListParagraph"/>
        <w:numPr>
          <w:ilvl w:val="0"/>
          <w:numId w:val="2"/>
        </w:numPr>
        <w:spacing w:after="90" w:line="276"/>
      </w:pPr>
      <w:r>
        <w:rPr>
          <w:rFonts w:ascii="Calibri" w:cs="Calibri" w:eastAsia="Calibri" w:hAnsi="Calibri"/>
          <w:b/>
          <w:bCs/>
          <w:color w:val="16283A"/>
          <w:sz w:val="22"/>
          <w:szCs w:val="22"/>
        </w:rPr>
        <w:t xml:space="preserve">For future iterations of this analysis: </w:t>
      </w:r>
      <w:r>
        <w:rPr>
          <w:rFonts w:ascii="Calibri" w:cs="Calibri" w:eastAsia="Calibri" w:hAnsi="Calibri"/>
          <w:color w:val="1A1A1A"/>
          <w:sz w:val="22"/>
          <w:szCs w:val="22"/>
        </w:rPr>
        <w:t xml:space="preserve">re-running this with the corrected date field (and ideally sourcing an updated dataset that includes 2018 onward) would resolve the two data-quality caveats raised in this report and allow the annual trend to be read without qualification.</w:t>
      </w:r>
    </w:p>
    <w:p>
      <w:pPr>
        <w:spacing w:before="400"/>
      </w:pPr>
    </w:p>
    <w:p>
      <w:pPr>
        <w:pBdr>
          <w:bottom w:val="single" w:color="EAF2FB" w:sz="8" w:space="1"/>
        </w:pBdr>
        <w:spacing w:after="260" w:before="60"/>
      </w:pPr>
    </w:p>
    <w:p>
      <w:pPr>
        <w:spacing w:after="200"/>
      </w:pPr>
      <w:r>
        <w:rPr>
          <w:rFonts w:ascii="Calibri" w:cs="Calibri" w:eastAsia="Calibri" w:hAnsi="Calibri"/>
          <w:i/>
          <w:iCs/>
          <w:color w:val="6E7B8B"/>
          <w:sz w:val="19"/>
          <w:szCs w:val="19"/>
        </w:rPr>
        <w:t xml:space="preserve">Analysis conducted in Microsoft Excel (Power Query, PivotTables, PivotCharts). Dataset: Global Shark Attack survey, 1900–2017. Prepared for the Digitaley Drive Data Analyst Bootcamp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2026-10-05T17:03:42.980Z</dcterms:created>
  <dcterms:modified xsi:type="dcterms:W3CDTF">2026-10-05T17:03:42.989Z</dcterms:modified>
</cp:coreProperties>
</file>

<file path=docProps/custom.xml><?xml version="1.0" encoding="utf-8"?>
<Properties xmlns="http://schemas.openxmlformats.org/officeDocument/2006/custom-properties" xmlns:vt="http://schemas.openxmlformats.org/officeDocument/2006/docPropsVTypes"/>
</file>