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JCA Phase 2 — PICOS Set Consolidation</w:t>
      </w:r>
    </w:p>
    <w:p>
      <w:pPr>
        <w:jc w:val="left"/>
      </w:pPr>
      <w:r>
        <w:rPr>
          <w:i/>
          <w:sz w:val="18"/>
        </w:rPr>
        <w:t>Run ID: 0bd5ba84   |   Model: us.anthropic.claude-sonnet-5   |   Status: BLOCKED</w:t>
      </w:r>
    </w:p>
    <w:p>
      <w:pPr>
        <w:pStyle w:val="Heading1"/>
      </w:pPr>
      <w:r>
        <w:t>Extensive-stage small cell lung cancer (ES-SCLC) whose disease has not progressed after first-line induction therapy (licensed)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20"/>
              </w:rPr>
              <w:t>PICO Set (Comparator, C)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Atezolizumab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Prophylactic cranial irradiation (PCI)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Durvalumab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Placebo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Durvalumab + Etoposide + Platinum chemotherapy (carboplatin or cisplatin)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Temsirolimus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Thalidomide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sz w:val="20"/>
              </w:rPr>
              <w:t>Member States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Austria, Denmark, Germany, Poland, Romania, Slovakia, Slovenia, Sweden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Belgium, France, Germany, Slovakia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Poland, Slovakia, Slovenia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Ireland, Poland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Sweden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sz w:val="20"/>
              </w:rPr>
              <w:t>Source Tier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1, 2, 3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1, 2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sz w:val="20"/>
              </w:rPr>
              <w:t>Intervention (I)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Lurbinectedin (in combination with atezolizumab)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Lurbinectedin (in combination with atezolizumab)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Lurbinectedin (in combination with atezolizumab)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Lurbinectedin (in combination with atezolizumab)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Lurbinectedin (in combination with atezolizumab)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Lurbinectedin (in combination with atezolizumab)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Lurbinectedin (in combination with atezolizumab)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sz w:val="20"/>
              </w:rPr>
              <w:t>Outcomes (O) — Efficacy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Progression-free survival; Overall survival; Objective response rate; Anaemia (Grade 3/4) (unlisted); Duration of response (unlisted); Morbidity (unlisted); Risk of brain metastases at 1 year (unlisted); In-field local recurrence rate (unlisted); Anti-drug antibodies (immunogenicity) (unlisted)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Progression-free survival; Overall survival; Objective response rate; Anaemia (Grade 3/4) (unlisted); Duration of response (unlisted); Morbidity (unlisted); Risk of brain metastases at 1 year (unlisted); In-field local recurrence rate (unlisted); Anti-drug antibodies (immunogenicity) (unlisted)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Progression-free survival; Overall survival; Objective response rate; Anaemia (Grade 3/4) (unlisted); Duration of response (unlisted); Morbidity (unlisted); Risk of brain metastases at 1 year (unlisted); In-field local recurrence rate (unlisted); Anti-drug antibodies (immunogenicity) (unlisted)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Progression-free survival; Overall survival; Objective response rate; Anaemia (Grade 3/4) (unlisted); Duration of response (unlisted); Morbidity (unlisted); Risk of brain metastases at 1 year (unlisted); In-field local recurrence rate (unlisted); Anti-drug antibodies (immunogenicity) (unlisted)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Progression-free survival; Overall survival; Objective response rate; Anaemia (Grade 3/4) (unlisted); Duration of response (unlisted); Morbidity (unlisted); Risk of brain metastases at 1 year (unlisted); In-field local recurrence rate (unlisted); Anti-drug antibodies (immunogenicity) (unlisted)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Progression-free survival; Overall survival; Objective response rate; Anaemia (Grade 3/4) (unlisted); Duration of response (unlisted); Morbidity (unlisted); Risk of brain metastases at 1 year (unlisted); In-field local recurrence rate (unlisted); Anti-drug antibodies (immunogenicity) (unlisted)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Progression-free survival; Overall survival; Objective response rate; Anaemia (Grade 3/4) (unlisted); Duration of response (unlisted); Morbidity (unlisted); Risk of brain metastases at 1 year (unlisted); In-field local recurrence rate (unlisted); Anti-drug antibodies (immunogenicity) (unlisted)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sz w:val="20"/>
              </w:rPr>
              <w:t>Outcomes (O) — Safety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Grade &gt;=3 adverse events; Serious adverse events; Discontinuation due to adverse events; Adverse events (general/unspecified) (unlisted); Myelosuppressive toxicities (neutropenia, leukopenia) (unlisted); Adverse events, serious adverse events, and adverse events of special interest (unlisted)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Grade &gt;=3 adverse events; Serious adverse events; Discontinuation due to adverse events; Adverse events (general/unspecified) (unlisted); Myelosuppressive toxicities (neutropenia, leukopenia) (unlisted); Adverse events, serious adverse events, and adverse events of special interest (unlisted)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Grade &gt;=3 adverse events; Serious adverse events; Discontinuation due to adverse events; Adverse events (general/unspecified) (unlisted); Myelosuppressive toxicities (neutropenia, leukopenia) (unlisted); Adverse events, serious adverse events, and adverse events of special interest (unlisted)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Grade &gt;=3 adverse events; Serious adverse events; Discontinuation due to adverse events; Adverse events (general/unspecified) (unlisted); Myelosuppressive toxicities (neutropenia, leukopenia) (unlisted); Adverse events, serious adverse events, and adverse events of special interest (unlisted)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Grade &gt;=3 adverse events; Serious adverse events; Discontinuation due to adverse events; Adverse events (general/unspecified) (unlisted); Myelosuppressive toxicities (neutropenia, leukopenia) (unlisted); Adverse events, serious adverse events, and adverse events of special interest (unlisted)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Grade &gt;=3 adverse events; Serious adverse events; Discontinuation due to adverse events; Adverse events (general/unspecified) (unlisted); Myelosuppressive toxicities (neutropenia, leukopenia) (unlisted); Adverse events, serious adverse events, and adverse events of special interest (unlisted)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Grade &gt;=3 adverse events; Serious adverse events; Discontinuation due to adverse events; Adverse events (general/unspecified) (unlisted); Myelosuppressive toxicities (neutropenia, leukopenia) (unlisted); Adverse events, serious adverse events, and adverse events of special interest (unlisted)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sz w:val="20"/>
              </w:rPr>
              <w:t>Outcomes (O) — Quality of Life &amp; Symptoms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Health-related quality of life (disease-specific); Generic health status; Patient-reported symptom burden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Health-related quality of life (disease-specific); Generic health status; Patient-reported symptom burden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Health-related quality of life (disease-specific); Generic health status; Patient-reported symptom burden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Health-related quality of life (disease-specific); Generic health status; Patient-reported symptom burden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Health-related quality of life (disease-specific); Generic health status; Patient-reported symptom burden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Health-related quality of life (disease-specific); Generic health status; Patient-reported symptom burden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Health-related quality of life (disease-specific); Generic health status; Patient-reported symptom burden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sz w:val="20"/>
              </w:rPr>
              <w:t>Rationale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Atezolizumab is confirmed as the standard first-line maintenance comparator in extensive-stage small cell lung cancer across 8 Member States, with corroborating evidence spanning Tiers 1 through 3. This broad, multi-tier national alignment makes it a robust and reliable comparator for this population.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Prophylactic cranial irradiation is confirmed as a consolidation standard of care for extensive-stage SCLC patients responding to first-line chemotherapy, with national alignment across Belgium, France, Germany and Slovakia and evidence spanning Tier 1 and Tier 2 sources. This four-state convergence on a single, well-defined comparator supports its inclusion as a reliable and reasonably broad PICO set.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Durvalumab is confirmed by Poland, Slovakia and Slovenia as the standard-of-care checkpoint-inhibitor maintenance therapy following platinum-etoposide induction, with Tier 1 evidence backing this position in all three states. Retain-all status is unconfirmed and no distinct dropping rationale is supported by the evidence, so this comparator is kept as its own PICO pending review rather than assumed droppable.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Placebo is confirmed by Ireland and Poland's own national bodies (Tier 1) as the comparator used in the pivotal trial design pairing it with carboplatin-etoposide induction and maintenance therapy in ES-SCLC. Though only these two states name it as standard practice, the shared Tier 1 backing and direct trial-design linkage make this a narrow but reliable comparator set.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This fixed three-drug regimen (durvalumab plus etoposide and platinum chemotherapy) is Sweden's own designated standard-of-care induction approach for extensive-stage SCLC, confirmed at Tier 1 and distinct from single-agent durvalumab or atezolizumab, so it is retained as a Sweden-specific comparator not shared by any other state. Droppability remains unconfirmed and flagged for review, as the scoping evidence gives no specific reason to consider it droppable.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Temsirolimus appears only as a theoretical maintenance option grounded in class rationale rather than confirmed national practice, with no Member State naming it as standard of care and only Tier 2 general evidence supporting inclusion. This weak, unconfirmed basis suggests dropping this comparator may be reasonable, given the absence of any specified line of therapy or national endorsement.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Thalidomide is carried forward as a low-certainty option for SCLC on the basis of general literature (Tier 2) alone, with no Member State naming it a standard-of-care comparator or specifying its line of therapy; it therefore reflects a possible but unconfirmed treatment option rather than an evidenced national position.</w:t>
            </w:r>
          </w:p>
        </w:tc>
      </w:tr>
    </w:tbl>
    <w:p/>
    <w:p>
      <w:r>
        <w:rPr>
          <w:b/>
        </w:rPr>
        <w:t xml:space="preserve">Not-identified Member States (no comparator/standard of care found at scoping): </w:t>
      </w:r>
      <w:r>
        <w:t>Bulgaria, Croatia, Cyprus, Czech Republic, Estonia, Finland, Greece, Hungary, Italy, Latvia, Lithuania, Luxembourg, Malta, Netherlands, Portugal, Spain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