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Medical Report for User: 6891a83bd0ea64bc6e16a61e</w:t>
      </w:r>
    </w:p>
    <w:p>
      <w:r>
        <w:t xml:space="preserve"> </w:t>
      </w:r>
    </w:p>
    <w:p>
      <w:r>
        <w:rPr>
          <w:b/>
          <w:bCs/>
        </w:rPr>
        <w:t xml:space="preserve">1. Present Illness</w:t>
      </w:r>
    </w:p>
    <w:p>
      <w:r>
        <w:t xml:space="preserve">The patient presents for evaluation of a cutaneous vascular lesion on a lower extremity. Physical examination reveals a fine, superficial, branching vascular pattern forming a complex, reticular network. The lesion is composed of numerous small-caliber, tortuous, telangiectatic vessels, which appear reddish-purple to violaceous in color. The overlying and surrounding skin is intact, smooth, and non-palpable, without any associated erythema, edema, inflammation, or ulceration.</w:t>
      </w:r>
    </w:p>
    <w:p>
      <w:r>
        <w:t xml:space="preserve"> </w:t>
      </w:r>
    </w:p>
    <w:p>
      <w:r>
        <w:rPr>
          <w:b/>
          <w:bCs/>
        </w:rPr>
        <w:t xml:space="preserve">2. Past Medical History</w:t>
      </w:r>
    </w:p>
    <w:p>
      <w:r>
        <w:t xml:space="preserve">Based on the clinical findings, here is the patient's Past Medical History and Risk Factors:
*   **Chronic Venous Insufficiency**
    The patient has significant clinical evidence of chronic venous disease in the lower extremities. Manifestations include extensive superficial telangiectasias (spider veins) and reticular veins distributed across the anterior thighs and posterior calves. The condition appears more advanced distally, with notable bilateral lower extremity edema that obscures the normal ankle contours, and the development of stasis dermatitis, particularly on the left leg, characterized by significant brownish hyperpigmentation around the medial malleolus.
*   **Dermatological History**
    The patient's skin shows changes secondary to chronic venous disease, including stasis dermatitis without evidence of active ulceration. Incidental findings include faint striae (stretch marks) on the upper thigh and a small, benign-appearing brown macule. There are no signs of acute cellulitis, open wounds, or active bleeding noted on examination.</w:t>
      </w:r>
    </w:p>
    <w:p>
      <w:r>
        <w:t xml:space="preserve"> </w:t>
      </w:r>
    </w:p>
    <w:p>
      <w:r>
        <w:rPr>
          <w:b/>
          <w:bCs/>
        </w:rPr>
        <w:t xml:space="preserve">3. Physical Examination</w:t>
      </w:r>
    </w:p>
    <w:p>
      <w:r>
        <w:t xml:space="preserve">**Musculoskeletal:**
Examination of the left knee reveals findings consistent with an acute traumatic injury. A large suprapatellar bursal effusion is present, accompanied by regional soft tissue edema and mild reactive synovitis. There is evidence of a complete, full-thickness, mid-substance disruption of the anterior cruciate ligament. Associated findings include buckling of the posterior cruciate ligament and a grade 1 injury to the medial collateral ligament. An osseous contusion is noted at the lateral condylar patellar sulcus, suggestive of a pivot shift injury mechanism. The lateral collateral ligament complex, extensor mechanism, and patellar ligament are intact. The medial and lateral menisci are without tear, though edema is present at the posterior meniscal capsular junction. The retropatellar cartilage is preserved.</w:t>
      </w:r>
    </w:p>
    <w:p>
      <w:r>
        <w:t xml:space="preserve"> </w:t>
      </w:r>
    </w:p>
    <w:p>
      <w:r>
        <w:rPr>
          <w:b/>
          <w:bCs/>
        </w:rPr>
        <w:t xml:space="preserve">4. Labs and Imaging</w:t>
      </w:r>
    </w:p>
    <w:p>
      <w:r>
        <w:t xml:space="preserve"/>
      </w:r>
    </w:p>
    <w:p>
      <w:r>
        <w:t xml:space="preserve"> </w:t>
      </w:r>
    </w:p>
    <w:p>
      <w:r>
        <w:rPr>
          <w:b/>
          <w:bCs/>
        </w:rPr>
        <w:t xml:space="preserve">5. Proposed Diagnosis</w:t>
      </w:r>
    </w:p>
    <w:p>
      <w:r>
        <w:t xml:space="preserve">Based on the provided medical report, here is a list of proposed diagnoses from the perspective of an Internal Medicine specialist.
### **Proposed Diagnoses**
1.  **Complete Anterior Cruciate Ligament (ACL) Rupture with Associated Grade 1 Medial Collateral Ligament (MCL) Sprain and Osseous Contusion.**
    This unifying diagnosis is most likely as it directly corresponds to the radiologist's impression and synthesizes the multiple acute traumatic findings from a single pivot shift injury event. The report describes a complete mid-substance disruption of the ACL with fibrillating fibers, which is the most significant pathology. This is accompanied by edema external to the MCL, consistent with a grade 1 sprain, and a deepened lateral condylar patellar sulcus, which is a classic bone contusion pattern seen with the pivot shift mechanism that causes ACL tears.
2.  **Traumatic Hemarthrosis.**
    This diagnosis is highly probable given the acute injury mechanism and the complete rupture of a major intra-articular ligament. The MRI confirms a large suprapatellar bursal effusion, which in the setting of a torn ACL represents bleeding into the joint space, leading to significant swelling, pain, and limited range of motion.
3.  **Acute Traumatic Synovitis.**
    This condition is an expected consequence of the significant internal derangement and hemarthrosis within the knee joint. The report notes the presence of mild reactive synovitis, which is the inflammatory response of the synovial membrane to the acute injury and presence of blood in the joint, contributing to ongoing pain and effusion.
4.  **Internal Derangement of the Knee.**
    This is a broader, less specific diagnosis that is certainly present but provides less detail than the primary diagnosis. It accurately describes the state of the knee joint following the twisting injury, encompassing the complete ACL tear, the buckled PCL, the MCL sprain, and posterior meniscal capsular junction edema, which collectively disrupt the normal mechanics of the articulation.</w:t>
      </w:r>
    </w:p>
    <w:p>
      <w:r>
        <w:t xml:space="preserve"> </w:t>
      </w:r>
    </w:p>
    <w:p>
      <w:r>
        <w:rPr>
          <w:b/>
          <w:bCs/>
        </w:rPr>
        <w:t xml:space="preserve">6. Analysis and Plan</w:t>
      </w:r>
    </w:p>
    <w:p>
      <w:r>
        <w:t xml:space="preserve">### Assessment
This patient presents for evaluation of extensive cutaneous vascular lesions on the lower extremities, which are characteristic of advanced chronic venous insufficiency (CVI). The clinical examination reveals a widespread network of telangiectasias and reticular veins, coupled with significant bilateral lower extremity edema and stasis dermatitis, most notably evidenced by hyperpigmentation over the left medial malleolus. These findings are consistent with chronic venous hypertension and incompetent venous valves, leading to the observed superficial skin changes and fluid accumulation. The medical history is also significant for a major traumatic injury to the left knee sustained in 2013, diagnosed via MRI as a complete anterior cruciate ligament (ACL) rupture with an associated MCL sprain and osseous contusion. While this orthopedic issue is historically distinct from the current presentation, it is an important component of her overall musculoskeletal health and may have long-term implications for limb mechanics and mobility, which can influence venous return. The primary active medical issue requiring management at this time is the symptomatic and progressive CVI.
### Plan
The management will focus on controlling the progression and symptoms of chronic venous insufficiency through conservative measures and appropriate specialty consultation. We will initiate a comprehensive conservative management program centered on consistent use of graduated compression therapy. The patient will be fitted for knee-high compression stockings, likely in the 20-30 mmHg range, and will be educated on the importance of applying them upon waking and wearing them throughout the day to reduce edema and improve venous return. We will also counsel her on lifestyle modifications, including regular leg elevation above the level of the heart, avoidance of prolonged periods of standing or sitting, and implementation of a regular walking or exercise program to enhance the efficacy of the calf muscle pump. For the management of her stasis dermatitis, we will recommend gentle skin cleansing and the daily application of a bland, thick emollient to maintain skin integrity and prevent ulceration. Given the extent of her venous disease, we will place a referral to a Vascular Surgery specialist for further evaluation, including possible venous duplex ultrasonography, to assess for underlying deep or superficial venous reflux and to discuss potential procedural interventions such as sclerotherapy or endovenous ablation. We will also confirm her current functional status related to her remote ACL rupture and will refer her back to Orthopedics if she is experiencing any ongoing knee instability, pain, or functional limitation.</w:t>
      </w:r>
    </w:p>
    <w:p>
      <w: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2025-08-29T04:39:35.999Z</dcterms:created>
  <dcterms:modified xsi:type="dcterms:W3CDTF">2025-08-29T04:39:35.999Z</dcterms:modified>
</cp:coreProperties>
</file>

<file path=docProps/custom.xml><?xml version="1.0" encoding="utf-8"?>
<Properties xmlns="http://schemas.openxmlformats.org/officeDocument/2006/custom-properties" xmlns:vt="http://schemas.openxmlformats.org/officeDocument/2006/docPropsVTypes"/>
</file>