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B1C11E">
      <w:pPr>
        <w:spacing w:after="60"/>
        <w:jc w:val="center"/>
      </w:pPr>
      <w:r>
        <w:rPr>
          <w:color w:val="595959"/>
          <w:sz w:val="22"/>
          <w:szCs w:val="22"/>
        </w:rPr>
        <w:t>CodeAlpha Machine Learning Internship</w:t>
      </w:r>
    </w:p>
    <w:p w14:paraId="779EE6A0">
      <w:pPr>
        <w:spacing w:after="40"/>
        <w:jc w:val="center"/>
      </w:pPr>
      <w:r>
        <w:rPr>
          <w:b/>
          <w:bCs/>
          <w:color w:val="1F3864"/>
          <w:sz w:val="40"/>
          <w:szCs w:val="40"/>
        </w:rPr>
        <w:t>Credit Scoring Model</w:t>
      </w:r>
    </w:p>
    <w:p w14:paraId="4D5C6A91">
      <w:pPr>
        <w:spacing w:after="320"/>
        <w:jc w:val="center"/>
      </w:pPr>
      <w:r>
        <w:rPr>
          <w:i/>
          <w:iCs/>
          <w:color w:val="2E5B8A"/>
          <w:sz w:val="24"/>
          <w:szCs w:val="24"/>
        </w:rPr>
        <w:t>Task 1 — Analysis Summary Report</w:t>
      </w:r>
    </w:p>
    <w:p w14:paraId="1ADAEB50">
      <w:pPr>
        <w:pBdr>
          <w:bottom w:val="single" w:color="BFBFBF" w:sz="4" w:space="1"/>
        </w:pBdr>
        <w:spacing w:before="60" w:after="240"/>
      </w:pPr>
    </w:p>
    <w:p w14:paraId="654A4A96">
      <w:pPr>
        <w:pStyle w:val="2"/>
        <w:pBdr>
          <w:bottom w:val="single" w:color="1F3864" w:sz="6" w:space="4"/>
        </w:pBdr>
        <w:spacing w:before="320" w:after="160"/>
      </w:pPr>
      <w:r>
        <w:rPr>
          <w:b/>
          <w:bCs/>
          <w:color w:val="1F3864"/>
          <w:sz w:val="30"/>
          <w:szCs w:val="30"/>
        </w:rPr>
        <w:t>1. Objective</w:t>
      </w:r>
    </w:p>
    <w:p w14:paraId="4FA8E5C1">
      <w:pPr>
        <w:spacing w:after="160" w:line="276" w:lineRule="auto"/>
      </w:pPr>
      <w:r>
        <w:rPr>
          <w:sz w:val="22"/>
          <w:szCs w:val="22"/>
        </w:rPr>
        <w:t>Predict an individual's creditworthiness — the probability that a loan applicant will default — from their financial history, using classification models. The model is intended to support (not replace) a lending decision, producing both a default probability and an approve / reject recommendation.</w:t>
      </w:r>
    </w:p>
    <w:p w14:paraId="76D9684D">
      <w:pPr>
        <w:pStyle w:val="2"/>
        <w:pBdr>
          <w:bottom w:val="single" w:color="1F3864" w:sz="6" w:space="4"/>
        </w:pBdr>
        <w:spacing w:before="320" w:after="160"/>
      </w:pPr>
      <w:r>
        <w:rPr>
          <w:b/>
          <w:bCs/>
          <w:color w:val="1F3864"/>
          <w:sz w:val="30"/>
          <w:szCs w:val="30"/>
        </w:rPr>
        <w:t>2. Dataset</w:t>
      </w:r>
    </w:p>
    <w:p w14:paraId="5C962BC8">
      <w:pPr>
        <w:spacing w:after="160" w:line="276" w:lineRule="auto"/>
      </w:pPr>
      <w:r>
        <w:rPr>
          <w:sz w:val="22"/>
          <w:szCs w:val="22"/>
        </w:rPr>
        <w:t>The dataset (credit_risk_dataset.csv) contains 32,581 loan applications with 11 predictor columns and a binary target, loan_status (1 = default, 0 = repaid). The classes are imbalanced: 25,473 non-defaults (78.18%) versus 7,108 defaults (21.82%) — roughly one default for every 3.6 non-defaults. Because of this imbalance, accuracy alone is a misleading metric; Precision, Recall, F1-Score and ROC-AUC are used to judge the models.</w:t>
      </w:r>
    </w:p>
    <w:tbl>
      <w:tblPr>
        <w:tblStyle w:val="9"/>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480"/>
      </w:tblGrid>
      <w:tr w14:paraId="59EAA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9BBB59" w:themeFill="accent3"/>
            <w:tcMar>
              <w:top w:w="90" w:type="dxa"/>
              <w:left w:w="120" w:type="dxa"/>
              <w:bottom w:w="90" w:type="dxa"/>
              <w:right w:w="120" w:type="dxa"/>
            </w:tcMar>
            <w:vAlign w:val="center"/>
          </w:tcPr>
          <w:p w14:paraId="496DF2FD">
            <w:pPr>
              <w:jc w:val="left"/>
              <w:rPr>
                <w:color w:val="auto"/>
              </w:rPr>
            </w:pPr>
            <w:r>
              <w:rPr>
                <w:b/>
                <w:bCs/>
                <w:color w:val="auto"/>
                <w:sz w:val="20"/>
                <w:szCs w:val="20"/>
              </w:rPr>
              <w:t>Column</w:t>
            </w:r>
          </w:p>
        </w:tc>
        <w:tc>
          <w:tcPr>
            <w:tcW w:w="6480" w:type="dxa"/>
            <w:shd w:val="clear" w:color="auto" w:fill="9BBB59" w:themeFill="accent3"/>
            <w:tcMar>
              <w:top w:w="90" w:type="dxa"/>
              <w:left w:w="120" w:type="dxa"/>
              <w:bottom w:w="90" w:type="dxa"/>
              <w:right w:w="120" w:type="dxa"/>
            </w:tcMar>
            <w:vAlign w:val="center"/>
          </w:tcPr>
          <w:p w14:paraId="4479AEF2">
            <w:pPr>
              <w:jc w:val="left"/>
              <w:rPr>
                <w:color w:val="auto"/>
              </w:rPr>
            </w:pPr>
            <w:r>
              <w:rPr>
                <w:b/>
                <w:bCs/>
                <w:color w:val="auto"/>
                <w:sz w:val="20"/>
                <w:szCs w:val="20"/>
              </w:rPr>
              <w:t>Description</w:t>
            </w:r>
          </w:p>
        </w:tc>
      </w:tr>
      <w:tr w14:paraId="729B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7ED3F84D">
            <w:pPr>
              <w:jc w:val="left"/>
            </w:pPr>
            <w:r>
              <w:rPr>
                <w:b w:val="0"/>
                <w:bCs w:val="0"/>
                <w:color w:val="000000"/>
                <w:sz w:val="20"/>
                <w:szCs w:val="20"/>
              </w:rPr>
              <w:t>person_age</w:t>
            </w:r>
          </w:p>
        </w:tc>
        <w:tc>
          <w:tcPr>
            <w:tcW w:w="6480" w:type="dxa"/>
            <w:shd w:val="clear" w:color="auto" w:fill="F2F6FA"/>
            <w:tcMar>
              <w:top w:w="90" w:type="dxa"/>
              <w:left w:w="120" w:type="dxa"/>
              <w:bottom w:w="90" w:type="dxa"/>
              <w:right w:w="120" w:type="dxa"/>
            </w:tcMar>
            <w:vAlign w:val="center"/>
          </w:tcPr>
          <w:p w14:paraId="55521701">
            <w:pPr>
              <w:jc w:val="left"/>
            </w:pPr>
            <w:r>
              <w:rPr>
                <w:b w:val="0"/>
                <w:bCs w:val="0"/>
                <w:color w:val="000000"/>
                <w:sz w:val="20"/>
                <w:szCs w:val="20"/>
              </w:rPr>
              <w:t>Applicant age (years)</w:t>
            </w:r>
          </w:p>
        </w:tc>
      </w:tr>
      <w:tr w14:paraId="066B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7A37A199">
            <w:pPr>
              <w:jc w:val="left"/>
            </w:pPr>
            <w:r>
              <w:rPr>
                <w:b w:val="0"/>
                <w:bCs w:val="0"/>
                <w:color w:val="000000"/>
                <w:sz w:val="20"/>
                <w:szCs w:val="20"/>
              </w:rPr>
              <w:t>person_income</w:t>
            </w:r>
          </w:p>
        </w:tc>
        <w:tc>
          <w:tcPr>
            <w:tcW w:w="6480" w:type="dxa"/>
            <w:shd w:val="clear" w:color="auto" w:fill="FFFFFF"/>
            <w:tcMar>
              <w:top w:w="90" w:type="dxa"/>
              <w:left w:w="120" w:type="dxa"/>
              <w:bottom w:w="90" w:type="dxa"/>
              <w:right w:w="120" w:type="dxa"/>
            </w:tcMar>
            <w:vAlign w:val="center"/>
          </w:tcPr>
          <w:p w14:paraId="02A1C0C8">
            <w:pPr>
              <w:jc w:val="left"/>
            </w:pPr>
            <w:r>
              <w:rPr>
                <w:b w:val="0"/>
                <w:bCs w:val="0"/>
                <w:color w:val="000000"/>
                <w:sz w:val="20"/>
                <w:szCs w:val="20"/>
              </w:rPr>
              <w:t>Annual income</w:t>
            </w:r>
          </w:p>
        </w:tc>
      </w:tr>
      <w:tr w14:paraId="2BBC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6BF582A6">
            <w:pPr>
              <w:jc w:val="left"/>
            </w:pPr>
            <w:r>
              <w:rPr>
                <w:b w:val="0"/>
                <w:bCs w:val="0"/>
                <w:color w:val="000000"/>
                <w:sz w:val="20"/>
                <w:szCs w:val="20"/>
              </w:rPr>
              <w:t>person_home_ownership</w:t>
            </w:r>
          </w:p>
        </w:tc>
        <w:tc>
          <w:tcPr>
            <w:tcW w:w="6480" w:type="dxa"/>
            <w:shd w:val="clear" w:color="auto" w:fill="F2F6FA"/>
            <w:tcMar>
              <w:top w:w="90" w:type="dxa"/>
              <w:left w:w="120" w:type="dxa"/>
              <w:bottom w:w="90" w:type="dxa"/>
              <w:right w:w="120" w:type="dxa"/>
            </w:tcMar>
            <w:vAlign w:val="center"/>
          </w:tcPr>
          <w:p w14:paraId="700F815C">
            <w:pPr>
              <w:jc w:val="left"/>
            </w:pPr>
            <w:r>
              <w:rPr>
                <w:b w:val="0"/>
                <w:bCs w:val="0"/>
                <w:color w:val="000000"/>
                <w:sz w:val="20"/>
                <w:szCs w:val="20"/>
              </w:rPr>
              <w:t>RENT / OWN / MORTGAGE / OTHER</w:t>
            </w:r>
          </w:p>
        </w:tc>
      </w:tr>
      <w:tr w14:paraId="1DB1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361C5AC6">
            <w:pPr>
              <w:jc w:val="left"/>
            </w:pPr>
            <w:r>
              <w:rPr>
                <w:b w:val="0"/>
                <w:bCs w:val="0"/>
                <w:color w:val="000000"/>
                <w:sz w:val="20"/>
                <w:szCs w:val="20"/>
              </w:rPr>
              <w:t>person_emp_length</w:t>
            </w:r>
          </w:p>
        </w:tc>
        <w:tc>
          <w:tcPr>
            <w:tcW w:w="6480" w:type="dxa"/>
            <w:shd w:val="clear" w:color="auto" w:fill="FFFFFF"/>
            <w:tcMar>
              <w:top w:w="90" w:type="dxa"/>
              <w:left w:w="120" w:type="dxa"/>
              <w:bottom w:w="90" w:type="dxa"/>
              <w:right w:w="120" w:type="dxa"/>
            </w:tcMar>
            <w:vAlign w:val="center"/>
          </w:tcPr>
          <w:p w14:paraId="78D38AA1">
            <w:pPr>
              <w:jc w:val="left"/>
            </w:pPr>
            <w:r>
              <w:rPr>
                <w:b w:val="0"/>
                <w:bCs w:val="0"/>
                <w:color w:val="000000"/>
                <w:sz w:val="20"/>
                <w:szCs w:val="20"/>
              </w:rPr>
              <w:t>Employment length (years)</w:t>
            </w:r>
          </w:p>
        </w:tc>
      </w:tr>
      <w:tr w14:paraId="237E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137867C7">
            <w:pPr>
              <w:jc w:val="left"/>
            </w:pPr>
            <w:r>
              <w:rPr>
                <w:b w:val="0"/>
                <w:bCs w:val="0"/>
                <w:color w:val="000000"/>
                <w:sz w:val="20"/>
                <w:szCs w:val="20"/>
              </w:rPr>
              <w:t>loan_intent</w:t>
            </w:r>
          </w:p>
        </w:tc>
        <w:tc>
          <w:tcPr>
            <w:tcW w:w="6480" w:type="dxa"/>
            <w:shd w:val="clear" w:color="auto" w:fill="F2F6FA"/>
            <w:tcMar>
              <w:top w:w="90" w:type="dxa"/>
              <w:left w:w="120" w:type="dxa"/>
              <w:bottom w:w="90" w:type="dxa"/>
              <w:right w:w="120" w:type="dxa"/>
            </w:tcMar>
            <w:vAlign w:val="center"/>
          </w:tcPr>
          <w:p w14:paraId="147B7232">
            <w:pPr>
              <w:jc w:val="left"/>
            </w:pPr>
            <w:r>
              <w:rPr>
                <w:b w:val="0"/>
                <w:bCs w:val="0"/>
                <w:color w:val="000000"/>
                <w:sz w:val="20"/>
                <w:szCs w:val="20"/>
              </w:rPr>
              <w:t>Purpose of the loan (6 categories)</w:t>
            </w:r>
          </w:p>
        </w:tc>
      </w:tr>
      <w:tr w14:paraId="5E0B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6DA4E3A8">
            <w:pPr>
              <w:jc w:val="left"/>
            </w:pPr>
            <w:r>
              <w:rPr>
                <w:b w:val="0"/>
                <w:bCs w:val="0"/>
                <w:color w:val="000000"/>
                <w:sz w:val="20"/>
                <w:szCs w:val="20"/>
              </w:rPr>
              <w:t>loan_grade</w:t>
            </w:r>
          </w:p>
        </w:tc>
        <w:tc>
          <w:tcPr>
            <w:tcW w:w="6480" w:type="dxa"/>
            <w:shd w:val="clear" w:color="auto" w:fill="FFFFFF"/>
            <w:tcMar>
              <w:top w:w="90" w:type="dxa"/>
              <w:left w:w="120" w:type="dxa"/>
              <w:bottom w:w="90" w:type="dxa"/>
              <w:right w:w="120" w:type="dxa"/>
            </w:tcMar>
            <w:vAlign w:val="center"/>
          </w:tcPr>
          <w:p w14:paraId="67135480">
            <w:pPr>
              <w:jc w:val="left"/>
            </w:pPr>
            <w:r>
              <w:rPr>
                <w:b w:val="0"/>
                <w:bCs w:val="0"/>
                <w:color w:val="000000"/>
                <w:sz w:val="20"/>
                <w:szCs w:val="20"/>
              </w:rPr>
              <w:t>Internal credit grade, A (best) → G (worst)</w:t>
            </w:r>
          </w:p>
        </w:tc>
      </w:tr>
      <w:tr w14:paraId="5EC3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5A8F05DB">
            <w:pPr>
              <w:jc w:val="left"/>
            </w:pPr>
            <w:r>
              <w:rPr>
                <w:b w:val="0"/>
                <w:bCs w:val="0"/>
                <w:color w:val="000000"/>
                <w:sz w:val="20"/>
                <w:szCs w:val="20"/>
              </w:rPr>
              <w:t>loan_amnt</w:t>
            </w:r>
          </w:p>
        </w:tc>
        <w:tc>
          <w:tcPr>
            <w:tcW w:w="6480" w:type="dxa"/>
            <w:shd w:val="clear" w:color="auto" w:fill="F2F6FA"/>
            <w:tcMar>
              <w:top w:w="90" w:type="dxa"/>
              <w:left w:w="120" w:type="dxa"/>
              <w:bottom w:w="90" w:type="dxa"/>
              <w:right w:w="120" w:type="dxa"/>
            </w:tcMar>
            <w:vAlign w:val="center"/>
          </w:tcPr>
          <w:p w14:paraId="64F36A94">
            <w:pPr>
              <w:jc w:val="left"/>
            </w:pPr>
            <w:r>
              <w:rPr>
                <w:b w:val="0"/>
                <w:bCs w:val="0"/>
                <w:color w:val="000000"/>
                <w:sz w:val="20"/>
                <w:szCs w:val="20"/>
              </w:rPr>
              <w:t>Loan amount requested</w:t>
            </w:r>
          </w:p>
        </w:tc>
      </w:tr>
      <w:tr w14:paraId="10A4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13784BA3">
            <w:pPr>
              <w:jc w:val="left"/>
            </w:pPr>
            <w:r>
              <w:rPr>
                <w:b w:val="0"/>
                <w:bCs w:val="0"/>
                <w:color w:val="000000"/>
                <w:sz w:val="20"/>
                <w:szCs w:val="20"/>
              </w:rPr>
              <w:t>loan_int_rate</w:t>
            </w:r>
          </w:p>
        </w:tc>
        <w:tc>
          <w:tcPr>
            <w:tcW w:w="6480" w:type="dxa"/>
            <w:shd w:val="clear" w:color="auto" w:fill="FFFFFF"/>
            <w:tcMar>
              <w:top w:w="90" w:type="dxa"/>
              <w:left w:w="120" w:type="dxa"/>
              <w:bottom w:w="90" w:type="dxa"/>
              <w:right w:w="120" w:type="dxa"/>
            </w:tcMar>
            <w:vAlign w:val="center"/>
          </w:tcPr>
          <w:p w14:paraId="3B473DEE">
            <w:pPr>
              <w:jc w:val="left"/>
            </w:pPr>
            <w:r>
              <w:rPr>
                <w:b w:val="0"/>
                <w:bCs w:val="0"/>
                <w:color w:val="000000"/>
                <w:sz w:val="20"/>
                <w:szCs w:val="20"/>
              </w:rPr>
              <w:t>Interest rate offered (%)</w:t>
            </w:r>
          </w:p>
        </w:tc>
      </w:tr>
      <w:tr w14:paraId="6EAC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28BF1D22">
            <w:pPr>
              <w:jc w:val="left"/>
            </w:pPr>
            <w:r>
              <w:rPr>
                <w:b w:val="0"/>
                <w:bCs w:val="0"/>
                <w:color w:val="000000"/>
                <w:sz w:val="20"/>
                <w:szCs w:val="20"/>
              </w:rPr>
              <w:t>loan_percent_income</w:t>
            </w:r>
          </w:p>
        </w:tc>
        <w:tc>
          <w:tcPr>
            <w:tcW w:w="6480" w:type="dxa"/>
            <w:shd w:val="clear" w:color="auto" w:fill="F2F6FA"/>
            <w:tcMar>
              <w:top w:w="90" w:type="dxa"/>
              <w:left w:w="120" w:type="dxa"/>
              <w:bottom w:w="90" w:type="dxa"/>
              <w:right w:w="120" w:type="dxa"/>
            </w:tcMar>
            <w:vAlign w:val="center"/>
          </w:tcPr>
          <w:p w14:paraId="5AB5C719">
            <w:pPr>
              <w:jc w:val="left"/>
            </w:pPr>
            <w:r>
              <w:rPr>
                <w:b w:val="0"/>
                <w:bCs w:val="0"/>
                <w:color w:val="000000"/>
                <w:sz w:val="20"/>
                <w:szCs w:val="20"/>
              </w:rPr>
              <w:t>Loan amount as a share of income</w:t>
            </w:r>
          </w:p>
        </w:tc>
      </w:tr>
      <w:tr w14:paraId="2D50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7CA1A791">
            <w:pPr>
              <w:jc w:val="left"/>
            </w:pPr>
            <w:r>
              <w:rPr>
                <w:b w:val="0"/>
                <w:bCs w:val="0"/>
                <w:color w:val="000000"/>
                <w:sz w:val="20"/>
                <w:szCs w:val="20"/>
              </w:rPr>
              <w:t>cb_person_default_on_file</w:t>
            </w:r>
          </w:p>
        </w:tc>
        <w:tc>
          <w:tcPr>
            <w:tcW w:w="6480" w:type="dxa"/>
            <w:shd w:val="clear" w:color="auto" w:fill="FFFFFF"/>
            <w:tcMar>
              <w:top w:w="90" w:type="dxa"/>
              <w:left w:w="120" w:type="dxa"/>
              <w:bottom w:w="90" w:type="dxa"/>
              <w:right w:w="120" w:type="dxa"/>
            </w:tcMar>
            <w:vAlign w:val="center"/>
          </w:tcPr>
          <w:p w14:paraId="57F4C88E">
            <w:pPr>
              <w:jc w:val="left"/>
            </w:pPr>
            <w:r>
              <w:rPr>
                <w:b w:val="0"/>
                <w:bCs w:val="0"/>
                <w:color w:val="000000"/>
                <w:sz w:val="20"/>
                <w:szCs w:val="20"/>
              </w:rPr>
              <w:t>Prior default on the credit bureau file (Y/N)</w:t>
            </w:r>
          </w:p>
        </w:tc>
      </w:tr>
      <w:tr w14:paraId="51E51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6FA"/>
            <w:tcMar>
              <w:top w:w="90" w:type="dxa"/>
              <w:left w:w="120" w:type="dxa"/>
              <w:bottom w:w="90" w:type="dxa"/>
              <w:right w:w="120" w:type="dxa"/>
            </w:tcMar>
            <w:vAlign w:val="center"/>
          </w:tcPr>
          <w:p w14:paraId="6E892677">
            <w:pPr>
              <w:jc w:val="left"/>
            </w:pPr>
            <w:r>
              <w:rPr>
                <w:b w:val="0"/>
                <w:bCs w:val="0"/>
                <w:color w:val="000000"/>
                <w:sz w:val="20"/>
                <w:szCs w:val="20"/>
              </w:rPr>
              <w:t>cb_person_cred_hist_length</w:t>
            </w:r>
          </w:p>
        </w:tc>
        <w:tc>
          <w:tcPr>
            <w:tcW w:w="6480" w:type="dxa"/>
            <w:shd w:val="clear" w:color="auto" w:fill="F2F6FA"/>
            <w:tcMar>
              <w:top w:w="90" w:type="dxa"/>
              <w:left w:w="120" w:type="dxa"/>
              <w:bottom w:w="90" w:type="dxa"/>
              <w:right w:w="120" w:type="dxa"/>
            </w:tcMar>
            <w:vAlign w:val="center"/>
          </w:tcPr>
          <w:p w14:paraId="1E94C6C7">
            <w:pPr>
              <w:jc w:val="left"/>
            </w:pPr>
            <w:r>
              <w:rPr>
                <w:b w:val="0"/>
                <w:bCs w:val="0"/>
                <w:color w:val="000000"/>
                <w:sz w:val="20"/>
                <w:szCs w:val="20"/>
              </w:rPr>
              <w:t>Length of credit history (years)</w:t>
            </w:r>
          </w:p>
        </w:tc>
      </w:tr>
      <w:tr w14:paraId="1675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90" w:type="dxa"/>
              <w:left w:w="120" w:type="dxa"/>
              <w:bottom w:w="90" w:type="dxa"/>
              <w:right w:w="120" w:type="dxa"/>
            </w:tcMar>
            <w:vAlign w:val="center"/>
          </w:tcPr>
          <w:p w14:paraId="6D2FBA24">
            <w:pPr>
              <w:jc w:val="left"/>
            </w:pPr>
            <w:r>
              <w:rPr>
                <w:b w:val="0"/>
                <w:bCs w:val="0"/>
                <w:color w:val="000000"/>
                <w:sz w:val="20"/>
                <w:szCs w:val="20"/>
              </w:rPr>
              <w:t>loan_status (target)</w:t>
            </w:r>
          </w:p>
        </w:tc>
        <w:tc>
          <w:tcPr>
            <w:tcW w:w="6480" w:type="dxa"/>
            <w:shd w:val="clear" w:color="auto" w:fill="FFFFFF"/>
            <w:tcMar>
              <w:top w:w="90" w:type="dxa"/>
              <w:left w:w="120" w:type="dxa"/>
              <w:bottom w:w="90" w:type="dxa"/>
              <w:right w:w="120" w:type="dxa"/>
            </w:tcMar>
            <w:vAlign w:val="center"/>
          </w:tcPr>
          <w:p w14:paraId="7F68F1AD">
            <w:pPr>
              <w:jc w:val="left"/>
            </w:pPr>
            <w:r>
              <w:rPr>
                <w:b w:val="0"/>
                <w:bCs w:val="0"/>
                <w:color w:val="000000"/>
                <w:sz w:val="20"/>
                <w:szCs w:val="20"/>
              </w:rPr>
              <w:t>1 = defaulted, 0 = repaid</w:t>
            </w:r>
          </w:p>
        </w:tc>
      </w:tr>
    </w:tbl>
    <w:p w14:paraId="1E052C9F">
      <w:pPr>
        <w:pStyle w:val="2"/>
        <w:pBdr>
          <w:bottom w:val="single" w:color="1F3864" w:sz="6" w:space="4"/>
        </w:pBdr>
        <w:spacing w:before="320" w:after="160"/>
      </w:pPr>
      <w:r>
        <w:rPr>
          <w:b/>
          <w:bCs/>
          <w:color w:val="1F3864"/>
          <w:sz w:val="30"/>
          <w:szCs w:val="30"/>
        </w:rPr>
        <w:t>3. Data Cleaning</w:t>
      </w:r>
    </w:p>
    <w:p w14:paraId="76DC0422">
      <w:pPr>
        <w:pStyle w:val="16"/>
        <w:numPr>
          <w:ilvl w:val="0"/>
          <w:numId w:val="1"/>
        </w:numPr>
        <w:spacing w:after="80" w:line="268" w:lineRule="auto"/>
      </w:pPr>
      <w:r>
        <w:rPr>
          <w:sz w:val="22"/>
          <w:szCs w:val="22"/>
        </w:rPr>
        <w:t>Removed records with person_age above 100 (raw data contained ages up to 144).</w:t>
      </w:r>
    </w:p>
    <w:p w14:paraId="46A4D04C">
      <w:pPr>
        <w:pStyle w:val="16"/>
        <w:numPr>
          <w:ilvl w:val="0"/>
          <w:numId w:val="1"/>
        </w:numPr>
        <w:spacing w:after="80" w:line="268" w:lineRule="auto"/>
      </w:pPr>
      <w:r>
        <w:rPr>
          <w:sz w:val="22"/>
          <w:szCs w:val="22"/>
        </w:rPr>
        <w:t>Treated employment lengths above 60 years, and any employment length exceeding the applicant's age, as data-entry errors and set them to missing for imputation.</w:t>
      </w:r>
    </w:p>
    <w:p w14:paraId="4E6100CC">
      <w:pPr>
        <w:pStyle w:val="16"/>
        <w:numPr>
          <w:ilvl w:val="0"/>
          <w:numId w:val="1"/>
        </w:numPr>
        <w:spacing w:after="80" w:line="268" w:lineRule="auto"/>
      </w:pPr>
      <w:r>
        <w:rPr>
          <w:sz w:val="22"/>
          <w:szCs w:val="22"/>
        </w:rPr>
        <w:t>Capped person_income at its 99.5th percentile rather than dropping high earners, to limit the influence of extreme outliers (raw max was 6,000,000).</w:t>
      </w:r>
    </w:p>
    <w:p w14:paraId="2049CD11">
      <w:pPr>
        <w:pStyle w:val="16"/>
        <w:numPr>
          <w:ilvl w:val="0"/>
          <w:numId w:val="1"/>
        </w:numPr>
        <w:spacing w:after="80" w:line="268" w:lineRule="auto"/>
      </w:pPr>
      <w:r>
        <w:rPr>
          <w:sz w:val="22"/>
          <w:szCs w:val="22"/>
        </w:rPr>
        <w:t>Dropped exact duplicate rows.</w:t>
      </w:r>
    </w:p>
    <w:p w14:paraId="6982EC6E">
      <w:pPr>
        <w:pStyle w:val="16"/>
        <w:numPr>
          <w:ilvl w:val="0"/>
          <w:numId w:val="1"/>
        </w:numPr>
        <w:spacing w:after="80" w:line="268" w:lineRule="auto"/>
      </w:pPr>
      <w:r>
        <w:rPr>
          <w:sz w:val="22"/>
          <w:szCs w:val="22"/>
        </w:rPr>
        <w:t>Missing values in loan_int_rate (9.6%) and person_emp_length (2.7%, plus those newly nulled above) were imputed inside the modelling pipeline (median for numeric features) so no information from the test set leaks into training.</w:t>
      </w:r>
    </w:p>
    <w:p w14:paraId="6842E4F8">
      <w:pPr>
        <w:pStyle w:val="2"/>
        <w:pBdr>
          <w:bottom w:val="single" w:color="1F3864" w:sz="6" w:space="4"/>
        </w:pBdr>
        <w:spacing w:before="320" w:after="160"/>
      </w:pPr>
      <w:r>
        <w:rPr>
          <w:b/>
          <w:bCs/>
          <w:color w:val="1F3864"/>
          <w:sz w:val="30"/>
          <w:szCs w:val="30"/>
        </w:rPr>
        <w:t>4. Feature Engineering</w:t>
      </w:r>
    </w:p>
    <w:p w14:paraId="06020361">
      <w:pPr>
        <w:spacing w:after="160" w:line="276" w:lineRule="auto"/>
      </w:pPr>
      <w:r>
        <w:rPr>
          <w:sz w:val="22"/>
          <w:szCs w:val="22"/>
        </w:rPr>
        <w:t>Seven features were derived from the raw financial history to expose affordability, leverage and credit-maturity signals:</w:t>
      </w:r>
    </w:p>
    <w:p w14:paraId="5C140FE4">
      <w:pPr>
        <w:pStyle w:val="16"/>
        <w:numPr>
          <w:ilvl w:val="0"/>
          <w:numId w:val="1"/>
        </w:numPr>
        <w:spacing w:after="80" w:line="268" w:lineRule="auto"/>
      </w:pPr>
      <w:r>
        <w:rPr>
          <w:sz w:val="22"/>
          <w:szCs w:val="22"/>
        </w:rPr>
        <w:t>interest_to_income — annual interest cost as a share of income</w:t>
      </w:r>
    </w:p>
    <w:p w14:paraId="1AB02EF8">
      <w:pPr>
        <w:pStyle w:val="16"/>
        <w:numPr>
          <w:ilvl w:val="0"/>
          <w:numId w:val="1"/>
        </w:numPr>
        <w:spacing w:after="80" w:line="268" w:lineRule="auto"/>
      </w:pPr>
      <w:r>
        <w:rPr>
          <w:sz w:val="22"/>
          <w:szCs w:val="22"/>
        </w:rPr>
        <w:t>disposable_income — income remaining after the loan amount</w:t>
      </w:r>
    </w:p>
    <w:p w14:paraId="5309B7B6">
      <w:pPr>
        <w:pStyle w:val="16"/>
        <w:numPr>
          <w:ilvl w:val="0"/>
          <w:numId w:val="1"/>
        </w:numPr>
        <w:spacing w:after="80" w:line="268" w:lineRule="auto"/>
      </w:pPr>
      <w:r>
        <w:rPr>
          <w:sz w:val="22"/>
          <w:szCs w:val="22"/>
        </w:rPr>
        <w:t>loan_to_income — loan amount as a share of income (leverage)</w:t>
      </w:r>
    </w:p>
    <w:p w14:paraId="50468893">
      <w:pPr>
        <w:pStyle w:val="16"/>
        <w:numPr>
          <w:ilvl w:val="0"/>
          <w:numId w:val="1"/>
        </w:numPr>
        <w:spacing w:after="80" w:line="268" w:lineRule="auto"/>
      </w:pPr>
      <w:r>
        <w:rPr>
          <w:sz w:val="22"/>
          <w:szCs w:val="22"/>
        </w:rPr>
        <w:t>log_income — log-transformed income to reduce right-skew</w:t>
      </w:r>
    </w:p>
    <w:p w14:paraId="5276D864">
      <w:pPr>
        <w:pStyle w:val="16"/>
        <w:numPr>
          <w:ilvl w:val="0"/>
          <w:numId w:val="1"/>
        </w:numPr>
        <w:spacing w:after="80" w:line="268" w:lineRule="auto"/>
      </w:pPr>
      <w:r>
        <w:rPr>
          <w:sz w:val="22"/>
          <w:szCs w:val="22"/>
        </w:rPr>
        <w:t>cred_hist_ratio — credit history length relative to adult years lived</w:t>
      </w:r>
    </w:p>
    <w:p w14:paraId="67D29B59">
      <w:pPr>
        <w:pStyle w:val="16"/>
        <w:numPr>
          <w:ilvl w:val="0"/>
          <w:numId w:val="1"/>
        </w:numPr>
        <w:spacing w:after="80" w:line="268" w:lineRule="auto"/>
      </w:pPr>
      <w:r>
        <w:rPr>
          <w:sz w:val="22"/>
          <w:szCs w:val="22"/>
        </w:rPr>
        <w:t>emp_stability — employment length relative to adult years lived</w:t>
      </w:r>
    </w:p>
    <w:p w14:paraId="3C1BE9AB">
      <w:pPr>
        <w:pStyle w:val="16"/>
        <w:numPr>
          <w:ilvl w:val="0"/>
          <w:numId w:val="1"/>
        </w:numPr>
        <w:spacing w:after="80" w:line="268" w:lineRule="auto"/>
      </w:pPr>
      <w:r>
        <w:rPr>
          <w:sz w:val="22"/>
          <w:szCs w:val="22"/>
        </w:rPr>
        <w:t>loan_grade_ord — ordinal encoding of the lender's credit grade (A=1 … G=7)</w:t>
      </w:r>
    </w:p>
    <w:p w14:paraId="7F883CDB">
      <w:pPr>
        <w:pStyle w:val="16"/>
        <w:numPr>
          <w:ilvl w:val="0"/>
          <w:numId w:val="1"/>
        </w:numPr>
        <w:spacing w:after="80" w:line="268" w:lineRule="auto"/>
      </w:pPr>
      <w:r>
        <w:rPr>
          <w:sz w:val="22"/>
          <w:szCs w:val="22"/>
        </w:rPr>
        <w:t>prior_default — binary flag for a prior default on the credit bureau file</w:t>
      </w:r>
    </w:p>
    <w:p w14:paraId="74B58900">
      <w:pPr>
        <w:pStyle w:val="2"/>
        <w:pBdr>
          <w:bottom w:val="single" w:color="1F3864" w:sz="6" w:space="4"/>
        </w:pBdr>
        <w:spacing w:before="320" w:after="160"/>
      </w:pPr>
      <w:r>
        <w:rPr>
          <w:b/>
          <w:bCs/>
          <w:color w:val="1F3864"/>
          <w:sz w:val="30"/>
          <w:szCs w:val="30"/>
        </w:rPr>
        <w:t>5. Modelling Approach</w:t>
      </w:r>
    </w:p>
    <w:p w14:paraId="51872B49">
      <w:pPr>
        <w:spacing w:after="160" w:line="276" w:lineRule="auto"/>
      </w:pPr>
      <w:r>
        <w:rPr>
          <w:sz w:val="22"/>
          <w:szCs w:val="22"/>
        </w:rPr>
        <w:t>All preprocessing (median/most-frequent imputation, standard scaling, one-hot encoding) was wrapped in a single scikit-learn Pipeline so that statistics are learned only on the training fold, eliminating leakage into cross-validation and the test set. Data was split 80/20 with stratification on the target (25,928 training rows, 6,483 test rows).</w:t>
      </w:r>
    </w:p>
    <w:p w14:paraId="25B7B0DF">
      <w:pPr>
        <w:spacing w:after="160" w:line="276" w:lineRule="auto"/>
      </w:pPr>
      <w:r>
        <w:rPr>
          <w:sz w:val="22"/>
          <w:szCs w:val="22"/>
        </w:rPr>
        <w:t>Four classification algorithms were trained and evaluated with identical preprocessing: Logistic Regression and Decision Tree (both class-weight balanced to offset the 78/22 imbalance), Random Forest, and Gradient Boosting. The best-performing model by F1-Score was then tuned with RandomizedSearchCV (cross-validated on F1), and its decision threshold was swept from 0.05 to 0.95 to find the operating point that maximises F1 rather than relying on the default 0.50 cut-off.</w:t>
      </w:r>
    </w:p>
    <w:p w14:paraId="6CBA5C47">
      <w:pPr>
        <w:pStyle w:val="2"/>
        <w:pBdr>
          <w:bottom w:val="single" w:color="1F3864" w:sz="6" w:space="4"/>
        </w:pBdr>
        <w:spacing w:before="320" w:after="160"/>
      </w:pPr>
      <w:r>
        <w:rPr>
          <w:b/>
          <w:bCs/>
          <w:color w:val="1F3864"/>
          <w:sz w:val="30"/>
          <w:szCs w:val="30"/>
        </w:rPr>
        <w:t>6. Model Comparison</w:t>
      </w:r>
    </w:p>
    <w:p w14:paraId="314D6029">
      <w:pPr>
        <w:spacing w:after="160" w:line="276" w:lineRule="auto"/>
      </w:pPr>
      <w:r>
        <w:rPr>
          <w:sz w:val="22"/>
          <w:szCs w:val="22"/>
        </w:rPr>
        <w:t>Results on the held-out test set (6,483 applications), ranked by F1-Score. Gradient Boosting (Tuned) is the selected model — highlighted below.</w:t>
      </w:r>
    </w:p>
    <w:tbl>
      <w:tblPr>
        <w:tblStyle w:val="9"/>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180"/>
        <w:gridCol w:w="1180"/>
        <w:gridCol w:w="1180"/>
        <w:gridCol w:w="1180"/>
        <w:gridCol w:w="1180"/>
        <w:gridCol w:w="1180"/>
      </w:tblGrid>
      <w:tr w14:paraId="15B4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9BBB59" w:themeFill="accent3"/>
            <w:tcMar>
              <w:top w:w="90" w:type="dxa"/>
              <w:left w:w="120" w:type="dxa"/>
              <w:bottom w:w="90" w:type="dxa"/>
              <w:right w:w="120" w:type="dxa"/>
            </w:tcMar>
            <w:vAlign w:val="center"/>
          </w:tcPr>
          <w:p w14:paraId="7936EB05">
            <w:pPr>
              <w:jc w:val="center"/>
            </w:pPr>
            <w:r>
              <w:rPr>
                <w:b/>
                <w:bCs/>
                <w:color w:val="FFFFFF"/>
                <w:sz w:val="20"/>
                <w:szCs w:val="20"/>
              </w:rPr>
              <w:t>Model</w:t>
            </w:r>
          </w:p>
        </w:tc>
        <w:tc>
          <w:tcPr>
            <w:tcW w:w="1180" w:type="dxa"/>
            <w:shd w:val="clear" w:color="auto" w:fill="9BBB59" w:themeFill="accent3"/>
            <w:tcMar>
              <w:top w:w="90" w:type="dxa"/>
              <w:left w:w="120" w:type="dxa"/>
              <w:bottom w:w="90" w:type="dxa"/>
              <w:right w:w="120" w:type="dxa"/>
            </w:tcMar>
            <w:vAlign w:val="center"/>
          </w:tcPr>
          <w:p w14:paraId="30E6FD61">
            <w:pPr>
              <w:jc w:val="center"/>
            </w:pPr>
            <w:r>
              <w:rPr>
                <w:b/>
                <w:bCs/>
                <w:color w:val="FFFFFF"/>
                <w:sz w:val="20"/>
                <w:szCs w:val="20"/>
              </w:rPr>
              <w:t>Accuracy</w:t>
            </w:r>
          </w:p>
        </w:tc>
        <w:tc>
          <w:tcPr>
            <w:tcW w:w="1180" w:type="dxa"/>
            <w:shd w:val="clear" w:color="auto" w:fill="9BBB59" w:themeFill="accent3"/>
            <w:tcMar>
              <w:top w:w="90" w:type="dxa"/>
              <w:left w:w="120" w:type="dxa"/>
              <w:bottom w:w="90" w:type="dxa"/>
              <w:right w:w="120" w:type="dxa"/>
            </w:tcMar>
            <w:vAlign w:val="center"/>
          </w:tcPr>
          <w:p w14:paraId="7AFD78F7">
            <w:pPr>
              <w:jc w:val="center"/>
            </w:pPr>
            <w:r>
              <w:rPr>
                <w:b/>
                <w:bCs/>
                <w:color w:val="FFFFFF"/>
                <w:sz w:val="20"/>
                <w:szCs w:val="20"/>
              </w:rPr>
              <w:t>Precision</w:t>
            </w:r>
          </w:p>
        </w:tc>
        <w:tc>
          <w:tcPr>
            <w:tcW w:w="1180" w:type="dxa"/>
            <w:shd w:val="clear" w:color="auto" w:fill="9BBB59" w:themeFill="accent3"/>
            <w:tcMar>
              <w:top w:w="90" w:type="dxa"/>
              <w:left w:w="120" w:type="dxa"/>
              <w:bottom w:w="90" w:type="dxa"/>
              <w:right w:w="120" w:type="dxa"/>
            </w:tcMar>
            <w:vAlign w:val="center"/>
          </w:tcPr>
          <w:p w14:paraId="34F4BE07">
            <w:pPr>
              <w:jc w:val="center"/>
            </w:pPr>
            <w:r>
              <w:rPr>
                <w:b/>
                <w:bCs/>
                <w:color w:val="FFFFFF"/>
                <w:sz w:val="20"/>
                <w:szCs w:val="20"/>
              </w:rPr>
              <w:t>Recall</w:t>
            </w:r>
          </w:p>
        </w:tc>
        <w:tc>
          <w:tcPr>
            <w:tcW w:w="1180" w:type="dxa"/>
            <w:shd w:val="clear" w:color="auto" w:fill="9BBB59" w:themeFill="accent3"/>
            <w:tcMar>
              <w:top w:w="90" w:type="dxa"/>
              <w:left w:w="120" w:type="dxa"/>
              <w:bottom w:w="90" w:type="dxa"/>
              <w:right w:w="120" w:type="dxa"/>
            </w:tcMar>
            <w:vAlign w:val="center"/>
          </w:tcPr>
          <w:p w14:paraId="32E752E8">
            <w:pPr>
              <w:jc w:val="center"/>
            </w:pPr>
            <w:r>
              <w:rPr>
                <w:b/>
                <w:bCs/>
                <w:color w:val="FFFFFF"/>
                <w:sz w:val="20"/>
                <w:szCs w:val="20"/>
              </w:rPr>
              <w:t>F1-Score</w:t>
            </w:r>
          </w:p>
        </w:tc>
        <w:tc>
          <w:tcPr>
            <w:tcW w:w="1180" w:type="dxa"/>
            <w:shd w:val="clear" w:color="auto" w:fill="9BBB59" w:themeFill="accent3"/>
            <w:tcMar>
              <w:top w:w="90" w:type="dxa"/>
              <w:left w:w="120" w:type="dxa"/>
              <w:bottom w:w="90" w:type="dxa"/>
              <w:right w:w="120" w:type="dxa"/>
            </w:tcMar>
            <w:vAlign w:val="center"/>
          </w:tcPr>
          <w:p w14:paraId="771FB023">
            <w:pPr>
              <w:jc w:val="center"/>
            </w:pPr>
            <w:r>
              <w:rPr>
                <w:b/>
                <w:bCs/>
                <w:color w:val="FFFFFF"/>
                <w:sz w:val="20"/>
                <w:szCs w:val="20"/>
              </w:rPr>
              <w:t>ROC-AUC</w:t>
            </w:r>
          </w:p>
        </w:tc>
        <w:tc>
          <w:tcPr>
            <w:tcW w:w="1180" w:type="dxa"/>
            <w:shd w:val="clear" w:color="auto" w:fill="9BBB59" w:themeFill="accent3"/>
            <w:tcMar>
              <w:top w:w="90" w:type="dxa"/>
              <w:left w:w="120" w:type="dxa"/>
              <w:bottom w:w="90" w:type="dxa"/>
              <w:right w:w="120" w:type="dxa"/>
            </w:tcMar>
            <w:vAlign w:val="center"/>
          </w:tcPr>
          <w:p w14:paraId="19494F91">
            <w:pPr>
              <w:jc w:val="center"/>
            </w:pPr>
            <w:r>
              <w:rPr>
                <w:b/>
                <w:bCs/>
                <w:color w:val="FFFFFF"/>
                <w:sz w:val="20"/>
                <w:szCs w:val="20"/>
              </w:rPr>
              <w:t>PR-AUC</w:t>
            </w:r>
          </w:p>
        </w:tc>
      </w:tr>
      <w:tr w14:paraId="1EBC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E9A8"/>
            <w:tcMar>
              <w:top w:w="90" w:type="dxa"/>
              <w:left w:w="120" w:type="dxa"/>
              <w:bottom w:w="90" w:type="dxa"/>
              <w:right w:w="120" w:type="dxa"/>
            </w:tcMar>
            <w:vAlign w:val="center"/>
          </w:tcPr>
          <w:p w14:paraId="3F2C3894">
            <w:pPr>
              <w:jc w:val="left"/>
            </w:pPr>
            <w:r>
              <w:rPr>
                <w:b/>
                <w:bCs/>
                <w:color w:val="000000"/>
                <w:sz w:val="20"/>
                <w:szCs w:val="20"/>
              </w:rPr>
              <w:t>Gradient Boosting (Tuned)</w:t>
            </w:r>
          </w:p>
        </w:tc>
        <w:tc>
          <w:tcPr>
            <w:tcW w:w="1180" w:type="dxa"/>
            <w:shd w:val="clear" w:color="auto" w:fill="FFE9A8"/>
            <w:tcMar>
              <w:top w:w="90" w:type="dxa"/>
              <w:left w:w="120" w:type="dxa"/>
              <w:bottom w:w="90" w:type="dxa"/>
              <w:right w:w="120" w:type="dxa"/>
            </w:tcMar>
            <w:vAlign w:val="center"/>
          </w:tcPr>
          <w:p w14:paraId="0E8D3CB2">
            <w:pPr>
              <w:jc w:val="center"/>
            </w:pPr>
            <w:r>
              <w:rPr>
                <w:b/>
                <w:bCs/>
                <w:color w:val="000000"/>
                <w:sz w:val="20"/>
                <w:szCs w:val="20"/>
              </w:rPr>
              <w:t>0.9346</w:t>
            </w:r>
          </w:p>
        </w:tc>
        <w:tc>
          <w:tcPr>
            <w:tcW w:w="1180" w:type="dxa"/>
            <w:shd w:val="clear" w:color="auto" w:fill="FFE9A8"/>
            <w:tcMar>
              <w:top w:w="90" w:type="dxa"/>
              <w:left w:w="120" w:type="dxa"/>
              <w:bottom w:w="90" w:type="dxa"/>
              <w:right w:w="120" w:type="dxa"/>
            </w:tcMar>
            <w:vAlign w:val="center"/>
          </w:tcPr>
          <w:p w14:paraId="61A52D07">
            <w:pPr>
              <w:jc w:val="center"/>
            </w:pPr>
            <w:r>
              <w:rPr>
                <w:b/>
                <w:bCs/>
                <w:color w:val="000000"/>
                <w:sz w:val="20"/>
                <w:szCs w:val="20"/>
              </w:rPr>
              <w:t>0.9502</w:t>
            </w:r>
          </w:p>
        </w:tc>
        <w:tc>
          <w:tcPr>
            <w:tcW w:w="1180" w:type="dxa"/>
            <w:shd w:val="clear" w:color="auto" w:fill="FFE9A8"/>
            <w:tcMar>
              <w:top w:w="90" w:type="dxa"/>
              <w:left w:w="120" w:type="dxa"/>
              <w:bottom w:w="90" w:type="dxa"/>
              <w:right w:w="120" w:type="dxa"/>
            </w:tcMar>
            <w:vAlign w:val="center"/>
          </w:tcPr>
          <w:p w14:paraId="68B3E905">
            <w:pPr>
              <w:jc w:val="center"/>
            </w:pPr>
            <w:r>
              <w:rPr>
                <w:b/>
                <w:bCs/>
                <w:color w:val="000000"/>
                <w:sz w:val="20"/>
                <w:szCs w:val="20"/>
              </w:rPr>
              <w:t>0.7398</w:t>
            </w:r>
          </w:p>
        </w:tc>
        <w:tc>
          <w:tcPr>
            <w:tcW w:w="1180" w:type="dxa"/>
            <w:shd w:val="clear" w:color="auto" w:fill="FFE9A8"/>
            <w:tcMar>
              <w:top w:w="90" w:type="dxa"/>
              <w:left w:w="120" w:type="dxa"/>
              <w:bottom w:w="90" w:type="dxa"/>
              <w:right w:w="120" w:type="dxa"/>
            </w:tcMar>
            <w:vAlign w:val="center"/>
          </w:tcPr>
          <w:p w14:paraId="05F6F894">
            <w:pPr>
              <w:jc w:val="center"/>
            </w:pPr>
            <w:r>
              <w:rPr>
                <w:b/>
                <w:bCs/>
                <w:color w:val="000000"/>
                <w:sz w:val="20"/>
                <w:szCs w:val="20"/>
              </w:rPr>
              <w:t>0.8319</w:t>
            </w:r>
          </w:p>
        </w:tc>
        <w:tc>
          <w:tcPr>
            <w:tcW w:w="1180" w:type="dxa"/>
            <w:shd w:val="clear" w:color="auto" w:fill="FFE9A8"/>
            <w:tcMar>
              <w:top w:w="90" w:type="dxa"/>
              <w:left w:w="120" w:type="dxa"/>
              <w:bottom w:w="90" w:type="dxa"/>
              <w:right w:w="120" w:type="dxa"/>
            </w:tcMar>
            <w:vAlign w:val="center"/>
          </w:tcPr>
          <w:p w14:paraId="499AEAC2">
            <w:pPr>
              <w:jc w:val="center"/>
            </w:pPr>
            <w:r>
              <w:rPr>
                <w:b/>
                <w:bCs/>
                <w:color w:val="000000"/>
                <w:sz w:val="20"/>
                <w:szCs w:val="20"/>
              </w:rPr>
              <w:t>0.9408</w:t>
            </w:r>
          </w:p>
        </w:tc>
        <w:tc>
          <w:tcPr>
            <w:tcW w:w="1180" w:type="dxa"/>
            <w:shd w:val="clear" w:color="auto" w:fill="FFE9A8"/>
            <w:tcMar>
              <w:top w:w="90" w:type="dxa"/>
              <w:left w:w="120" w:type="dxa"/>
              <w:bottom w:w="90" w:type="dxa"/>
              <w:right w:w="120" w:type="dxa"/>
            </w:tcMar>
            <w:vAlign w:val="center"/>
          </w:tcPr>
          <w:p w14:paraId="32F0C977">
            <w:pPr>
              <w:jc w:val="center"/>
            </w:pPr>
            <w:r>
              <w:rPr>
                <w:b/>
                <w:bCs/>
                <w:color w:val="000000"/>
                <w:sz w:val="20"/>
                <w:szCs w:val="20"/>
              </w:rPr>
              <w:t>0.8953</w:t>
            </w:r>
          </w:p>
        </w:tc>
      </w:tr>
      <w:tr w14:paraId="613D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43B6AAC3">
            <w:pPr>
              <w:jc w:val="left"/>
            </w:pPr>
            <w:r>
              <w:rPr>
                <w:b w:val="0"/>
                <w:bCs w:val="0"/>
                <w:color w:val="000000"/>
                <w:sz w:val="20"/>
                <w:szCs w:val="20"/>
              </w:rPr>
              <w:t>Gradient Boosting</w:t>
            </w:r>
          </w:p>
        </w:tc>
        <w:tc>
          <w:tcPr>
            <w:tcW w:w="1180" w:type="dxa"/>
            <w:shd w:val="clear" w:color="auto" w:fill="FFFFFF"/>
            <w:tcMar>
              <w:top w:w="90" w:type="dxa"/>
              <w:left w:w="120" w:type="dxa"/>
              <w:bottom w:w="90" w:type="dxa"/>
              <w:right w:w="120" w:type="dxa"/>
            </w:tcMar>
            <w:vAlign w:val="center"/>
          </w:tcPr>
          <w:p w14:paraId="70B39D0D">
            <w:pPr>
              <w:jc w:val="center"/>
            </w:pPr>
            <w:r>
              <w:rPr>
                <w:b w:val="0"/>
                <w:bCs w:val="0"/>
                <w:color w:val="000000"/>
                <w:sz w:val="20"/>
                <w:szCs w:val="20"/>
              </w:rPr>
              <w:t>0.9292</w:t>
            </w:r>
          </w:p>
        </w:tc>
        <w:tc>
          <w:tcPr>
            <w:tcW w:w="1180" w:type="dxa"/>
            <w:shd w:val="clear" w:color="auto" w:fill="FFFFFF"/>
            <w:tcMar>
              <w:top w:w="90" w:type="dxa"/>
              <w:left w:w="120" w:type="dxa"/>
              <w:bottom w:w="90" w:type="dxa"/>
              <w:right w:w="120" w:type="dxa"/>
            </w:tcMar>
            <w:vAlign w:val="center"/>
          </w:tcPr>
          <w:p w14:paraId="155B1026">
            <w:pPr>
              <w:jc w:val="center"/>
            </w:pPr>
            <w:r>
              <w:rPr>
                <w:b w:val="0"/>
                <w:bCs w:val="0"/>
                <w:color w:val="000000"/>
                <w:sz w:val="20"/>
                <w:szCs w:val="20"/>
              </w:rPr>
              <w:t>0.9395</w:t>
            </w:r>
          </w:p>
        </w:tc>
        <w:tc>
          <w:tcPr>
            <w:tcW w:w="1180" w:type="dxa"/>
            <w:shd w:val="clear" w:color="auto" w:fill="FFFFFF"/>
            <w:tcMar>
              <w:top w:w="90" w:type="dxa"/>
              <w:left w:w="120" w:type="dxa"/>
              <w:bottom w:w="90" w:type="dxa"/>
              <w:right w:w="120" w:type="dxa"/>
            </w:tcMar>
            <w:vAlign w:val="center"/>
          </w:tcPr>
          <w:p w14:paraId="48EF25D3">
            <w:pPr>
              <w:jc w:val="center"/>
            </w:pPr>
            <w:r>
              <w:rPr>
                <w:b w:val="0"/>
                <w:bCs w:val="0"/>
                <w:color w:val="000000"/>
                <w:sz w:val="20"/>
                <w:szCs w:val="20"/>
              </w:rPr>
              <w:t>0.7228</w:t>
            </w:r>
          </w:p>
        </w:tc>
        <w:tc>
          <w:tcPr>
            <w:tcW w:w="1180" w:type="dxa"/>
            <w:shd w:val="clear" w:color="auto" w:fill="FFFFFF"/>
            <w:tcMar>
              <w:top w:w="90" w:type="dxa"/>
              <w:left w:w="120" w:type="dxa"/>
              <w:bottom w:w="90" w:type="dxa"/>
              <w:right w:w="120" w:type="dxa"/>
            </w:tcMar>
            <w:vAlign w:val="center"/>
          </w:tcPr>
          <w:p w14:paraId="22F56D1B">
            <w:pPr>
              <w:jc w:val="center"/>
            </w:pPr>
            <w:r>
              <w:rPr>
                <w:b w:val="0"/>
                <w:bCs w:val="0"/>
                <w:color w:val="000000"/>
                <w:sz w:val="20"/>
                <w:szCs w:val="20"/>
              </w:rPr>
              <w:t>0.8171</w:t>
            </w:r>
          </w:p>
        </w:tc>
        <w:tc>
          <w:tcPr>
            <w:tcW w:w="1180" w:type="dxa"/>
            <w:shd w:val="clear" w:color="auto" w:fill="FFFFFF"/>
            <w:tcMar>
              <w:top w:w="90" w:type="dxa"/>
              <w:left w:w="120" w:type="dxa"/>
              <w:bottom w:w="90" w:type="dxa"/>
              <w:right w:w="120" w:type="dxa"/>
            </w:tcMar>
            <w:vAlign w:val="center"/>
          </w:tcPr>
          <w:p w14:paraId="47A621E5">
            <w:pPr>
              <w:jc w:val="center"/>
            </w:pPr>
            <w:r>
              <w:rPr>
                <w:b w:val="0"/>
                <w:bCs w:val="0"/>
                <w:color w:val="000000"/>
                <w:sz w:val="20"/>
                <w:szCs w:val="20"/>
              </w:rPr>
              <w:t>0.9294</w:t>
            </w:r>
          </w:p>
        </w:tc>
        <w:tc>
          <w:tcPr>
            <w:tcW w:w="1180" w:type="dxa"/>
            <w:shd w:val="clear" w:color="auto" w:fill="FFFFFF"/>
            <w:tcMar>
              <w:top w:w="90" w:type="dxa"/>
              <w:left w:w="120" w:type="dxa"/>
              <w:bottom w:w="90" w:type="dxa"/>
              <w:right w:w="120" w:type="dxa"/>
            </w:tcMar>
            <w:vAlign w:val="center"/>
          </w:tcPr>
          <w:p w14:paraId="447C2341">
            <w:pPr>
              <w:jc w:val="center"/>
            </w:pPr>
            <w:r>
              <w:rPr>
                <w:b w:val="0"/>
                <w:bCs w:val="0"/>
                <w:color w:val="000000"/>
                <w:sz w:val="20"/>
                <w:szCs w:val="20"/>
              </w:rPr>
              <w:t>0.8783</w:t>
            </w:r>
          </w:p>
        </w:tc>
      </w:tr>
      <w:tr w14:paraId="2A585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90" w:type="dxa"/>
              <w:left w:w="120" w:type="dxa"/>
              <w:bottom w:w="90" w:type="dxa"/>
              <w:right w:w="120" w:type="dxa"/>
            </w:tcMar>
            <w:vAlign w:val="center"/>
          </w:tcPr>
          <w:p w14:paraId="5CB358B7">
            <w:pPr>
              <w:jc w:val="left"/>
            </w:pPr>
            <w:r>
              <w:rPr>
                <w:b w:val="0"/>
                <w:bCs w:val="0"/>
                <w:color w:val="000000"/>
                <w:sz w:val="20"/>
                <w:szCs w:val="20"/>
              </w:rPr>
              <w:t>Random Forest</w:t>
            </w:r>
          </w:p>
        </w:tc>
        <w:tc>
          <w:tcPr>
            <w:tcW w:w="1180" w:type="dxa"/>
            <w:shd w:val="clear" w:color="auto" w:fill="F2F6FA"/>
            <w:tcMar>
              <w:top w:w="90" w:type="dxa"/>
              <w:left w:w="120" w:type="dxa"/>
              <w:bottom w:w="90" w:type="dxa"/>
              <w:right w:w="120" w:type="dxa"/>
            </w:tcMar>
            <w:vAlign w:val="center"/>
          </w:tcPr>
          <w:p w14:paraId="3E570248">
            <w:pPr>
              <w:jc w:val="center"/>
            </w:pPr>
            <w:r>
              <w:rPr>
                <w:b w:val="0"/>
                <w:bCs w:val="0"/>
                <w:color w:val="000000"/>
                <w:sz w:val="20"/>
                <w:szCs w:val="20"/>
              </w:rPr>
              <w:t>0.9266</w:t>
            </w:r>
          </w:p>
        </w:tc>
        <w:tc>
          <w:tcPr>
            <w:tcW w:w="1180" w:type="dxa"/>
            <w:shd w:val="clear" w:color="auto" w:fill="F2F6FA"/>
            <w:tcMar>
              <w:top w:w="90" w:type="dxa"/>
              <w:left w:w="120" w:type="dxa"/>
              <w:bottom w:w="90" w:type="dxa"/>
              <w:right w:w="120" w:type="dxa"/>
            </w:tcMar>
            <w:vAlign w:val="center"/>
          </w:tcPr>
          <w:p w14:paraId="2D2FCF6E">
            <w:pPr>
              <w:jc w:val="center"/>
            </w:pPr>
            <w:r>
              <w:rPr>
                <w:b w:val="0"/>
                <w:bCs w:val="0"/>
                <w:color w:val="000000"/>
                <w:sz w:val="20"/>
                <w:szCs w:val="20"/>
              </w:rPr>
              <w:t>0.9443</w:t>
            </w:r>
          </w:p>
        </w:tc>
        <w:tc>
          <w:tcPr>
            <w:tcW w:w="1180" w:type="dxa"/>
            <w:shd w:val="clear" w:color="auto" w:fill="F2F6FA"/>
            <w:tcMar>
              <w:top w:w="90" w:type="dxa"/>
              <w:left w:w="120" w:type="dxa"/>
              <w:bottom w:w="90" w:type="dxa"/>
              <w:right w:w="120" w:type="dxa"/>
            </w:tcMar>
            <w:vAlign w:val="center"/>
          </w:tcPr>
          <w:p w14:paraId="2282D8AE">
            <w:pPr>
              <w:jc w:val="center"/>
            </w:pPr>
            <w:r>
              <w:rPr>
                <w:b w:val="0"/>
                <w:bCs w:val="0"/>
                <w:color w:val="000000"/>
                <w:sz w:val="20"/>
                <w:szCs w:val="20"/>
              </w:rPr>
              <w:t>0.7059</w:t>
            </w:r>
          </w:p>
        </w:tc>
        <w:tc>
          <w:tcPr>
            <w:tcW w:w="1180" w:type="dxa"/>
            <w:shd w:val="clear" w:color="auto" w:fill="F2F6FA"/>
            <w:tcMar>
              <w:top w:w="90" w:type="dxa"/>
              <w:left w:w="120" w:type="dxa"/>
              <w:bottom w:w="90" w:type="dxa"/>
              <w:right w:w="120" w:type="dxa"/>
            </w:tcMar>
            <w:vAlign w:val="center"/>
          </w:tcPr>
          <w:p w14:paraId="13CE7FFB">
            <w:pPr>
              <w:jc w:val="center"/>
            </w:pPr>
            <w:r>
              <w:rPr>
                <w:b w:val="0"/>
                <w:bCs w:val="0"/>
                <w:color w:val="000000"/>
                <w:sz w:val="20"/>
                <w:szCs w:val="20"/>
              </w:rPr>
              <w:t>0.8079</w:t>
            </w:r>
          </w:p>
        </w:tc>
        <w:tc>
          <w:tcPr>
            <w:tcW w:w="1180" w:type="dxa"/>
            <w:shd w:val="clear" w:color="auto" w:fill="F2F6FA"/>
            <w:tcMar>
              <w:top w:w="90" w:type="dxa"/>
              <w:left w:w="120" w:type="dxa"/>
              <w:bottom w:w="90" w:type="dxa"/>
              <w:right w:w="120" w:type="dxa"/>
            </w:tcMar>
            <w:vAlign w:val="center"/>
          </w:tcPr>
          <w:p w14:paraId="0EBBBE7C">
            <w:pPr>
              <w:jc w:val="center"/>
            </w:pPr>
            <w:r>
              <w:rPr>
                <w:b w:val="0"/>
                <w:bCs w:val="0"/>
                <w:color w:val="000000"/>
                <w:sz w:val="20"/>
                <w:szCs w:val="20"/>
              </w:rPr>
              <w:t>0.9241</w:t>
            </w:r>
          </w:p>
        </w:tc>
        <w:tc>
          <w:tcPr>
            <w:tcW w:w="1180" w:type="dxa"/>
            <w:shd w:val="clear" w:color="auto" w:fill="F2F6FA"/>
            <w:tcMar>
              <w:top w:w="90" w:type="dxa"/>
              <w:left w:w="120" w:type="dxa"/>
              <w:bottom w:w="90" w:type="dxa"/>
              <w:right w:w="120" w:type="dxa"/>
            </w:tcMar>
            <w:vAlign w:val="center"/>
          </w:tcPr>
          <w:p w14:paraId="3A9FC3B8">
            <w:pPr>
              <w:jc w:val="center"/>
            </w:pPr>
            <w:r>
              <w:rPr>
                <w:b w:val="0"/>
                <w:bCs w:val="0"/>
                <w:color w:val="000000"/>
                <w:sz w:val="20"/>
                <w:szCs w:val="20"/>
              </w:rPr>
              <w:t>0.8755</w:t>
            </w:r>
          </w:p>
        </w:tc>
      </w:tr>
      <w:tr w14:paraId="02CE0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90" w:type="dxa"/>
              <w:left w:w="120" w:type="dxa"/>
              <w:bottom w:w="90" w:type="dxa"/>
              <w:right w:w="120" w:type="dxa"/>
            </w:tcMar>
            <w:vAlign w:val="center"/>
          </w:tcPr>
          <w:p w14:paraId="35C60396">
            <w:pPr>
              <w:jc w:val="left"/>
            </w:pPr>
            <w:r>
              <w:rPr>
                <w:b w:val="0"/>
                <w:bCs w:val="0"/>
                <w:color w:val="000000"/>
                <w:sz w:val="20"/>
                <w:szCs w:val="20"/>
              </w:rPr>
              <w:t>Decision Tree</w:t>
            </w:r>
          </w:p>
        </w:tc>
        <w:tc>
          <w:tcPr>
            <w:tcW w:w="1180" w:type="dxa"/>
            <w:shd w:val="clear" w:color="auto" w:fill="FFFFFF"/>
            <w:tcMar>
              <w:top w:w="90" w:type="dxa"/>
              <w:left w:w="120" w:type="dxa"/>
              <w:bottom w:w="90" w:type="dxa"/>
              <w:right w:w="120" w:type="dxa"/>
            </w:tcMar>
            <w:vAlign w:val="center"/>
          </w:tcPr>
          <w:p w14:paraId="56E51757">
            <w:pPr>
              <w:jc w:val="center"/>
            </w:pPr>
            <w:r>
              <w:rPr>
                <w:b w:val="0"/>
                <w:bCs w:val="0"/>
                <w:color w:val="000000"/>
                <w:sz w:val="20"/>
                <w:szCs w:val="20"/>
              </w:rPr>
              <w:t>0.9007</w:t>
            </w:r>
          </w:p>
        </w:tc>
        <w:tc>
          <w:tcPr>
            <w:tcW w:w="1180" w:type="dxa"/>
            <w:shd w:val="clear" w:color="auto" w:fill="FFFFFF"/>
            <w:tcMar>
              <w:top w:w="90" w:type="dxa"/>
              <w:left w:w="120" w:type="dxa"/>
              <w:bottom w:w="90" w:type="dxa"/>
              <w:right w:w="120" w:type="dxa"/>
            </w:tcMar>
            <w:vAlign w:val="center"/>
          </w:tcPr>
          <w:p w14:paraId="1DC7FAFF">
            <w:pPr>
              <w:jc w:val="center"/>
            </w:pPr>
            <w:r>
              <w:rPr>
                <w:b w:val="0"/>
                <w:bCs w:val="0"/>
                <w:color w:val="000000"/>
                <w:sz w:val="20"/>
                <w:szCs w:val="20"/>
              </w:rPr>
              <w:t>0.7850</w:t>
            </w:r>
          </w:p>
        </w:tc>
        <w:tc>
          <w:tcPr>
            <w:tcW w:w="1180" w:type="dxa"/>
            <w:shd w:val="clear" w:color="auto" w:fill="FFFFFF"/>
            <w:tcMar>
              <w:top w:w="90" w:type="dxa"/>
              <w:left w:w="120" w:type="dxa"/>
              <w:bottom w:w="90" w:type="dxa"/>
              <w:right w:w="120" w:type="dxa"/>
            </w:tcMar>
            <w:vAlign w:val="center"/>
          </w:tcPr>
          <w:p w14:paraId="054DAAED">
            <w:pPr>
              <w:jc w:val="center"/>
            </w:pPr>
            <w:r>
              <w:rPr>
                <w:b w:val="0"/>
                <w:bCs w:val="0"/>
                <w:color w:val="000000"/>
                <w:sz w:val="20"/>
                <w:szCs w:val="20"/>
              </w:rPr>
              <w:t>0.7518</w:t>
            </w:r>
          </w:p>
        </w:tc>
        <w:tc>
          <w:tcPr>
            <w:tcW w:w="1180" w:type="dxa"/>
            <w:shd w:val="clear" w:color="auto" w:fill="FFFFFF"/>
            <w:tcMar>
              <w:top w:w="90" w:type="dxa"/>
              <w:left w:w="120" w:type="dxa"/>
              <w:bottom w:w="90" w:type="dxa"/>
              <w:right w:w="120" w:type="dxa"/>
            </w:tcMar>
            <w:vAlign w:val="center"/>
          </w:tcPr>
          <w:p w14:paraId="09F0B1AF">
            <w:pPr>
              <w:jc w:val="center"/>
            </w:pPr>
            <w:r>
              <w:rPr>
                <w:b w:val="0"/>
                <w:bCs w:val="0"/>
                <w:color w:val="000000"/>
                <w:sz w:val="20"/>
                <w:szCs w:val="20"/>
              </w:rPr>
              <w:t>0.7680</w:t>
            </w:r>
          </w:p>
        </w:tc>
        <w:tc>
          <w:tcPr>
            <w:tcW w:w="1180" w:type="dxa"/>
            <w:shd w:val="clear" w:color="auto" w:fill="FFFFFF"/>
            <w:tcMar>
              <w:top w:w="90" w:type="dxa"/>
              <w:left w:w="120" w:type="dxa"/>
              <w:bottom w:w="90" w:type="dxa"/>
              <w:right w:w="120" w:type="dxa"/>
            </w:tcMar>
            <w:vAlign w:val="center"/>
          </w:tcPr>
          <w:p w14:paraId="4348EDC1">
            <w:pPr>
              <w:jc w:val="center"/>
            </w:pPr>
            <w:r>
              <w:rPr>
                <w:b w:val="0"/>
                <w:bCs w:val="0"/>
                <w:color w:val="000000"/>
                <w:sz w:val="20"/>
                <w:szCs w:val="20"/>
              </w:rPr>
              <w:t>0.9113</w:t>
            </w:r>
          </w:p>
        </w:tc>
        <w:tc>
          <w:tcPr>
            <w:tcW w:w="1180" w:type="dxa"/>
            <w:shd w:val="clear" w:color="auto" w:fill="FFFFFF"/>
            <w:tcMar>
              <w:top w:w="90" w:type="dxa"/>
              <w:left w:w="120" w:type="dxa"/>
              <w:bottom w:w="90" w:type="dxa"/>
              <w:right w:w="120" w:type="dxa"/>
            </w:tcMar>
            <w:vAlign w:val="center"/>
          </w:tcPr>
          <w:p w14:paraId="43602F19">
            <w:pPr>
              <w:jc w:val="center"/>
            </w:pPr>
            <w:r>
              <w:rPr>
                <w:b w:val="0"/>
                <w:bCs w:val="0"/>
                <w:color w:val="000000"/>
                <w:sz w:val="20"/>
                <w:szCs w:val="20"/>
              </w:rPr>
              <w:t>0.8497</w:t>
            </w:r>
          </w:p>
        </w:tc>
      </w:tr>
      <w:tr w14:paraId="384F6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90" w:type="dxa"/>
              <w:left w:w="120" w:type="dxa"/>
              <w:bottom w:w="90" w:type="dxa"/>
              <w:right w:w="120" w:type="dxa"/>
            </w:tcMar>
            <w:vAlign w:val="center"/>
          </w:tcPr>
          <w:p w14:paraId="6D24582B">
            <w:pPr>
              <w:jc w:val="left"/>
            </w:pPr>
            <w:r>
              <w:rPr>
                <w:b w:val="0"/>
                <w:bCs w:val="0"/>
                <w:color w:val="000000"/>
                <w:sz w:val="20"/>
                <w:szCs w:val="20"/>
              </w:rPr>
              <w:t>Logistic Regression</w:t>
            </w:r>
          </w:p>
        </w:tc>
        <w:tc>
          <w:tcPr>
            <w:tcW w:w="1180" w:type="dxa"/>
            <w:shd w:val="clear" w:color="auto" w:fill="F2F6FA"/>
            <w:tcMar>
              <w:top w:w="90" w:type="dxa"/>
              <w:left w:w="120" w:type="dxa"/>
              <w:bottom w:w="90" w:type="dxa"/>
              <w:right w:w="120" w:type="dxa"/>
            </w:tcMar>
            <w:vAlign w:val="center"/>
          </w:tcPr>
          <w:p w14:paraId="15565CB5">
            <w:pPr>
              <w:jc w:val="center"/>
            </w:pPr>
            <w:r>
              <w:rPr>
                <w:b w:val="0"/>
                <w:bCs w:val="0"/>
                <w:color w:val="000000"/>
                <w:sz w:val="20"/>
                <w:szCs w:val="20"/>
              </w:rPr>
              <w:t>0.8023</w:t>
            </w:r>
          </w:p>
        </w:tc>
        <w:tc>
          <w:tcPr>
            <w:tcW w:w="1180" w:type="dxa"/>
            <w:shd w:val="clear" w:color="auto" w:fill="F2F6FA"/>
            <w:tcMar>
              <w:top w:w="90" w:type="dxa"/>
              <w:left w:w="120" w:type="dxa"/>
              <w:bottom w:w="90" w:type="dxa"/>
              <w:right w:w="120" w:type="dxa"/>
            </w:tcMar>
            <w:vAlign w:val="center"/>
          </w:tcPr>
          <w:p w14:paraId="39ACF17D">
            <w:pPr>
              <w:jc w:val="center"/>
            </w:pPr>
            <w:r>
              <w:rPr>
                <w:b w:val="0"/>
                <w:bCs w:val="0"/>
                <w:color w:val="000000"/>
                <w:sz w:val="20"/>
                <w:szCs w:val="20"/>
              </w:rPr>
              <w:t>0.5317</w:t>
            </w:r>
          </w:p>
        </w:tc>
        <w:tc>
          <w:tcPr>
            <w:tcW w:w="1180" w:type="dxa"/>
            <w:shd w:val="clear" w:color="auto" w:fill="F2F6FA"/>
            <w:tcMar>
              <w:top w:w="90" w:type="dxa"/>
              <w:left w:w="120" w:type="dxa"/>
              <w:bottom w:w="90" w:type="dxa"/>
              <w:right w:w="120" w:type="dxa"/>
            </w:tcMar>
            <w:vAlign w:val="center"/>
          </w:tcPr>
          <w:p w14:paraId="257F455E">
            <w:pPr>
              <w:jc w:val="center"/>
            </w:pPr>
            <w:r>
              <w:rPr>
                <w:b w:val="0"/>
                <w:bCs w:val="0"/>
                <w:color w:val="000000"/>
                <w:sz w:val="20"/>
                <w:szCs w:val="20"/>
              </w:rPr>
              <w:t>0.8039</w:t>
            </w:r>
          </w:p>
        </w:tc>
        <w:tc>
          <w:tcPr>
            <w:tcW w:w="1180" w:type="dxa"/>
            <w:shd w:val="clear" w:color="auto" w:fill="F2F6FA"/>
            <w:tcMar>
              <w:top w:w="90" w:type="dxa"/>
              <w:left w:w="120" w:type="dxa"/>
              <w:bottom w:w="90" w:type="dxa"/>
              <w:right w:w="120" w:type="dxa"/>
            </w:tcMar>
            <w:vAlign w:val="center"/>
          </w:tcPr>
          <w:p w14:paraId="72E00D87">
            <w:pPr>
              <w:jc w:val="center"/>
            </w:pPr>
            <w:r>
              <w:rPr>
                <w:b w:val="0"/>
                <w:bCs w:val="0"/>
                <w:color w:val="000000"/>
                <w:sz w:val="20"/>
                <w:szCs w:val="20"/>
              </w:rPr>
              <w:t>0.6401</w:t>
            </w:r>
          </w:p>
        </w:tc>
        <w:tc>
          <w:tcPr>
            <w:tcW w:w="1180" w:type="dxa"/>
            <w:shd w:val="clear" w:color="auto" w:fill="F2F6FA"/>
            <w:tcMar>
              <w:top w:w="90" w:type="dxa"/>
              <w:left w:w="120" w:type="dxa"/>
              <w:bottom w:w="90" w:type="dxa"/>
              <w:right w:w="120" w:type="dxa"/>
            </w:tcMar>
            <w:vAlign w:val="center"/>
          </w:tcPr>
          <w:p w14:paraId="46D6C068">
            <w:pPr>
              <w:jc w:val="center"/>
            </w:pPr>
            <w:r>
              <w:rPr>
                <w:b w:val="0"/>
                <w:bCs w:val="0"/>
                <w:color w:val="000000"/>
                <w:sz w:val="20"/>
                <w:szCs w:val="20"/>
              </w:rPr>
              <w:t>0.8778</w:t>
            </w:r>
          </w:p>
        </w:tc>
        <w:tc>
          <w:tcPr>
            <w:tcW w:w="1180" w:type="dxa"/>
            <w:shd w:val="clear" w:color="auto" w:fill="F2F6FA"/>
            <w:tcMar>
              <w:top w:w="90" w:type="dxa"/>
              <w:left w:w="120" w:type="dxa"/>
              <w:bottom w:w="90" w:type="dxa"/>
              <w:right w:w="120" w:type="dxa"/>
            </w:tcMar>
            <w:vAlign w:val="center"/>
          </w:tcPr>
          <w:p w14:paraId="1A508F5B">
            <w:pPr>
              <w:jc w:val="center"/>
            </w:pPr>
            <w:r>
              <w:rPr>
                <w:b w:val="0"/>
                <w:bCs w:val="0"/>
                <w:color w:val="000000"/>
                <w:sz w:val="20"/>
                <w:szCs w:val="20"/>
              </w:rPr>
              <w:t>0.7248</w:t>
            </w:r>
          </w:p>
        </w:tc>
      </w:tr>
    </w:tbl>
    <w:p w14:paraId="4E219F15">
      <w:pPr>
        <w:spacing w:before="200" w:after="160"/>
      </w:pPr>
      <w:r>
        <w:rPr>
          <w:i/>
          <w:iCs/>
          <w:color w:val="595959"/>
          <w:sz w:val="20"/>
          <w:szCs w:val="20"/>
        </w:rPr>
        <w:t>Tuned hyperparameters: 350 estimators, learning rate 0.1, max depth 3, min samples per leaf 10, subsample 1.0. F1-optimal decision threshold: 0.51 (close to the conventional 0.50 default).</w:t>
      </w:r>
    </w:p>
    <w:p w14:paraId="1E46E5EF">
      <w:pPr>
        <w:pStyle w:val="2"/>
        <w:pBdr>
          <w:bottom w:val="single" w:color="1F3864" w:sz="6" w:space="4"/>
        </w:pBdr>
        <w:spacing w:before="320" w:after="160"/>
      </w:pPr>
      <w:r>
        <w:rPr>
          <w:b/>
          <w:bCs/>
          <w:color w:val="1F3864"/>
          <w:sz w:val="30"/>
          <w:szCs w:val="30"/>
        </w:rPr>
        <w:t>7. Interpretation</w:t>
      </w:r>
    </w:p>
    <w:p w14:paraId="71CA21A9">
      <w:pPr>
        <w:pStyle w:val="3"/>
        <w:spacing w:before="260" w:after="120"/>
      </w:pPr>
      <w:r>
        <w:rPr>
          <w:b/>
          <w:bCs/>
          <w:color w:val="2E5B8A"/>
          <w:sz w:val="24"/>
          <w:szCs w:val="24"/>
        </w:rPr>
        <w:t>7.1 Why the tree ensembles win</w:t>
      </w:r>
    </w:p>
    <w:p w14:paraId="70A780A5">
      <w:pPr>
        <w:spacing w:after="160" w:line="276" w:lineRule="auto"/>
      </w:pPr>
      <w:r>
        <w:rPr>
          <w:sz w:val="22"/>
          <w:szCs w:val="22"/>
        </w:rPr>
        <w:t>Logistic Regression can only fit an additive log-odds surface, while default risk in this data is driven by interactions — a high loan-to-income ratio matters far more for a low-grade renter than for a high-grade mortgage holder. Random Forest and Gradient Boosting capture these interactions; Logistic Regression cannot, which explains its much lower precision (0.53) despite a competitive recall.</w:t>
      </w:r>
    </w:p>
    <w:p w14:paraId="601B5A4F">
      <w:pPr>
        <w:pStyle w:val="3"/>
        <w:spacing w:before="260" w:after="120"/>
      </w:pPr>
      <w:r>
        <w:rPr>
          <w:b/>
          <w:bCs/>
          <w:color w:val="2E5B8A"/>
          <w:sz w:val="24"/>
          <w:szCs w:val="24"/>
        </w:rPr>
        <w:t>7.2 Precision vs. recall trade-off</w:t>
      </w:r>
    </w:p>
    <w:p w14:paraId="5A60E42E">
      <w:pPr>
        <w:spacing w:after="160" w:line="276" w:lineRule="auto"/>
      </w:pPr>
      <w:r>
        <w:rPr>
          <w:sz w:val="22"/>
          <w:szCs w:val="22"/>
        </w:rPr>
        <w:t>The class-balanced Logistic Regression and Decision Tree trade precision for recall: they flag more applicants as risky, catching more true defaulters but rejecting many who would have repaid. The tuned Gradient Boosting model sits at very high precision (0.95) with moderate recall (0.74) — of the applicants it flags as high risk, 95% are genuine defaulters. Where a lender wants to catch more defaulters at the cost of some false rejections, the threshold sweep documented in the notebook shows exactly how recall responds as the cut-off is lowered.</w:t>
      </w:r>
    </w:p>
    <w:p w14:paraId="4C1331F5">
      <w:pPr>
        <w:pStyle w:val="3"/>
        <w:spacing w:before="260" w:after="120"/>
      </w:pPr>
      <w:r>
        <w:rPr>
          <w:b/>
          <w:bCs/>
          <w:color w:val="2E5B8A"/>
          <w:sz w:val="24"/>
          <w:szCs w:val="24"/>
        </w:rPr>
        <w:t>7.3 Key risk drivers</w:t>
      </w:r>
    </w:p>
    <w:p w14:paraId="143DCE9E">
      <w:pPr>
        <w:spacing w:after="160" w:line="276" w:lineRule="auto"/>
      </w:pPr>
      <w:r>
        <w:rPr>
          <w:sz w:val="22"/>
          <w:szCs w:val="22"/>
        </w:rPr>
        <w:t>Ranked by Gini importance from the final tuned model (permutation importance on the test set, which measures the drop in ROC-AUC when a feature is shuffled, produces the same top three: loan_to_income, loan_grade_ord, and person_home_ownership).</w:t>
      </w:r>
    </w:p>
    <w:tbl>
      <w:tblPr>
        <w:tblStyle w:val="9"/>
        <w:tblW w:w="96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780"/>
        <w:gridCol w:w="3000"/>
      </w:tblGrid>
      <w:tr w14:paraId="2B1E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9BBB59" w:themeFill="accent3"/>
            <w:tcMar>
              <w:top w:w="90" w:type="dxa"/>
              <w:left w:w="120" w:type="dxa"/>
              <w:bottom w:w="90" w:type="dxa"/>
              <w:right w:w="120" w:type="dxa"/>
            </w:tcMar>
            <w:vAlign w:val="center"/>
          </w:tcPr>
          <w:p w14:paraId="2F0B6BAB">
            <w:pPr>
              <w:jc w:val="center"/>
            </w:pPr>
            <w:r>
              <w:rPr>
                <w:b/>
                <w:bCs/>
                <w:color w:val="FFFFFF"/>
                <w:sz w:val="20"/>
                <w:szCs w:val="20"/>
                <w:shd w:val="clear"/>
              </w:rPr>
              <w:t>Rank</w:t>
            </w:r>
          </w:p>
        </w:tc>
        <w:tc>
          <w:tcPr>
            <w:tcW w:w="5780" w:type="dxa"/>
            <w:shd w:val="clear" w:color="auto" w:fill="9BBB59" w:themeFill="accent3"/>
            <w:tcMar>
              <w:top w:w="90" w:type="dxa"/>
              <w:left w:w="120" w:type="dxa"/>
              <w:bottom w:w="90" w:type="dxa"/>
              <w:right w:w="120" w:type="dxa"/>
            </w:tcMar>
            <w:vAlign w:val="center"/>
          </w:tcPr>
          <w:p w14:paraId="1C5F6124">
            <w:pPr>
              <w:jc w:val="left"/>
            </w:pPr>
            <w:r>
              <w:rPr>
                <w:b/>
                <w:bCs/>
                <w:color w:val="FFFFFF"/>
                <w:sz w:val="20"/>
                <w:szCs w:val="20"/>
              </w:rPr>
              <w:t>Feature</w:t>
            </w:r>
          </w:p>
        </w:tc>
        <w:tc>
          <w:tcPr>
            <w:tcW w:w="3000" w:type="dxa"/>
            <w:shd w:val="clear" w:color="auto" w:fill="9BBB59" w:themeFill="accent3"/>
            <w:tcMar>
              <w:top w:w="90" w:type="dxa"/>
              <w:left w:w="120" w:type="dxa"/>
              <w:bottom w:w="90" w:type="dxa"/>
              <w:right w:w="120" w:type="dxa"/>
            </w:tcMar>
            <w:vAlign w:val="center"/>
          </w:tcPr>
          <w:p w14:paraId="025BA112">
            <w:pPr>
              <w:jc w:val="center"/>
            </w:pPr>
            <w:r>
              <w:rPr>
                <w:b/>
                <w:bCs/>
                <w:color w:val="FFFFFF"/>
                <w:sz w:val="20"/>
                <w:szCs w:val="20"/>
              </w:rPr>
              <w:t>Importance (Gini)</w:t>
            </w:r>
          </w:p>
        </w:tc>
      </w:tr>
      <w:tr w14:paraId="6D09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6FA"/>
            <w:tcMar>
              <w:top w:w="90" w:type="dxa"/>
              <w:left w:w="120" w:type="dxa"/>
              <w:bottom w:w="90" w:type="dxa"/>
              <w:right w:w="120" w:type="dxa"/>
            </w:tcMar>
            <w:vAlign w:val="center"/>
          </w:tcPr>
          <w:p w14:paraId="609710B2">
            <w:pPr>
              <w:jc w:val="center"/>
            </w:pPr>
            <w:r>
              <w:rPr>
                <w:b w:val="0"/>
                <w:bCs w:val="0"/>
                <w:color w:val="000000"/>
                <w:sz w:val="20"/>
                <w:szCs w:val="20"/>
              </w:rPr>
              <w:t>1</w:t>
            </w:r>
          </w:p>
        </w:tc>
        <w:tc>
          <w:tcPr>
            <w:tcW w:w="5780" w:type="dxa"/>
            <w:shd w:val="clear" w:color="auto" w:fill="F2F6FA"/>
            <w:tcMar>
              <w:top w:w="90" w:type="dxa"/>
              <w:left w:w="120" w:type="dxa"/>
              <w:bottom w:w="90" w:type="dxa"/>
              <w:right w:w="120" w:type="dxa"/>
            </w:tcMar>
            <w:vAlign w:val="center"/>
          </w:tcPr>
          <w:p w14:paraId="5F42E651">
            <w:pPr>
              <w:jc w:val="left"/>
            </w:pPr>
            <w:r>
              <w:rPr>
                <w:b w:val="0"/>
                <w:bCs w:val="0"/>
                <w:color w:val="000000"/>
                <w:sz w:val="20"/>
                <w:szCs w:val="20"/>
              </w:rPr>
              <w:t>Loan amount to income ratio</w:t>
            </w:r>
          </w:p>
        </w:tc>
        <w:tc>
          <w:tcPr>
            <w:tcW w:w="3000" w:type="dxa"/>
            <w:shd w:val="clear" w:color="auto" w:fill="F2F6FA"/>
            <w:tcMar>
              <w:top w:w="90" w:type="dxa"/>
              <w:left w:w="120" w:type="dxa"/>
              <w:bottom w:w="90" w:type="dxa"/>
              <w:right w:w="120" w:type="dxa"/>
            </w:tcMar>
            <w:vAlign w:val="center"/>
          </w:tcPr>
          <w:p w14:paraId="4B670D9C">
            <w:pPr>
              <w:jc w:val="center"/>
            </w:pPr>
            <w:r>
              <w:rPr>
                <w:b w:val="0"/>
                <w:bCs w:val="0"/>
                <w:color w:val="000000"/>
                <w:sz w:val="20"/>
                <w:szCs w:val="20"/>
              </w:rPr>
              <w:t>0.2896</w:t>
            </w:r>
          </w:p>
        </w:tc>
      </w:tr>
      <w:tr w14:paraId="783D8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13589CFB">
            <w:pPr>
              <w:jc w:val="center"/>
            </w:pPr>
            <w:r>
              <w:rPr>
                <w:b w:val="0"/>
                <w:bCs w:val="0"/>
                <w:color w:val="000000"/>
                <w:sz w:val="20"/>
                <w:szCs w:val="20"/>
              </w:rPr>
              <w:t>2</w:t>
            </w:r>
          </w:p>
        </w:tc>
        <w:tc>
          <w:tcPr>
            <w:tcW w:w="5780" w:type="dxa"/>
            <w:shd w:val="clear" w:color="auto" w:fill="FFFFFF"/>
            <w:tcMar>
              <w:top w:w="90" w:type="dxa"/>
              <w:left w:w="120" w:type="dxa"/>
              <w:bottom w:w="90" w:type="dxa"/>
              <w:right w:w="120" w:type="dxa"/>
            </w:tcMar>
            <w:vAlign w:val="center"/>
          </w:tcPr>
          <w:p w14:paraId="0191C8FA">
            <w:pPr>
              <w:jc w:val="left"/>
            </w:pPr>
            <w:r>
              <w:rPr>
                <w:b w:val="0"/>
                <w:bCs w:val="0"/>
                <w:color w:val="000000"/>
                <w:sz w:val="20"/>
                <w:szCs w:val="20"/>
              </w:rPr>
              <w:t>Loan grade (ordinal, A→G)</w:t>
            </w:r>
          </w:p>
        </w:tc>
        <w:tc>
          <w:tcPr>
            <w:tcW w:w="3000" w:type="dxa"/>
            <w:shd w:val="clear" w:color="auto" w:fill="FFFFFF"/>
            <w:tcMar>
              <w:top w:w="90" w:type="dxa"/>
              <w:left w:w="120" w:type="dxa"/>
              <w:bottom w:w="90" w:type="dxa"/>
              <w:right w:w="120" w:type="dxa"/>
            </w:tcMar>
            <w:vAlign w:val="center"/>
          </w:tcPr>
          <w:p w14:paraId="0D213881">
            <w:pPr>
              <w:jc w:val="center"/>
            </w:pPr>
            <w:r>
              <w:rPr>
                <w:b w:val="0"/>
                <w:bCs w:val="0"/>
                <w:color w:val="000000"/>
                <w:sz w:val="20"/>
                <w:szCs w:val="20"/>
              </w:rPr>
              <w:t>0.2543</w:t>
            </w:r>
          </w:p>
        </w:tc>
      </w:tr>
      <w:tr w14:paraId="41F5B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6FA"/>
            <w:tcMar>
              <w:top w:w="90" w:type="dxa"/>
              <w:left w:w="120" w:type="dxa"/>
              <w:bottom w:w="90" w:type="dxa"/>
              <w:right w:w="120" w:type="dxa"/>
            </w:tcMar>
            <w:vAlign w:val="center"/>
          </w:tcPr>
          <w:p w14:paraId="30FF2607">
            <w:pPr>
              <w:jc w:val="center"/>
            </w:pPr>
            <w:r>
              <w:rPr>
                <w:b w:val="0"/>
                <w:bCs w:val="0"/>
                <w:color w:val="000000"/>
                <w:sz w:val="20"/>
                <w:szCs w:val="20"/>
              </w:rPr>
              <w:t>3</w:t>
            </w:r>
          </w:p>
        </w:tc>
        <w:tc>
          <w:tcPr>
            <w:tcW w:w="5780" w:type="dxa"/>
            <w:shd w:val="clear" w:color="auto" w:fill="F2F6FA"/>
            <w:tcMar>
              <w:top w:w="90" w:type="dxa"/>
              <w:left w:w="120" w:type="dxa"/>
              <w:bottom w:w="90" w:type="dxa"/>
              <w:right w:w="120" w:type="dxa"/>
            </w:tcMar>
            <w:vAlign w:val="center"/>
          </w:tcPr>
          <w:p w14:paraId="693BFB21">
            <w:pPr>
              <w:jc w:val="left"/>
            </w:pPr>
            <w:r>
              <w:rPr>
                <w:b w:val="0"/>
                <w:bCs w:val="0"/>
                <w:color w:val="000000"/>
                <w:sz w:val="20"/>
                <w:szCs w:val="20"/>
              </w:rPr>
              <w:t>Home ownership = RENT</w:t>
            </w:r>
          </w:p>
        </w:tc>
        <w:tc>
          <w:tcPr>
            <w:tcW w:w="3000" w:type="dxa"/>
            <w:shd w:val="clear" w:color="auto" w:fill="F2F6FA"/>
            <w:tcMar>
              <w:top w:w="90" w:type="dxa"/>
              <w:left w:w="120" w:type="dxa"/>
              <w:bottom w:w="90" w:type="dxa"/>
              <w:right w:w="120" w:type="dxa"/>
            </w:tcMar>
            <w:vAlign w:val="center"/>
          </w:tcPr>
          <w:p w14:paraId="61809317">
            <w:pPr>
              <w:jc w:val="center"/>
            </w:pPr>
            <w:r>
              <w:rPr>
                <w:b w:val="0"/>
                <w:bCs w:val="0"/>
                <w:color w:val="000000"/>
                <w:sz w:val="20"/>
                <w:szCs w:val="20"/>
              </w:rPr>
              <w:t>0.1493</w:t>
            </w:r>
          </w:p>
        </w:tc>
      </w:tr>
      <w:tr w14:paraId="22CA5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61459901">
            <w:pPr>
              <w:jc w:val="center"/>
            </w:pPr>
            <w:r>
              <w:rPr>
                <w:b w:val="0"/>
                <w:bCs w:val="0"/>
                <w:color w:val="000000"/>
                <w:sz w:val="20"/>
                <w:szCs w:val="20"/>
              </w:rPr>
              <w:t>4</w:t>
            </w:r>
          </w:p>
        </w:tc>
        <w:tc>
          <w:tcPr>
            <w:tcW w:w="5780" w:type="dxa"/>
            <w:shd w:val="clear" w:color="auto" w:fill="FFFFFF"/>
            <w:tcMar>
              <w:top w:w="90" w:type="dxa"/>
              <w:left w:w="120" w:type="dxa"/>
              <w:bottom w:w="90" w:type="dxa"/>
              <w:right w:w="120" w:type="dxa"/>
            </w:tcMar>
            <w:vAlign w:val="center"/>
          </w:tcPr>
          <w:p w14:paraId="3BF1B13F">
            <w:pPr>
              <w:jc w:val="left"/>
            </w:pPr>
            <w:r>
              <w:rPr>
                <w:b w:val="0"/>
                <w:bCs w:val="0"/>
                <w:color w:val="000000"/>
                <w:sz w:val="20"/>
                <w:szCs w:val="20"/>
              </w:rPr>
              <w:t>Annual income</w:t>
            </w:r>
          </w:p>
        </w:tc>
        <w:tc>
          <w:tcPr>
            <w:tcW w:w="3000" w:type="dxa"/>
            <w:shd w:val="clear" w:color="auto" w:fill="FFFFFF"/>
            <w:tcMar>
              <w:top w:w="90" w:type="dxa"/>
              <w:left w:w="120" w:type="dxa"/>
              <w:bottom w:w="90" w:type="dxa"/>
              <w:right w:w="120" w:type="dxa"/>
            </w:tcMar>
            <w:vAlign w:val="center"/>
          </w:tcPr>
          <w:p w14:paraId="4483A65C">
            <w:pPr>
              <w:jc w:val="center"/>
            </w:pPr>
            <w:r>
              <w:rPr>
                <w:b w:val="0"/>
                <w:bCs w:val="0"/>
                <w:color w:val="000000"/>
                <w:sz w:val="20"/>
                <w:szCs w:val="20"/>
              </w:rPr>
              <w:t>0.0593</w:t>
            </w:r>
          </w:p>
        </w:tc>
      </w:tr>
      <w:tr w14:paraId="1214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6FA"/>
            <w:tcMar>
              <w:top w:w="90" w:type="dxa"/>
              <w:left w:w="120" w:type="dxa"/>
              <w:bottom w:w="90" w:type="dxa"/>
              <w:right w:w="120" w:type="dxa"/>
            </w:tcMar>
            <w:vAlign w:val="center"/>
          </w:tcPr>
          <w:p w14:paraId="04A5FE1C">
            <w:pPr>
              <w:jc w:val="center"/>
            </w:pPr>
            <w:r>
              <w:rPr>
                <w:b w:val="0"/>
                <w:bCs w:val="0"/>
                <w:color w:val="000000"/>
                <w:sz w:val="20"/>
                <w:szCs w:val="20"/>
              </w:rPr>
              <w:t>5</w:t>
            </w:r>
          </w:p>
        </w:tc>
        <w:tc>
          <w:tcPr>
            <w:tcW w:w="5780" w:type="dxa"/>
            <w:shd w:val="clear" w:color="auto" w:fill="F2F6FA"/>
            <w:tcMar>
              <w:top w:w="90" w:type="dxa"/>
              <w:left w:w="120" w:type="dxa"/>
              <w:bottom w:w="90" w:type="dxa"/>
              <w:right w:w="120" w:type="dxa"/>
            </w:tcMar>
            <w:vAlign w:val="center"/>
          </w:tcPr>
          <w:p w14:paraId="49C8E981">
            <w:pPr>
              <w:jc w:val="left"/>
            </w:pPr>
            <w:r>
              <w:rPr>
                <w:b w:val="0"/>
                <w:bCs w:val="0"/>
                <w:color w:val="000000"/>
                <w:sz w:val="20"/>
                <w:szCs w:val="20"/>
              </w:rPr>
              <w:t>Log-transformed income</w:t>
            </w:r>
          </w:p>
        </w:tc>
        <w:tc>
          <w:tcPr>
            <w:tcW w:w="3000" w:type="dxa"/>
            <w:shd w:val="clear" w:color="auto" w:fill="F2F6FA"/>
            <w:tcMar>
              <w:top w:w="90" w:type="dxa"/>
              <w:left w:w="120" w:type="dxa"/>
              <w:bottom w:w="90" w:type="dxa"/>
              <w:right w:w="120" w:type="dxa"/>
            </w:tcMar>
            <w:vAlign w:val="center"/>
          </w:tcPr>
          <w:p w14:paraId="3D366F4C">
            <w:pPr>
              <w:jc w:val="center"/>
            </w:pPr>
            <w:r>
              <w:rPr>
                <w:b w:val="0"/>
                <w:bCs w:val="0"/>
                <w:color w:val="000000"/>
                <w:sz w:val="20"/>
                <w:szCs w:val="20"/>
              </w:rPr>
              <w:t>0.0544</w:t>
            </w:r>
          </w:p>
        </w:tc>
      </w:tr>
      <w:tr w14:paraId="23A9C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5A7C811A">
            <w:pPr>
              <w:jc w:val="center"/>
            </w:pPr>
            <w:r>
              <w:rPr>
                <w:b w:val="0"/>
                <w:bCs w:val="0"/>
                <w:color w:val="000000"/>
                <w:sz w:val="20"/>
                <w:szCs w:val="20"/>
              </w:rPr>
              <w:t>6</w:t>
            </w:r>
          </w:p>
        </w:tc>
        <w:tc>
          <w:tcPr>
            <w:tcW w:w="5780" w:type="dxa"/>
            <w:shd w:val="clear" w:color="auto" w:fill="FFFFFF"/>
            <w:tcMar>
              <w:top w:w="90" w:type="dxa"/>
              <w:left w:w="120" w:type="dxa"/>
              <w:bottom w:w="90" w:type="dxa"/>
              <w:right w:w="120" w:type="dxa"/>
            </w:tcMar>
            <w:vAlign w:val="center"/>
          </w:tcPr>
          <w:p w14:paraId="6445FADA">
            <w:pPr>
              <w:jc w:val="left"/>
            </w:pPr>
            <w:r>
              <w:rPr>
                <w:b w:val="0"/>
                <w:bCs w:val="0"/>
                <w:color w:val="000000"/>
                <w:sz w:val="20"/>
                <w:szCs w:val="20"/>
              </w:rPr>
              <w:t>Interest cost to income ratio</w:t>
            </w:r>
          </w:p>
        </w:tc>
        <w:tc>
          <w:tcPr>
            <w:tcW w:w="3000" w:type="dxa"/>
            <w:shd w:val="clear" w:color="auto" w:fill="FFFFFF"/>
            <w:tcMar>
              <w:top w:w="90" w:type="dxa"/>
              <w:left w:w="120" w:type="dxa"/>
              <w:bottom w:w="90" w:type="dxa"/>
              <w:right w:w="120" w:type="dxa"/>
            </w:tcMar>
            <w:vAlign w:val="center"/>
          </w:tcPr>
          <w:p w14:paraId="68BF5941">
            <w:pPr>
              <w:jc w:val="center"/>
            </w:pPr>
            <w:r>
              <w:rPr>
                <w:b w:val="0"/>
                <w:bCs w:val="0"/>
                <w:color w:val="000000"/>
                <w:sz w:val="20"/>
                <w:szCs w:val="20"/>
              </w:rPr>
              <w:t>0.0319</w:t>
            </w:r>
          </w:p>
        </w:tc>
      </w:tr>
      <w:tr w14:paraId="62F8A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6FA"/>
            <w:tcMar>
              <w:top w:w="90" w:type="dxa"/>
              <w:left w:w="120" w:type="dxa"/>
              <w:bottom w:w="90" w:type="dxa"/>
              <w:right w:w="120" w:type="dxa"/>
            </w:tcMar>
            <w:vAlign w:val="center"/>
          </w:tcPr>
          <w:p w14:paraId="73AA0EA0">
            <w:pPr>
              <w:jc w:val="center"/>
            </w:pPr>
            <w:r>
              <w:rPr>
                <w:b w:val="0"/>
                <w:bCs w:val="0"/>
                <w:color w:val="000000"/>
                <w:sz w:val="20"/>
                <w:szCs w:val="20"/>
              </w:rPr>
              <w:t>7</w:t>
            </w:r>
          </w:p>
        </w:tc>
        <w:tc>
          <w:tcPr>
            <w:tcW w:w="5780" w:type="dxa"/>
            <w:shd w:val="clear" w:color="auto" w:fill="F2F6FA"/>
            <w:tcMar>
              <w:top w:w="90" w:type="dxa"/>
              <w:left w:w="120" w:type="dxa"/>
              <w:bottom w:w="90" w:type="dxa"/>
              <w:right w:w="120" w:type="dxa"/>
            </w:tcMar>
            <w:vAlign w:val="center"/>
          </w:tcPr>
          <w:p w14:paraId="08650168">
            <w:pPr>
              <w:jc w:val="left"/>
            </w:pPr>
            <w:r>
              <w:rPr>
                <w:b w:val="0"/>
                <w:bCs w:val="0"/>
                <w:color w:val="000000"/>
                <w:sz w:val="20"/>
                <w:szCs w:val="20"/>
              </w:rPr>
              <w:t>Employment length</w:t>
            </w:r>
          </w:p>
        </w:tc>
        <w:tc>
          <w:tcPr>
            <w:tcW w:w="3000" w:type="dxa"/>
            <w:shd w:val="clear" w:color="auto" w:fill="F2F6FA"/>
            <w:tcMar>
              <w:top w:w="90" w:type="dxa"/>
              <w:left w:w="120" w:type="dxa"/>
              <w:bottom w:w="90" w:type="dxa"/>
              <w:right w:w="120" w:type="dxa"/>
            </w:tcMar>
            <w:vAlign w:val="center"/>
          </w:tcPr>
          <w:p w14:paraId="4FBC5F4C">
            <w:pPr>
              <w:jc w:val="center"/>
            </w:pPr>
            <w:r>
              <w:rPr>
                <w:b w:val="0"/>
                <w:bCs w:val="0"/>
                <w:color w:val="000000"/>
                <w:sz w:val="20"/>
                <w:szCs w:val="20"/>
              </w:rPr>
              <w:t>0.0294</w:t>
            </w:r>
          </w:p>
        </w:tc>
      </w:tr>
      <w:tr w14:paraId="27C9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3034794F">
            <w:pPr>
              <w:jc w:val="center"/>
            </w:pPr>
            <w:r>
              <w:rPr>
                <w:b w:val="0"/>
                <w:bCs w:val="0"/>
                <w:color w:val="000000"/>
                <w:sz w:val="20"/>
                <w:szCs w:val="20"/>
              </w:rPr>
              <w:t>8</w:t>
            </w:r>
          </w:p>
        </w:tc>
        <w:tc>
          <w:tcPr>
            <w:tcW w:w="5780" w:type="dxa"/>
            <w:shd w:val="clear" w:color="auto" w:fill="FFFFFF"/>
            <w:tcMar>
              <w:top w:w="90" w:type="dxa"/>
              <w:left w:w="120" w:type="dxa"/>
              <w:bottom w:w="90" w:type="dxa"/>
              <w:right w:w="120" w:type="dxa"/>
            </w:tcMar>
            <w:vAlign w:val="center"/>
          </w:tcPr>
          <w:p w14:paraId="68DC1961">
            <w:pPr>
              <w:jc w:val="left"/>
            </w:pPr>
            <w:r>
              <w:rPr>
                <w:b w:val="0"/>
                <w:bCs w:val="0"/>
                <w:color w:val="000000"/>
                <w:sz w:val="20"/>
                <w:szCs w:val="20"/>
              </w:rPr>
              <w:t>Loan intent = home improvement</w:t>
            </w:r>
          </w:p>
        </w:tc>
        <w:tc>
          <w:tcPr>
            <w:tcW w:w="3000" w:type="dxa"/>
            <w:shd w:val="clear" w:color="auto" w:fill="FFFFFF"/>
            <w:tcMar>
              <w:top w:w="90" w:type="dxa"/>
              <w:left w:w="120" w:type="dxa"/>
              <w:bottom w:w="90" w:type="dxa"/>
              <w:right w:w="120" w:type="dxa"/>
            </w:tcMar>
            <w:vAlign w:val="center"/>
          </w:tcPr>
          <w:p w14:paraId="2A35CD00">
            <w:pPr>
              <w:jc w:val="center"/>
            </w:pPr>
            <w:r>
              <w:rPr>
                <w:b w:val="0"/>
                <w:bCs w:val="0"/>
                <w:color w:val="000000"/>
                <w:sz w:val="20"/>
                <w:szCs w:val="20"/>
              </w:rPr>
              <w:t>0.0243</w:t>
            </w:r>
          </w:p>
        </w:tc>
      </w:tr>
      <w:tr w14:paraId="6C9D9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6FA"/>
            <w:tcMar>
              <w:top w:w="90" w:type="dxa"/>
              <w:left w:w="120" w:type="dxa"/>
              <w:bottom w:w="90" w:type="dxa"/>
              <w:right w:w="120" w:type="dxa"/>
            </w:tcMar>
            <w:vAlign w:val="center"/>
          </w:tcPr>
          <w:p w14:paraId="33227E65">
            <w:pPr>
              <w:jc w:val="center"/>
            </w:pPr>
            <w:r>
              <w:rPr>
                <w:b w:val="0"/>
                <w:bCs w:val="0"/>
                <w:color w:val="000000"/>
                <w:sz w:val="20"/>
                <w:szCs w:val="20"/>
              </w:rPr>
              <w:t>9</w:t>
            </w:r>
          </w:p>
        </w:tc>
        <w:tc>
          <w:tcPr>
            <w:tcW w:w="5780" w:type="dxa"/>
            <w:shd w:val="clear" w:color="auto" w:fill="F2F6FA"/>
            <w:tcMar>
              <w:top w:w="90" w:type="dxa"/>
              <w:left w:w="120" w:type="dxa"/>
              <w:bottom w:w="90" w:type="dxa"/>
              <w:right w:w="120" w:type="dxa"/>
            </w:tcMar>
            <w:vAlign w:val="center"/>
          </w:tcPr>
          <w:p w14:paraId="7DC1613D">
            <w:pPr>
              <w:jc w:val="left"/>
            </w:pPr>
            <w:r>
              <w:rPr>
                <w:b w:val="0"/>
                <w:bCs w:val="0"/>
                <w:color w:val="000000"/>
                <w:sz w:val="20"/>
                <w:szCs w:val="20"/>
              </w:rPr>
              <w:t>Disposable income after loan</w:t>
            </w:r>
          </w:p>
        </w:tc>
        <w:tc>
          <w:tcPr>
            <w:tcW w:w="3000" w:type="dxa"/>
            <w:shd w:val="clear" w:color="auto" w:fill="F2F6FA"/>
            <w:tcMar>
              <w:top w:w="90" w:type="dxa"/>
              <w:left w:w="120" w:type="dxa"/>
              <w:bottom w:w="90" w:type="dxa"/>
              <w:right w:w="120" w:type="dxa"/>
            </w:tcMar>
            <w:vAlign w:val="center"/>
          </w:tcPr>
          <w:p w14:paraId="52555630">
            <w:pPr>
              <w:jc w:val="center"/>
            </w:pPr>
            <w:r>
              <w:rPr>
                <w:b w:val="0"/>
                <w:bCs w:val="0"/>
                <w:color w:val="000000"/>
                <w:sz w:val="20"/>
                <w:szCs w:val="20"/>
              </w:rPr>
              <w:t>0.0188</w:t>
            </w:r>
          </w:p>
        </w:tc>
      </w:tr>
      <w:tr w14:paraId="6728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90" w:type="dxa"/>
              <w:left w:w="120" w:type="dxa"/>
              <w:bottom w:w="90" w:type="dxa"/>
              <w:right w:w="120" w:type="dxa"/>
            </w:tcMar>
            <w:vAlign w:val="center"/>
          </w:tcPr>
          <w:p w14:paraId="6526AC9E">
            <w:pPr>
              <w:jc w:val="center"/>
            </w:pPr>
            <w:r>
              <w:rPr>
                <w:b w:val="0"/>
                <w:bCs w:val="0"/>
                <w:color w:val="000000"/>
                <w:sz w:val="20"/>
                <w:szCs w:val="20"/>
              </w:rPr>
              <w:t>10</w:t>
            </w:r>
          </w:p>
        </w:tc>
        <w:tc>
          <w:tcPr>
            <w:tcW w:w="5780" w:type="dxa"/>
            <w:shd w:val="clear" w:color="auto" w:fill="FFFFFF"/>
            <w:tcMar>
              <w:top w:w="90" w:type="dxa"/>
              <w:left w:w="120" w:type="dxa"/>
              <w:bottom w:w="90" w:type="dxa"/>
              <w:right w:w="120" w:type="dxa"/>
            </w:tcMar>
            <w:vAlign w:val="center"/>
          </w:tcPr>
          <w:p w14:paraId="17CD76EF">
            <w:pPr>
              <w:jc w:val="left"/>
            </w:pPr>
            <w:r>
              <w:rPr>
                <w:b w:val="0"/>
                <w:bCs w:val="0"/>
                <w:color w:val="000000"/>
                <w:sz w:val="20"/>
                <w:szCs w:val="20"/>
              </w:rPr>
              <w:t>Home ownership = OWN</w:t>
            </w:r>
          </w:p>
        </w:tc>
        <w:tc>
          <w:tcPr>
            <w:tcW w:w="3000" w:type="dxa"/>
            <w:shd w:val="clear" w:color="auto" w:fill="FFFFFF"/>
            <w:tcMar>
              <w:top w:w="90" w:type="dxa"/>
              <w:left w:w="120" w:type="dxa"/>
              <w:bottom w:w="90" w:type="dxa"/>
              <w:right w:w="120" w:type="dxa"/>
            </w:tcMar>
            <w:vAlign w:val="center"/>
          </w:tcPr>
          <w:p w14:paraId="430DB225">
            <w:pPr>
              <w:jc w:val="center"/>
            </w:pPr>
            <w:r>
              <w:rPr>
                <w:b w:val="0"/>
                <w:bCs w:val="0"/>
                <w:color w:val="000000"/>
                <w:sz w:val="20"/>
                <w:szCs w:val="20"/>
              </w:rPr>
              <w:t>0.0187</w:t>
            </w:r>
          </w:p>
        </w:tc>
      </w:tr>
    </w:tbl>
    <w:p w14:paraId="65C903BF">
      <w:pPr>
        <w:spacing w:before="200" w:after="0"/>
      </w:pPr>
    </w:p>
    <w:p w14:paraId="514B9B87">
      <w:pPr>
        <w:pStyle w:val="2"/>
        <w:pBdr>
          <w:bottom w:val="single" w:color="1F3864" w:sz="6" w:space="4"/>
        </w:pBdr>
        <w:spacing w:before="320" w:after="160"/>
      </w:pPr>
      <w:r>
        <w:rPr>
          <w:b/>
          <w:bCs/>
          <w:color w:val="1F3864"/>
          <w:sz w:val="30"/>
          <w:szCs w:val="30"/>
        </w:rPr>
        <w:t>8. Limitations</w:t>
      </w:r>
    </w:p>
    <w:p w14:paraId="1872F381">
      <w:pPr>
        <w:pStyle w:val="16"/>
        <w:numPr>
          <w:ilvl w:val="0"/>
          <w:numId w:val="1"/>
        </w:numPr>
        <w:spacing w:after="80" w:line="268" w:lineRule="auto"/>
      </w:pPr>
      <w:r>
        <w:rPr>
          <w:sz w:val="22"/>
          <w:szCs w:val="22"/>
        </w:rPr>
        <w:t>loan_int_rate and loan_grade are assigned by the lender at origination and partly encode a prior risk assessment, so a pre-application scorecard should be re-validated without them.</w:t>
      </w:r>
    </w:p>
    <w:p w14:paraId="0E6E0CD0">
      <w:pPr>
        <w:pStyle w:val="16"/>
        <w:numPr>
          <w:ilvl w:val="0"/>
          <w:numId w:val="1"/>
        </w:numPr>
        <w:spacing w:after="80" w:line="268" w:lineRule="auto"/>
      </w:pPr>
      <w:r>
        <w:rPr>
          <w:sz w:val="22"/>
          <w:szCs w:val="22"/>
        </w:rPr>
        <w:t>The dataset is a single static snapshot with no time dimension, so model drift over time cannot be measured from it alone.</w:t>
      </w:r>
    </w:p>
    <w:p w14:paraId="6A254421">
      <w:pPr>
        <w:pStyle w:val="16"/>
        <w:numPr>
          <w:ilvl w:val="0"/>
          <w:numId w:val="1"/>
        </w:numPr>
        <w:spacing w:after="80" w:line="268" w:lineRule="auto"/>
      </w:pPr>
      <w:r>
        <w:rPr>
          <w:sz w:val="22"/>
          <w:szCs w:val="22"/>
        </w:rPr>
        <w:t>Before any production use, the model needs periodic back-testing and a fairness review against protected characteristics, since none of the current features were audited for disparate impact.</w:t>
      </w:r>
    </w:p>
    <w:p w14:paraId="6628BE84">
      <w:pPr>
        <w:pStyle w:val="2"/>
        <w:pBdr>
          <w:bottom w:val="single" w:color="1F3864" w:sz="6" w:space="4"/>
        </w:pBdr>
        <w:spacing w:before="320" w:after="160"/>
      </w:pPr>
      <w:r>
        <w:rPr>
          <w:b/>
          <w:bCs/>
          <w:color w:val="1F3864"/>
          <w:sz w:val="30"/>
          <w:szCs w:val="30"/>
        </w:rPr>
        <w:t>9. Conclusion</w:t>
      </w:r>
    </w:p>
    <w:p w14:paraId="27B4203A">
      <w:pPr>
        <w:spacing w:after="160" w:line="276" w:lineRule="auto"/>
      </w:pPr>
      <w:r>
        <w:rPr>
          <w:sz w:val="22"/>
          <w:szCs w:val="22"/>
        </w:rPr>
        <w:t>Gradient Boosting, tuned via randomized search and evaluated with a business-appropriate decision threshold, is the recommended model: it achieves the best F1-Score (0.832) and ROC-AUC (0.941) of the four algorithms tested, with precision high enough (0.950) that a rejection decision can be trusted with reasonably low risk of penalising a genuinely creditworthy applicant. Loan-to-income leverage, the lender's own credit grade, and renter status are consistently the three strongest predictors of default across both impurity-based and permutation-based importance measures.</w:t>
      </w:r>
      <w:bookmarkStart w:id="0" w:name="_GoBack"/>
      <w:bookmarkEnd w:id="0"/>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743E57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1030</Words>
  <Characters>6060</Characters>
  <TotalTime>1</TotalTime>
  <ScaleCrop>false</ScaleCrop>
  <LinksUpToDate>false</LinksUpToDate>
  <CharactersWithSpaces>6947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2026-09-24T15:56:00Z</dcterms:created>
  <dc:creator>Un-named</dc:creator>
  <cp:lastModifiedBy>Abir Ahmed</cp:lastModifiedBy>
  <dcterms:modified xsi:type="dcterms:W3CDTF">2026-09-24T16:45:49Z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eyJoZGlkIjoiM2YxYmQxYjVkYzhlZDY5MzNmZDQ0YmFhOTFlZjU5MjMiLCJ1c2VySWQiOiIzMTc4NzA3MTg3MTQ1In0=</vt:lpwstr>
  </property>
  <property fmtid="{D5CDD505-2E9C-101B-9397-08002B2CF9AE}" pid="3" name="KSOProductBuildVer">
    <vt:lpwstr>1033-12.1.0.28485</vt:lpwstr>
  </property>
  <property fmtid="{D5CDD505-2E9C-101B-9397-08002B2CF9AE}" pid="4" name="ICV">
    <vt:lpwstr>764C905F38124D03A274779C98948F4D_12</vt:lpwstr>
  </property>
</Properties>
</file>