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41784">
      <w:pPr>
        <w:spacing w:after="40"/>
        <w:jc w:val="center"/>
      </w:pPr>
      <w:r>
        <w:rPr>
          <w:b/>
          <w:bCs/>
          <w:sz w:val="44"/>
          <w:szCs w:val="44"/>
        </w:rPr>
        <w:t>Disease Prediction via Classification</w:t>
      </w:r>
    </w:p>
    <w:p w14:paraId="501AFBEF">
      <w:pPr>
        <w:spacing w:after="40"/>
        <w:jc w:val="center"/>
      </w:pPr>
      <w:r>
        <w:rPr>
          <w:b/>
          <w:bCs/>
          <w:color w:val="2E5395"/>
          <w:sz w:val="30"/>
          <w:szCs w:val="30"/>
        </w:rPr>
        <w:t>Diabetes Risk Prediction — Analysis Summary</w:t>
      </w:r>
    </w:p>
    <w:p w14:paraId="73569955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BRFSS 2015 Health Indicators Dataset  |  Logistic Regression · Random Forest · SVM · XGBoost</w:t>
      </w:r>
    </w:p>
    <w:p w14:paraId="3F05AA7C">
      <w:pPr>
        <w:pStyle w:val="2"/>
        <w:spacing w:before="300" w:after="150"/>
      </w:pPr>
      <w:r>
        <w:t>1. Objective</w:t>
      </w:r>
    </w:p>
    <w:p w14:paraId="1B23F798">
      <w:pPr>
        <w:spacing w:after="160"/>
      </w:pPr>
      <w:r>
        <w:t>Predict the possibility of disease — specifically diabetes — from structured patient/health-survey data, by applying and comparing standard classification techniques: Support Vector Machine (SVM), Logistic Regression, Random Forest, and XGBoost.</w:t>
      </w:r>
    </w:p>
    <w:p w14:paraId="6F2FD015">
      <w:pPr>
        <w:pStyle w:val="2"/>
        <w:spacing w:before="300" w:after="150"/>
      </w:pPr>
      <w:r>
        <w:t>2. Dataset</w:t>
      </w:r>
    </w:p>
    <w:p w14:paraId="167D6A2E">
      <w:pPr>
        <w:spacing w:after="160"/>
      </w:pPr>
      <w:r>
        <w:t>This analysis uses the Diabetes Health Indicators Dataset, derived from the CDC's 2015 Behavioral Risk Factor Surveillance System (BRFSS) survey — the same family of public health datasets referenced by the UCI Machine Learning Repository for diabetes classification tasks. Three CSV variants were supplied:</w:t>
      </w:r>
    </w:p>
    <w:p w14:paraId="2C74997B">
      <w:pPr>
        <w:pStyle w:val="16"/>
        <w:numPr>
          <w:ilvl w:val="0"/>
          <w:numId w:val="1"/>
        </w:numPr>
        <w:spacing w:after="80"/>
      </w:pPr>
      <w:r>
        <w:t>diabetes_binary_health_indicators_BRFSS2015.csv — 253,680 records, binary target, naturally imbalanced (~86% no-diabetes / 14% diabetes).</w:t>
      </w:r>
    </w:p>
    <w:p w14:paraId="5D327F5A">
      <w:pPr>
        <w:pStyle w:val="16"/>
        <w:numPr>
          <w:ilvl w:val="0"/>
          <w:numId w:val="1"/>
        </w:numPr>
        <w:spacing w:after="80"/>
      </w:pPr>
      <w:r>
        <w:t>diabetes_binary_5050split_health_indicators_BRFSS2015.csv — 70,692 records, binary target, down-sampled to an exact 50/50 class balance.</w:t>
      </w:r>
    </w:p>
    <w:p w14:paraId="36D88142">
      <w:pPr>
        <w:pStyle w:val="16"/>
        <w:numPr>
          <w:ilvl w:val="0"/>
          <w:numId w:val="1"/>
        </w:numPr>
        <w:spacing w:after="80"/>
      </w:pPr>
      <w:r>
        <w:t>diabetes_012_health_indicators_BRFSS2015.csv — 253,680 records, 3-class target (no diabetes / pre-diabetes / diabetes).</w:t>
      </w:r>
    </w:p>
    <w:p w14:paraId="05C3AB64">
      <w:pPr>
        <w:spacing w:after="160"/>
      </w:pPr>
      <w:r>
        <w:t>The balanced 50/50 dataset was used as the primary training/evaluation set for fair model comparison, since a naive classifier on the raw imbalanced data can reach ~86% accuracy while never correctly identifying a diabetic patient. The full imbalanced dataset was then used as a secondary real-world sanity check on the best model (Section 6). The 3-class dataset was used separately in Section 7 to repeat the comparison on the no-diabetes / pre-diabetes / diabetes target, so that all three supplied files are used in this analysis.</w:t>
      </w:r>
    </w:p>
    <w:p w14:paraId="4DCFD1C6">
      <w:pPr>
        <w:spacing w:after="160"/>
      </w:pPr>
      <w:r>
        <w:t>Features (21 total) capture self-reported health conditions, behaviors, and demographics — the closest available analogue in this survey dataset to "symptoms / exam results": HighBP, HighChol, CholCheck, BMI, Smoker, Stroke, HeartDiseaseorAttack, PhysActivity, Fruits, Veggies, HvyAlcoholConsump, AnyHealthcare, NoDocbcCost, GenHlth (self-rated general health), MentHlth, PhysHlth, DiffWalk, Sex, Age (bracket), Education (level), Income (bracket). There were no missing values in any file.</w:t>
      </w:r>
    </w:p>
    <w:p w14:paraId="1A02DC01">
      <w:pPr>
        <w:pStyle w:val="2"/>
        <w:spacing w:before="300" w:after="150"/>
      </w:pPr>
      <w:r>
        <w:t>3. Methodology</w:t>
      </w:r>
    </w:p>
    <w:p w14:paraId="62E4900F">
      <w:pPr>
        <w:pStyle w:val="16"/>
        <w:numPr>
          <w:ilvl w:val="0"/>
          <w:numId w:val="1"/>
        </w:numPr>
        <w:spacing w:after="80"/>
      </w:pPr>
      <w:r>
        <w:t>Stratified 80/20 train-test split on the balanced dataset (random_state = 42).</w:t>
      </w:r>
    </w:p>
    <w:p w14:paraId="0827CC07">
      <w:pPr>
        <w:pStyle w:val="16"/>
        <w:numPr>
          <w:ilvl w:val="0"/>
          <w:numId w:val="1"/>
        </w:numPr>
        <w:spacing w:after="80"/>
      </w:pPr>
      <w:r>
        <w:t>Feature scaling (StandardScaler) applied for Logistic Regression and SVM, which are distance/gradient-sensitive; Random Forest and XGBoost trained on unscaled features.</w:t>
      </w:r>
    </w:p>
    <w:p w14:paraId="2245BFB5">
      <w:pPr>
        <w:pStyle w:val="16"/>
        <w:numPr>
          <w:ilvl w:val="0"/>
          <w:numId w:val="1"/>
        </w:numPr>
        <w:spacing w:after="80"/>
      </w:pPr>
      <w:r>
        <w:t>SVM (RBF kernel) trained on a random 10,000-row subsample of the training data to keep runtime tractable, given the O(n²)–O(n³) cost of kernel methods; evaluation was still performed on the full held-out test set.</w:t>
      </w:r>
    </w:p>
    <w:p w14:paraId="0323E434">
      <w:pPr>
        <w:pStyle w:val="16"/>
        <w:numPr>
          <w:ilvl w:val="0"/>
          <w:numId w:val="1"/>
        </w:numPr>
        <w:spacing w:after="80"/>
      </w:pPr>
      <w:r>
        <w:t>Random Forest: 300 trees, max depth 12. XGBoost: 300 estimators, max depth 6, learning rate 0.1, subsample/colsample 0.8.</w:t>
      </w:r>
    </w:p>
    <w:p w14:paraId="27F7E48C">
      <w:pPr>
        <w:pStyle w:val="16"/>
        <w:numPr>
          <w:ilvl w:val="0"/>
          <w:numId w:val="1"/>
        </w:numPr>
        <w:spacing w:after="80"/>
      </w:pPr>
      <w:r>
        <w:t>Evaluation metrics: Accuracy, Precision, Recall, F1-score, and ROC-AUC — reported together since accuracy alone is misleading for medical/imbalanced classification.</w:t>
      </w:r>
    </w:p>
    <w:p w14:paraId="65CBD3B3">
      <w:pPr>
        <w:pStyle w:val="2"/>
        <w:spacing w:before="300" w:after="150"/>
      </w:pPr>
      <w:r>
        <w:t>4. Model Comparison</w:t>
      </w:r>
    </w:p>
    <w:p w14:paraId="5562DAC8">
      <w:pPr>
        <w:spacing w:after="160"/>
      </w:pPr>
      <w:r>
        <w:t>All four models were trained and evaluated on an identical stratified split of the balanced dataset. Results, sorted by ROC-AUC:</w:t>
      </w:r>
    </w:p>
    <w:tbl>
      <w:tblPr>
        <w:tblStyle w:val="9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560"/>
        <w:gridCol w:w="1560"/>
        <w:gridCol w:w="1560"/>
        <w:gridCol w:w="1560"/>
        <w:gridCol w:w="1560"/>
      </w:tblGrid>
      <w:tr w14:paraId="02757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48E19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9B199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10962">
            <w:pPr>
              <w:jc w:val="center"/>
            </w:pPr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16E4A">
            <w:pPr>
              <w:jc w:val="center"/>
            </w:pPr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D49BB">
            <w:pPr>
              <w:jc w:val="center"/>
            </w:pPr>
            <w:r>
              <w:rPr>
                <w:b/>
                <w:bCs/>
                <w:color w:val="FFFFFF"/>
              </w:rPr>
              <w:t>F1-score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4957">
            <w:pPr>
              <w:jc w:val="center"/>
            </w:pPr>
            <w:r>
              <w:rPr>
                <w:b/>
                <w:bCs/>
                <w:color w:val="FFFFFF"/>
              </w:rPr>
              <w:t>ROC-AUC</w:t>
            </w:r>
          </w:p>
        </w:tc>
      </w:tr>
      <w:tr w14:paraId="228F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BA2DC">
            <w:pPr>
              <w:jc w:val="center"/>
            </w:pPr>
            <w:r>
              <w:rPr>
                <w:b w:val="0"/>
                <w:bCs w:val="0"/>
                <w:color w:val="000000"/>
              </w:rPr>
              <w:t>Random Forest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5ECF">
            <w:pPr>
              <w:jc w:val="center"/>
            </w:pPr>
            <w:r>
              <w:rPr>
                <w:b w:val="0"/>
                <w:bCs w:val="0"/>
                <w:color w:val="000000"/>
              </w:rPr>
              <w:t>0.749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6882">
            <w:pPr>
              <w:jc w:val="center"/>
            </w:pPr>
            <w:r>
              <w:rPr>
                <w:b w:val="0"/>
                <w:bCs w:val="0"/>
                <w:color w:val="000000"/>
              </w:rPr>
              <w:t>0.728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2CC94">
            <w:pPr>
              <w:jc w:val="center"/>
            </w:pPr>
            <w:r>
              <w:rPr>
                <w:b w:val="0"/>
                <w:bCs w:val="0"/>
                <w:color w:val="000000"/>
              </w:rPr>
              <w:t>0.7949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8D28">
            <w:pPr>
              <w:jc w:val="center"/>
            </w:pPr>
            <w:r>
              <w:rPr>
                <w:b w:val="0"/>
                <w:bCs w:val="0"/>
                <w:color w:val="000000"/>
              </w:rPr>
              <w:t>0.76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20596">
            <w:pPr>
              <w:jc w:val="center"/>
            </w:pPr>
            <w:r>
              <w:rPr>
                <w:b w:val="0"/>
                <w:bCs w:val="0"/>
                <w:color w:val="000000"/>
              </w:rPr>
              <w:t>0.8283</w:t>
            </w:r>
          </w:p>
        </w:tc>
      </w:tr>
      <w:tr w14:paraId="2C05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8AEF7">
            <w:pPr>
              <w:jc w:val="center"/>
            </w:pPr>
            <w:r>
              <w:rPr>
                <w:b w:val="0"/>
                <w:bCs w:val="0"/>
                <w:color w:val="000000"/>
              </w:rPr>
              <w:t>XGBoost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63265">
            <w:pPr>
              <w:jc w:val="center"/>
            </w:pPr>
            <w:r>
              <w:rPr>
                <w:b w:val="0"/>
                <w:bCs w:val="0"/>
                <w:color w:val="000000"/>
              </w:rPr>
              <w:t>0.7497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5EF2">
            <w:pPr>
              <w:jc w:val="center"/>
            </w:pPr>
            <w:r>
              <w:rPr>
                <w:b w:val="0"/>
                <w:bCs w:val="0"/>
                <w:color w:val="000000"/>
              </w:rPr>
              <w:t>0.7304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38C04">
            <w:pPr>
              <w:jc w:val="center"/>
            </w:pPr>
            <w:r>
              <w:rPr>
                <w:b w:val="0"/>
                <w:bCs w:val="0"/>
                <w:color w:val="000000"/>
              </w:rPr>
              <w:t>0.7915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57F2">
            <w:pPr>
              <w:jc w:val="center"/>
            </w:pPr>
            <w:r>
              <w:rPr>
                <w:b w:val="0"/>
                <w:bCs w:val="0"/>
                <w:color w:val="000000"/>
              </w:rPr>
              <w:t>0.7597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882B6">
            <w:pPr>
              <w:jc w:val="center"/>
            </w:pPr>
            <w:r>
              <w:rPr>
                <w:b w:val="0"/>
                <w:bCs w:val="0"/>
                <w:color w:val="000000"/>
              </w:rPr>
              <w:t>0.8274</w:t>
            </w:r>
          </w:p>
        </w:tc>
      </w:tr>
      <w:tr w14:paraId="4967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6106">
            <w:pPr>
              <w:jc w:val="center"/>
            </w:pPr>
            <w:r>
              <w:rPr>
                <w:b w:val="0"/>
                <w:bCs w:val="0"/>
                <w:color w:val="000000"/>
              </w:rPr>
              <w:t>Logistic Regression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5E5D5">
            <w:pPr>
              <w:jc w:val="center"/>
            </w:pPr>
            <w:r>
              <w:rPr>
                <w:b w:val="0"/>
                <w:bCs w:val="0"/>
                <w:color w:val="000000"/>
              </w:rPr>
              <w:t>0.7458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7454C">
            <w:pPr>
              <w:jc w:val="center"/>
            </w:pPr>
            <w:r>
              <w:rPr>
                <w:b w:val="0"/>
                <w:bCs w:val="0"/>
                <w:color w:val="000000"/>
              </w:rPr>
              <w:t>0.7372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E9BDC">
            <w:pPr>
              <w:jc w:val="center"/>
            </w:pPr>
            <w:r>
              <w:rPr>
                <w:b w:val="0"/>
                <w:bCs w:val="0"/>
                <w:color w:val="000000"/>
              </w:rPr>
              <w:t>0.7639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FF82C">
            <w:pPr>
              <w:jc w:val="center"/>
            </w:pPr>
            <w:r>
              <w:rPr>
                <w:b w:val="0"/>
                <w:bCs w:val="0"/>
                <w:color w:val="000000"/>
              </w:rPr>
              <w:t>0.7503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7B543">
            <w:pPr>
              <w:jc w:val="center"/>
            </w:pPr>
            <w:r>
              <w:rPr>
                <w:b w:val="0"/>
                <w:bCs w:val="0"/>
                <w:color w:val="000000"/>
              </w:rPr>
              <w:t>0.8232</w:t>
            </w:r>
          </w:p>
        </w:tc>
      </w:tr>
      <w:tr w14:paraId="4134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7029C">
            <w:pPr>
              <w:jc w:val="center"/>
            </w:pPr>
            <w:r>
              <w:rPr>
                <w:b w:val="0"/>
                <w:bCs w:val="0"/>
                <w:color w:val="000000"/>
              </w:rPr>
              <w:t>SVM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FDC2C">
            <w:pPr>
              <w:jc w:val="center"/>
            </w:pPr>
            <w:r>
              <w:rPr>
                <w:b w:val="0"/>
                <w:bCs w:val="0"/>
                <w:color w:val="000000"/>
              </w:rPr>
              <w:t>0.745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A856D">
            <w:pPr>
              <w:jc w:val="center"/>
            </w:pPr>
            <w:r>
              <w:rPr>
                <w:b w:val="0"/>
                <w:bCs w:val="0"/>
                <w:color w:val="000000"/>
              </w:rPr>
              <w:t>0.7187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EE471">
            <w:pPr>
              <w:jc w:val="center"/>
            </w:pPr>
            <w:r>
              <w:rPr>
                <w:b w:val="0"/>
                <w:bCs w:val="0"/>
                <w:color w:val="000000"/>
              </w:rPr>
              <w:t>0.8051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F906">
            <w:pPr>
              <w:jc w:val="center"/>
            </w:pPr>
            <w:r>
              <w:rPr>
                <w:b w:val="0"/>
                <w:bCs w:val="0"/>
                <w:color w:val="000000"/>
              </w:rPr>
              <w:t>0.7595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188C">
            <w:pPr>
              <w:jc w:val="center"/>
            </w:pPr>
            <w:r>
              <w:rPr>
                <w:b w:val="0"/>
                <w:bCs w:val="0"/>
                <w:color w:val="000000"/>
              </w:rPr>
              <w:t>0.8146</w:t>
            </w:r>
          </w:p>
        </w:tc>
      </w:tr>
    </w:tbl>
    <w:p w14:paraId="0FD0D95D">
      <w:pPr>
        <w:spacing w:after="200"/>
      </w:pPr>
    </w:p>
    <w:p w14:paraId="532967A1">
      <w:pPr>
        <w:spacing w:after="160"/>
      </w:pPr>
      <w:r>
        <w:t>Random Forest achieved the highest ROC-AUC, though all four models perform closely (ROC-AUC 0.81–0.83), indicating the ceiling here is largely set by the predictive signal available in self-reported survey features rather than by algorithm choice.</w:t>
      </w:r>
    </w:p>
    <w:p w14:paraId="42BD5B64">
      <w:pPr>
        <w:spacing w:after="200"/>
        <w:jc w:val="center"/>
      </w:pPr>
      <w:r>
        <w:drawing>
          <wp:inline distT="0" distB="0" distL="0" distR="0">
            <wp:extent cx="533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3654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1 — Accuracy, Precision, Recall, F1-score and ROC-AUC across all four models.</w:t>
      </w:r>
    </w:p>
    <w:p w14:paraId="4020C649">
      <w:pPr>
        <w:spacing w:after="200"/>
        <w:jc w:val="center"/>
      </w:pPr>
      <w:r>
        <w:drawing>
          <wp:inline distT="0" distB="0" distL="0" distR="0">
            <wp:extent cx="41910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E6B4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2 — ROC curves for all four models (diagonal = random-chance baseline).</w:t>
      </w:r>
    </w:p>
    <w:p w14:paraId="7B49BBE5">
      <w:pPr>
        <w:pStyle w:val="2"/>
        <w:spacing w:before="300" w:after="150"/>
      </w:pPr>
      <w:r>
        <w:t>5. Confusion Matrices &amp; Feature Importance</w:t>
      </w:r>
    </w:p>
    <w:p w14:paraId="67ECDE29">
      <w:pPr>
        <w:spacing w:after="200"/>
        <w:jc w:val="center"/>
      </w:pPr>
      <w:r>
        <w:drawing>
          <wp:inline distT="0" distB="0" distL="0" distR="0">
            <wp:extent cx="5905500" cy="1314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A9C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3 — Confusion matrices on the held-out test set (rows = actual, columns = predicted).</w:t>
      </w:r>
    </w:p>
    <w:p w14:paraId="6B149FEF">
      <w:pPr>
        <w:spacing w:after="200"/>
        <w:jc w:val="center"/>
      </w:pPr>
      <w:r>
        <w:drawing>
          <wp:inline distT="0" distB="0" distL="0" distR="0">
            <wp:extent cx="5905500" cy="2524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505E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4 — Top 15 feature importances, Random Forest (left) vs. XGBoost (right).</w:t>
      </w:r>
    </w:p>
    <w:p w14:paraId="50F3E95F">
      <w:pPr>
        <w:spacing w:after="160"/>
      </w:pPr>
      <w:r>
        <w:t xml:space="preserve">Both tree ensembles consistently rank </w:t>
      </w:r>
      <w:r>
        <w:rPr>
          <w:b/>
          <w:bCs/>
        </w:rPr>
        <w:t>GenHlth (self-rated general health), BMI, Age, HighBP, HighChol, Income, and DiffWalk</w:t>
      </w:r>
      <w:r>
        <w:t xml:space="preserve"> among the strongest predictors — consistent with established clinical risk factors for type-2 diabetes (obesity, hypertension, hypercholesterolemia, age, and reduced physical function).</w:t>
      </w:r>
    </w:p>
    <w:p w14:paraId="4D4CD026">
      <w:pPr>
        <w:pStyle w:val="2"/>
        <w:spacing w:before="300" w:after="150"/>
      </w:pPr>
      <w:r>
        <w:t>6. Real-World Sanity Check (Imbalanced Data)</w:t>
      </w:r>
    </w:p>
    <w:p w14:paraId="37CA8C72">
      <w:pPr>
        <w:spacing w:after="160"/>
      </w:pPr>
      <w:r>
        <w:t>The best-performing model (Random Forest) was re-evaluated on a held-out split of the full, imbalanced BRFSS dataset (~86%/14% class ratio) to gauge real-world generalization:</w:t>
      </w:r>
    </w:p>
    <w:p w14:paraId="347A7600">
      <w:pPr>
        <w:pStyle w:val="16"/>
        <w:numPr>
          <w:ilvl w:val="0"/>
          <w:numId w:val="1"/>
        </w:numPr>
        <w:spacing w:after="80"/>
      </w:pPr>
      <w:r>
        <w:t>Accuracy: 0.7263 (rises — driven mainly by the majority "no diabetes" class)</w:t>
      </w:r>
    </w:p>
    <w:p w14:paraId="4B81C230">
      <w:pPr>
        <w:pStyle w:val="16"/>
        <w:numPr>
          <w:ilvl w:val="0"/>
          <w:numId w:val="1"/>
        </w:numPr>
        <w:spacing w:after="80"/>
      </w:pPr>
      <w:r>
        <w:t>Precision: 0.3159 (drops sharply — many false positives once diabetic cases are rare)</w:t>
      </w:r>
    </w:p>
    <w:p w14:paraId="2B5AC32C">
      <w:pPr>
        <w:pStyle w:val="16"/>
        <w:numPr>
          <w:ilvl w:val="0"/>
          <w:numId w:val="1"/>
        </w:numPr>
        <w:spacing w:after="80"/>
      </w:pPr>
      <w:r>
        <w:t>Recall: 0.8271 (stays strong — the model still catches most true diabetic cases)</w:t>
      </w:r>
    </w:p>
    <w:p w14:paraId="23FA2D60">
      <w:pPr>
        <w:pStyle w:val="16"/>
        <w:numPr>
          <w:ilvl w:val="0"/>
          <w:numId w:val="1"/>
        </w:numPr>
        <w:spacing w:after="80"/>
      </w:pPr>
      <w:r>
        <w:t>F1-score: 0.4572</w:t>
      </w:r>
    </w:p>
    <w:p w14:paraId="4B94E68D">
      <w:pPr>
        <w:pStyle w:val="16"/>
        <w:numPr>
          <w:ilvl w:val="0"/>
          <w:numId w:val="1"/>
        </w:numPr>
        <w:spacing w:after="80"/>
      </w:pPr>
      <w:r>
        <w:t>ROC-AUC: 0.8471 (in line with the balanced-data result, since AUC is threshold/imbalance-robust)</w:t>
      </w:r>
    </w:p>
    <w:p w14:paraId="33BB6E56">
      <w:pPr>
        <w:spacing w:after="160"/>
      </w:pPr>
      <w:r>
        <w:t>This confirms the model's discriminative ability (ROC-AUC) transfers well to the real class distribution, but that a fixed 0.5 decision threshold trades away precision for recall in this setting — expected and often acceptable in a screening context, where missing a true diabetic case (false negative) is costlier than an extra follow-up test (false positive). A production deployment should tune the decision threshold to the desired clinical precision/recall trade-off rather than defaulting to 0.5.</w:t>
      </w:r>
    </w:p>
    <w:p w14:paraId="4515DF35">
      <w:pPr>
        <w:pStyle w:val="2"/>
        <w:spacing w:before="300" w:after="150"/>
      </w:pPr>
      <w:r>
        <w:t>7. Multiclass Analysis (3-Class Dataset)</w:t>
      </w:r>
    </w:p>
    <w:p w14:paraId="3C3DD62F">
      <w:pPr>
        <w:spacing w:after="160"/>
      </w:pPr>
      <w:r>
        <w:t>The third supplied file labels patients into three classes: no diabetes, pre-diabetes, and diabetes. Unlike the binary file, it is not pre-balanced. The same four algorithms were retrained on this target (with class-weighting to compensate for imbalance) so that all three provided datasets are used in this analysis.</w:t>
      </w:r>
    </w:p>
    <w:tbl>
      <w:tblPr>
        <w:tblStyle w:val="9"/>
        <w:tblW w:w="10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560"/>
        <w:gridCol w:w="1870"/>
        <w:gridCol w:w="1870"/>
        <w:gridCol w:w="1560"/>
        <w:gridCol w:w="1440"/>
      </w:tblGrid>
      <w:tr w14:paraId="179E6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14C9">
            <w:pPr>
              <w:jc w:val="center"/>
            </w:pPr>
            <w:bookmarkStart w:id="0" w:name="_GoBack" w:colFirst="0" w:colLast="5"/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A8095">
            <w:pPr>
              <w:jc w:val="center"/>
            </w:pPr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87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28CE6">
            <w:pPr>
              <w:jc w:val="center"/>
            </w:pPr>
            <w:r>
              <w:rPr>
                <w:b/>
                <w:bCs/>
                <w:color w:val="FFFFFF"/>
              </w:rPr>
              <w:t>Balanced Accuracy</w:t>
            </w:r>
          </w:p>
        </w:tc>
        <w:tc>
          <w:tcPr>
            <w:tcW w:w="187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8C76E">
            <w:pPr>
              <w:jc w:val="center"/>
            </w:pPr>
            <w:r>
              <w:rPr>
                <w:b/>
                <w:bCs/>
                <w:color w:val="FFFFFF"/>
              </w:rPr>
              <w:t>Precision (macro)</w:t>
            </w:r>
          </w:p>
        </w:tc>
        <w:tc>
          <w:tcPr>
            <w:tcW w:w="156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AA70E">
            <w:pPr>
              <w:jc w:val="center"/>
            </w:pPr>
            <w:r>
              <w:rPr>
                <w:b/>
                <w:bCs/>
                <w:color w:val="FFFFFF"/>
              </w:rPr>
              <w:t>Recall (macro)</w:t>
            </w:r>
          </w:p>
        </w:tc>
        <w:tc>
          <w:tcPr>
            <w:tcW w:w="1440" w:type="dxa"/>
            <w:shd w:val="clear" w:color="auto" w:fill="9BBB59" w:themeFill="accent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597DA">
            <w:pPr>
              <w:jc w:val="center"/>
            </w:pPr>
            <w:r>
              <w:rPr>
                <w:b/>
                <w:bCs/>
                <w:color w:val="FFFFFF"/>
              </w:rPr>
              <w:t>F1 (macro)</w:t>
            </w:r>
          </w:p>
        </w:tc>
      </w:tr>
      <w:bookmarkEnd w:id="0"/>
      <w:tr w14:paraId="42F4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47081">
            <w:pPr>
              <w:jc w:val="center"/>
            </w:pPr>
            <w:r>
              <w:rPr>
                <w:b w:val="0"/>
                <w:bCs w:val="0"/>
                <w:color w:val="000000"/>
              </w:rPr>
              <w:t>Random Forest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F06D">
            <w:pPr>
              <w:jc w:val="center"/>
            </w:pPr>
            <w:r>
              <w:rPr>
                <w:b w:val="0"/>
                <w:bCs w:val="0"/>
                <w:color w:val="000000"/>
              </w:rPr>
              <w:t>0.712</w:t>
            </w:r>
          </w:p>
        </w:tc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19696">
            <w:pPr>
              <w:jc w:val="center"/>
            </w:pPr>
            <w:r>
              <w:rPr>
                <w:b w:val="0"/>
                <w:bCs w:val="0"/>
                <w:color w:val="000000"/>
              </w:rPr>
              <w:t>0.503</w:t>
            </w:r>
          </w:p>
        </w:tc>
        <w:tc>
          <w:tcPr>
            <w:tcW w:w="187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8C0A7">
            <w:pPr>
              <w:jc w:val="center"/>
            </w:pPr>
            <w:r>
              <w:rPr>
                <w:b w:val="0"/>
                <w:bCs w:val="0"/>
                <w:color w:val="000000"/>
              </w:rPr>
              <w:t>0.4321</w:t>
            </w:r>
          </w:p>
        </w:tc>
        <w:tc>
          <w:tcPr>
            <w:tcW w:w="15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A2A8B">
            <w:pPr>
              <w:jc w:val="center"/>
            </w:pPr>
            <w:r>
              <w:rPr>
                <w:b w:val="0"/>
                <w:bCs w:val="0"/>
                <w:color w:val="000000"/>
              </w:rPr>
              <w:t>0.503</w:t>
            </w:r>
          </w:p>
        </w:tc>
        <w:tc>
          <w:tcPr>
            <w:tcW w:w="14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C6D35">
            <w:pPr>
              <w:jc w:val="center"/>
            </w:pPr>
            <w:r>
              <w:rPr>
                <w:b w:val="0"/>
                <w:bCs w:val="0"/>
                <w:color w:val="000000"/>
              </w:rPr>
              <w:t>0.4364</w:t>
            </w:r>
          </w:p>
        </w:tc>
      </w:tr>
      <w:tr w14:paraId="1BAA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46CA">
            <w:pPr>
              <w:jc w:val="center"/>
            </w:pPr>
            <w:r>
              <w:rPr>
                <w:b w:val="0"/>
                <w:bCs w:val="0"/>
                <w:color w:val="000000"/>
              </w:rPr>
              <w:t>SVM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376BC">
            <w:pPr>
              <w:jc w:val="center"/>
            </w:pPr>
            <w:r>
              <w:rPr>
                <w:b w:val="0"/>
                <w:bCs w:val="0"/>
                <w:color w:val="000000"/>
              </w:rPr>
              <w:t>0.6644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5BF2A">
            <w:pPr>
              <w:jc w:val="center"/>
            </w:pPr>
            <w:r>
              <w:rPr>
                <w:b w:val="0"/>
                <w:bCs w:val="0"/>
                <w:color w:val="000000"/>
              </w:rPr>
              <w:t>0.4906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ABAAD">
            <w:pPr>
              <w:jc w:val="center"/>
            </w:pPr>
            <w:r>
              <w:rPr>
                <w:b w:val="0"/>
                <w:bCs w:val="0"/>
                <w:color w:val="000000"/>
              </w:rPr>
              <w:t>0.4261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277DD">
            <w:pPr>
              <w:jc w:val="center"/>
            </w:pPr>
            <w:r>
              <w:rPr>
                <w:b w:val="0"/>
                <w:bCs w:val="0"/>
                <w:color w:val="000000"/>
              </w:rPr>
              <w:t>0.4906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854C8">
            <w:pPr>
              <w:jc w:val="center"/>
            </w:pPr>
            <w:r>
              <w:rPr>
                <w:b w:val="0"/>
                <w:bCs w:val="0"/>
                <w:color w:val="000000"/>
              </w:rPr>
              <w:t>0.4177</w:t>
            </w:r>
          </w:p>
        </w:tc>
      </w:tr>
      <w:tr w14:paraId="332D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A2E2">
            <w:pPr>
              <w:jc w:val="center"/>
            </w:pPr>
            <w:r>
              <w:rPr>
                <w:b w:val="0"/>
                <w:bCs w:val="0"/>
                <w:color w:val="000000"/>
              </w:rPr>
              <w:t>XGBoost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F403D">
            <w:pPr>
              <w:jc w:val="center"/>
            </w:pPr>
            <w:r>
              <w:rPr>
                <w:b w:val="0"/>
                <w:bCs w:val="0"/>
                <w:color w:val="000000"/>
              </w:rPr>
              <w:t>0.8485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968F4">
            <w:pPr>
              <w:jc w:val="center"/>
            </w:pPr>
            <w:r>
              <w:rPr>
                <w:b w:val="0"/>
                <w:bCs w:val="0"/>
                <w:color w:val="000000"/>
              </w:rPr>
              <w:t>0.3882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56DB0">
            <w:pPr>
              <w:jc w:val="center"/>
            </w:pPr>
            <w:r>
              <w:rPr>
                <w:b w:val="0"/>
                <w:bCs w:val="0"/>
                <w:color w:val="000000"/>
              </w:rPr>
              <w:t>0.4692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199F5">
            <w:pPr>
              <w:jc w:val="center"/>
            </w:pPr>
            <w:r>
              <w:rPr>
                <w:b w:val="0"/>
                <w:bCs w:val="0"/>
                <w:color w:val="000000"/>
              </w:rPr>
              <w:t>0.3882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EC13D">
            <w:pPr>
              <w:jc w:val="center"/>
            </w:pPr>
            <w:r>
              <w:rPr>
                <w:b w:val="0"/>
                <w:bCs w:val="0"/>
                <w:color w:val="000000"/>
              </w:rPr>
              <w:t>0.3989</w:t>
            </w:r>
          </w:p>
        </w:tc>
      </w:tr>
      <w:tr w14:paraId="1408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8795D">
            <w:pPr>
              <w:jc w:val="center"/>
            </w:pPr>
            <w:r>
              <w:rPr>
                <w:b w:val="0"/>
                <w:bCs w:val="0"/>
                <w:color w:val="000000"/>
              </w:rPr>
              <w:t>Logistic Regression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95233">
            <w:pPr>
              <w:jc w:val="center"/>
            </w:pPr>
            <w:r>
              <w:rPr>
                <w:b w:val="0"/>
                <w:bCs w:val="0"/>
                <w:color w:val="000000"/>
              </w:rPr>
              <w:t>0.8455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BFB11">
            <w:pPr>
              <w:jc w:val="center"/>
            </w:pPr>
            <w:r>
              <w:rPr>
                <w:b w:val="0"/>
                <w:bCs w:val="0"/>
                <w:color w:val="000000"/>
              </w:rPr>
              <w:t>0.3829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01FFC">
            <w:pPr>
              <w:jc w:val="center"/>
            </w:pPr>
            <w:r>
              <w:rPr>
                <w:b w:val="0"/>
                <w:bCs w:val="0"/>
                <w:color w:val="000000"/>
              </w:rPr>
              <w:t>0.4587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05B46">
            <w:pPr>
              <w:jc w:val="center"/>
            </w:pPr>
            <w:r>
              <w:rPr>
                <w:b w:val="0"/>
                <w:bCs w:val="0"/>
                <w:color w:val="000000"/>
              </w:rPr>
              <w:t>0.3829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C1D9E">
            <w:pPr>
              <w:jc w:val="center"/>
            </w:pPr>
            <w:r>
              <w:rPr>
                <w:b w:val="0"/>
                <w:bCs w:val="0"/>
                <w:color w:val="000000"/>
              </w:rPr>
              <w:t>0.3916</w:t>
            </w:r>
          </w:p>
        </w:tc>
      </w:tr>
    </w:tbl>
    <w:p w14:paraId="7FB5A620">
      <w:pPr>
        <w:spacing w:after="200"/>
      </w:pPr>
    </w:p>
    <w:p w14:paraId="4E10694A">
      <w:pPr>
        <w:spacing w:after="160"/>
      </w:pPr>
      <w:r>
        <w:t>Accuracy alone is misleading here — Logistic Regression and XGBoost reach ~84–85% accuracy simply by leaning on the dominant "no diabetes" class, while macro-F1 (which weights all three classes equally) is far lower for every model. By macro-F1, Random Forest performs best, but all four models share the same weak point below.</w:t>
      </w:r>
    </w:p>
    <w:p w14:paraId="47D1C2A2">
      <w:pPr>
        <w:spacing w:after="200"/>
        <w:jc w:val="center"/>
      </w:pPr>
      <w:r>
        <w:drawing>
          <wp:inline distT="0" distB="0" distL="0" distR="0">
            <wp:extent cx="53340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F7CC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5 — Multiclass comparison: accuracy, balanced accuracy, and macro precision/recall/F1.</w:t>
      </w:r>
    </w:p>
    <w:p w14:paraId="12D06367">
      <w:pPr>
        <w:spacing w:after="200"/>
        <w:jc w:val="center"/>
      </w:pPr>
      <w:r>
        <w:drawing>
          <wp:inline distT="0" distB="0" distL="0" distR="0">
            <wp:extent cx="5905500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6FF4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6 — Row-normalized confusion matrices, 3-class models (rows = actual, columns = predicted).</w:t>
      </w:r>
    </w:p>
    <w:p w14:paraId="06E10D6C">
      <w:pPr>
        <w:spacing w:after="160"/>
      </w:pPr>
      <w:r>
        <w:t>Every model struggles to identify the pre-diabetes class: most pre-diabetic patients are predicted as "no diabetes" instead. This is a known characteristic of this dataset — pre-diabetes is both a small minority class and clinically similar to its neighbors on these survey features — rather than a weakness of any one algorithm. Practically, this means the binary framing (Sections 1–6, diabetes vs. no-diabetes) remains the more useful model if the goal is reliably flagging at-risk patients; the 3-class model is included here for completeness since it was one of the three supplied datasets.</w:t>
      </w:r>
    </w:p>
    <w:p w14:paraId="31C72E57">
      <w:pPr>
        <w:pStyle w:val="2"/>
        <w:spacing w:before="300" w:after="150"/>
      </w:pPr>
      <w:r>
        <w:t>8. Conclusions &amp; Recommendations</w:t>
      </w:r>
    </w:p>
    <w:p w14:paraId="1B907E49">
      <w:pPr>
        <w:pStyle w:val="16"/>
        <w:numPr>
          <w:ilvl w:val="0"/>
          <w:numId w:val="1"/>
        </w:numPr>
        <w:spacing w:after="80"/>
      </w:pPr>
      <w:r>
        <w:t>All four algorithms are viable for this task; Random Forest and XGBoost hold a small, consistent edge over Logistic Regression and SVM on ROC-AUC and F1-score.</w:t>
      </w:r>
    </w:p>
    <w:p w14:paraId="5258FA31">
      <w:pPr>
        <w:pStyle w:val="16"/>
        <w:numPr>
          <w:ilvl w:val="0"/>
          <w:numId w:val="1"/>
        </w:numPr>
        <w:spacing w:after="80"/>
      </w:pPr>
      <w:r>
        <w:t>Recall (sensitivity) is the most clinically relevant metric for a screening tool of this kind — it should be prioritized over raw accuracy.</w:t>
      </w:r>
    </w:p>
    <w:p w14:paraId="15DB1DA6">
      <w:pPr>
        <w:pStyle w:val="16"/>
        <w:numPr>
          <w:ilvl w:val="0"/>
          <w:numId w:val="1"/>
        </w:numPr>
        <w:spacing w:after="80"/>
      </w:pPr>
      <w:r>
        <w:t>The dominant predictive features (GenHlth, BMI, Age, HighBP, HighChol) match known clinical risk factors, giving confidence the models are learning genuine signal rather than spurious correlations.</w:t>
      </w:r>
    </w:p>
    <w:p w14:paraId="34A58C49">
      <w:pPr>
        <w:pStyle w:val="16"/>
        <w:numPr>
          <w:ilvl w:val="0"/>
          <w:numId w:val="1"/>
        </w:numPr>
        <w:spacing w:after="80"/>
      </w:pPr>
      <w:r>
        <w:t>Accuracy on the natural, imbalanced population is a poor standalone metric; report precision/recall/ROC-AUC together, and consider resampling or class-weighting strategies (as done here) or a cost-sensitive threshold.</w:t>
      </w:r>
    </w:p>
    <w:p w14:paraId="35CD7262">
      <w:pPr>
        <w:pStyle w:val="16"/>
        <w:numPr>
          <w:ilvl w:val="0"/>
          <w:numId w:val="1"/>
        </w:numPr>
        <w:spacing w:after="80"/>
      </w:pPr>
      <w:r>
        <w:t>Recommended next steps: hyperparameter tuning via cross-validation, probability calibration, testing with additional clinical variables (e.g. HbA1c or fasting glucose, if available) to complement survey-based features, and external validation on an independent cohort.</w:t>
      </w:r>
    </w:p>
    <w:p w14:paraId="4462A640">
      <w:pPr>
        <w:pStyle w:val="16"/>
        <w:numPr>
          <w:ilvl w:val="0"/>
          <w:numId w:val="1"/>
        </w:numPr>
        <w:spacing w:after="80"/>
      </w:pPr>
      <w:r>
        <w:t>The 3-class extension confirms the binary framing is the more practically deployable one for this dataset, since every algorithm struggles to separate the rare pre-diabetes class from its neighbors.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88D54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1161</Words>
  <Characters>7128</Characters>
  <TotalTime>0</TotalTime>
  <ScaleCrop>false</ScaleCrop>
  <LinksUpToDate>false</LinksUpToDate>
  <CharactersWithSpaces>8183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2026-09-25T17:14:00Z</dcterms:created>
  <dc:creator>Un-named</dc:creator>
  <cp:lastModifiedBy>Abir Ahmed</cp:lastModifiedBy>
  <dcterms:modified xsi:type="dcterms:W3CDTF">2026-09-25T17:38:13Z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eyJoZGlkIjoiM2YxYmQxYjVkYzhlZDY5MzNmZDQ0YmFhOTFlZjU5MjMiLCJ1c2VySWQiOiIzMTc4NzA3MTg3MTQ1In0=</vt:lpwstr>
  </property>
  <property fmtid="{D5CDD505-2E9C-101B-9397-08002B2CF9AE}" pid="3" name="KSOProductBuildVer">
    <vt:lpwstr>1033-12.1.0.28485</vt:lpwstr>
  </property>
  <property fmtid="{D5CDD505-2E9C-101B-9397-08002B2CF9AE}" pid="4" name="ICV">
    <vt:lpwstr>8D9AA3661DA44849A415BDE0A8968D8B_12</vt:lpwstr>
  </property>
</Properties>
</file>