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65B979" w14:textId="5B83402A" w:rsidR="00EF1039" w:rsidRPr="00EF1039" w:rsidRDefault="00982629" w:rsidP="00EF1039">
      <w:pPr>
        <w:jc w:val="center"/>
        <w:rPr>
          <w:rFonts w:cstheme="minorHAnsi"/>
          <w:u w:val="single"/>
        </w:rPr>
      </w:pPr>
      <w:r>
        <w:rPr>
          <w:rFonts w:cstheme="minorHAnsi"/>
          <w:u w:val="single"/>
        </w:rPr>
        <w:t>VST and Kruskal-Wallace Assignment</w:t>
      </w:r>
      <w:bookmarkStart w:id="0" w:name="_GoBack"/>
      <w:bookmarkEnd w:id="0"/>
    </w:p>
    <w:p w14:paraId="7A890B8E" w14:textId="77777777" w:rsidR="00EF1039" w:rsidRDefault="00EF1039">
      <w:pPr>
        <w:rPr>
          <w:rFonts w:cstheme="minorHAnsi"/>
        </w:rPr>
      </w:pPr>
    </w:p>
    <w:p w14:paraId="768D340E" w14:textId="4B63FB8F" w:rsidR="007358EF" w:rsidRPr="008B4F6F" w:rsidRDefault="00EF1039" w:rsidP="008B4F6F">
      <w:pPr>
        <w:rPr>
          <w:rFonts w:cstheme="minorHAnsi"/>
        </w:rPr>
      </w:pPr>
      <w:r w:rsidRPr="008B4F6F">
        <w:rPr>
          <w:rFonts w:cstheme="minorHAnsi"/>
        </w:rPr>
        <w:t xml:space="preserve">A civil engineer is interested in determining whether four different methods of estimating flood flow frequency produce equivalent estimates of peak discharge when applied to the same watershed. Each procedure is used six times on the watershed, and the resulting discharge data (in cubic feet per second) are shown below. </w:t>
      </w:r>
    </w:p>
    <w:p w14:paraId="2212E577" w14:textId="77777777" w:rsidR="00EF1039" w:rsidRDefault="00EF1039">
      <w:pPr>
        <w:rPr>
          <w:rFonts w:cstheme="minorHAnsi"/>
        </w:rPr>
      </w:pPr>
    </w:p>
    <w:tbl>
      <w:tblPr>
        <w:tblStyle w:val="TableGrid"/>
        <w:tblW w:w="0" w:type="auto"/>
        <w:jc w:val="center"/>
        <w:tblLook w:val="04A0" w:firstRow="1" w:lastRow="0" w:firstColumn="1" w:lastColumn="0" w:noHBand="0" w:noVBand="1"/>
      </w:tblPr>
      <w:tblGrid>
        <w:gridCol w:w="1258"/>
        <w:gridCol w:w="764"/>
        <w:gridCol w:w="764"/>
        <w:gridCol w:w="764"/>
        <w:gridCol w:w="764"/>
        <w:gridCol w:w="764"/>
        <w:gridCol w:w="764"/>
      </w:tblGrid>
      <w:tr w:rsidR="00EF1039" w14:paraId="1B7EA6FA" w14:textId="77777777" w:rsidTr="00EF1039">
        <w:trPr>
          <w:jc w:val="center"/>
        </w:trPr>
        <w:tc>
          <w:tcPr>
            <w:tcW w:w="0" w:type="auto"/>
            <w:vAlign w:val="center"/>
          </w:tcPr>
          <w:p w14:paraId="49F9BAC1" w14:textId="77777777" w:rsidR="00EF1039" w:rsidRDefault="00EF1039" w:rsidP="00EF1039">
            <w:pPr>
              <w:jc w:val="center"/>
              <w:rPr>
                <w:rFonts w:cstheme="minorHAnsi"/>
              </w:rPr>
            </w:pPr>
            <w:r>
              <w:rPr>
                <w:rFonts w:cstheme="minorHAnsi"/>
              </w:rPr>
              <w:t>Estimation</w:t>
            </w:r>
          </w:p>
          <w:p w14:paraId="0C7E649E" w14:textId="77777777" w:rsidR="00EF1039" w:rsidRDefault="00EF1039" w:rsidP="00EF1039">
            <w:pPr>
              <w:jc w:val="center"/>
              <w:rPr>
                <w:rFonts w:cstheme="minorHAnsi"/>
              </w:rPr>
            </w:pPr>
            <w:r>
              <w:rPr>
                <w:rFonts w:cstheme="minorHAnsi"/>
              </w:rPr>
              <w:t>Method</w:t>
            </w:r>
          </w:p>
        </w:tc>
        <w:tc>
          <w:tcPr>
            <w:tcW w:w="0" w:type="auto"/>
            <w:gridSpan w:val="6"/>
            <w:vAlign w:val="center"/>
          </w:tcPr>
          <w:p w14:paraId="67E6C774" w14:textId="77777777" w:rsidR="00EF1039" w:rsidRDefault="00EF1039" w:rsidP="00EF1039">
            <w:pPr>
              <w:jc w:val="center"/>
              <w:rPr>
                <w:rFonts w:cstheme="minorHAnsi"/>
              </w:rPr>
            </w:pPr>
            <w:r>
              <w:rPr>
                <w:rFonts w:cstheme="minorHAnsi"/>
              </w:rPr>
              <w:t>Observations</w:t>
            </w:r>
          </w:p>
        </w:tc>
      </w:tr>
      <w:tr w:rsidR="00EF1039" w14:paraId="5E0105B6" w14:textId="77777777" w:rsidTr="00EF1039">
        <w:trPr>
          <w:jc w:val="center"/>
        </w:trPr>
        <w:tc>
          <w:tcPr>
            <w:tcW w:w="0" w:type="auto"/>
          </w:tcPr>
          <w:p w14:paraId="64D885A2" w14:textId="77777777" w:rsidR="00EF1039" w:rsidRDefault="00EF1039" w:rsidP="00EF1039">
            <w:pPr>
              <w:jc w:val="center"/>
              <w:rPr>
                <w:rFonts w:cstheme="minorHAnsi"/>
              </w:rPr>
            </w:pPr>
            <w:r>
              <w:rPr>
                <w:rFonts w:cstheme="minorHAnsi"/>
              </w:rPr>
              <w:t>1</w:t>
            </w:r>
          </w:p>
        </w:tc>
        <w:tc>
          <w:tcPr>
            <w:tcW w:w="0" w:type="auto"/>
            <w:vAlign w:val="center"/>
          </w:tcPr>
          <w:p w14:paraId="618B7642" w14:textId="77777777" w:rsidR="00EF1039" w:rsidRDefault="00EF1039" w:rsidP="00EF1039">
            <w:pPr>
              <w:jc w:val="center"/>
              <w:rPr>
                <w:rFonts w:cstheme="minorHAnsi"/>
              </w:rPr>
            </w:pPr>
            <w:r>
              <w:rPr>
                <w:rFonts w:cstheme="minorHAnsi"/>
              </w:rPr>
              <w:t>.34</w:t>
            </w:r>
          </w:p>
        </w:tc>
        <w:tc>
          <w:tcPr>
            <w:tcW w:w="0" w:type="auto"/>
            <w:vAlign w:val="center"/>
          </w:tcPr>
          <w:p w14:paraId="3E44BD16" w14:textId="77777777" w:rsidR="00EF1039" w:rsidRDefault="00EF1039" w:rsidP="00EF1039">
            <w:pPr>
              <w:jc w:val="center"/>
              <w:rPr>
                <w:rFonts w:cstheme="minorHAnsi"/>
              </w:rPr>
            </w:pPr>
            <w:r>
              <w:rPr>
                <w:rFonts w:cstheme="minorHAnsi"/>
              </w:rPr>
              <w:t>.12</w:t>
            </w:r>
          </w:p>
        </w:tc>
        <w:tc>
          <w:tcPr>
            <w:tcW w:w="0" w:type="auto"/>
            <w:vAlign w:val="center"/>
          </w:tcPr>
          <w:p w14:paraId="6E16B92D" w14:textId="77777777" w:rsidR="00EF1039" w:rsidRDefault="00EF1039" w:rsidP="00EF1039">
            <w:pPr>
              <w:jc w:val="center"/>
              <w:rPr>
                <w:rFonts w:cstheme="minorHAnsi"/>
              </w:rPr>
            </w:pPr>
            <w:r>
              <w:rPr>
                <w:rFonts w:cstheme="minorHAnsi"/>
              </w:rPr>
              <w:t>1.23</w:t>
            </w:r>
          </w:p>
        </w:tc>
        <w:tc>
          <w:tcPr>
            <w:tcW w:w="0" w:type="auto"/>
            <w:vAlign w:val="center"/>
          </w:tcPr>
          <w:p w14:paraId="78CAD86C" w14:textId="77777777" w:rsidR="00EF1039" w:rsidRDefault="00EF1039" w:rsidP="00EF1039">
            <w:pPr>
              <w:jc w:val="center"/>
              <w:rPr>
                <w:rFonts w:cstheme="minorHAnsi"/>
              </w:rPr>
            </w:pPr>
            <w:r>
              <w:rPr>
                <w:rFonts w:cstheme="minorHAnsi"/>
              </w:rPr>
              <w:t>.70</w:t>
            </w:r>
          </w:p>
        </w:tc>
        <w:tc>
          <w:tcPr>
            <w:tcW w:w="0" w:type="auto"/>
            <w:vAlign w:val="center"/>
          </w:tcPr>
          <w:p w14:paraId="18DDA8CA" w14:textId="77777777" w:rsidR="00EF1039" w:rsidRDefault="00EF1039" w:rsidP="00EF1039">
            <w:pPr>
              <w:jc w:val="center"/>
              <w:rPr>
                <w:rFonts w:cstheme="minorHAnsi"/>
              </w:rPr>
            </w:pPr>
            <w:r>
              <w:rPr>
                <w:rFonts w:cstheme="minorHAnsi"/>
              </w:rPr>
              <w:t>1.75</w:t>
            </w:r>
          </w:p>
        </w:tc>
        <w:tc>
          <w:tcPr>
            <w:tcW w:w="0" w:type="auto"/>
            <w:vAlign w:val="center"/>
          </w:tcPr>
          <w:p w14:paraId="0AA1031C" w14:textId="77777777" w:rsidR="00EF1039" w:rsidRDefault="00EF1039" w:rsidP="00EF1039">
            <w:pPr>
              <w:jc w:val="center"/>
              <w:rPr>
                <w:rFonts w:cstheme="minorHAnsi"/>
              </w:rPr>
            </w:pPr>
            <w:r>
              <w:rPr>
                <w:rFonts w:cstheme="minorHAnsi"/>
              </w:rPr>
              <w:t>.12</w:t>
            </w:r>
          </w:p>
        </w:tc>
      </w:tr>
      <w:tr w:rsidR="00EF1039" w14:paraId="5574565C" w14:textId="77777777" w:rsidTr="00EF1039">
        <w:trPr>
          <w:jc w:val="center"/>
        </w:trPr>
        <w:tc>
          <w:tcPr>
            <w:tcW w:w="0" w:type="auto"/>
          </w:tcPr>
          <w:p w14:paraId="68450E53" w14:textId="77777777" w:rsidR="00EF1039" w:rsidRDefault="00EF1039" w:rsidP="00EF1039">
            <w:pPr>
              <w:jc w:val="center"/>
              <w:rPr>
                <w:rFonts w:cstheme="minorHAnsi"/>
              </w:rPr>
            </w:pPr>
            <w:r>
              <w:rPr>
                <w:rFonts w:cstheme="minorHAnsi"/>
              </w:rPr>
              <w:t>2</w:t>
            </w:r>
          </w:p>
        </w:tc>
        <w:tc>
          <w:tcPr>
            <w:tcW w:w="0" w:type="auto"/>
            <w:vAlign w:val="center"/>
          </w:tcPr>
          <w:p w14:paraId="3C4385FB" w14:textId="77777777" w:rsidR="00EF1039" w:rsidRDefault="00EF1039" w:rsidP="00EF1039">
            <w:pPr>
              <w:jc w:val="center"/>
              <w:rPr>
                <w:rFonts w:cstheme="minorHAnsi"/>
              </w:rPr>
            </w:pPr>
            <w:r>
              <w:rPr>
                <w:rFonts w:cstheme="minorHAnsi"/>
              </w:rPr>
              <w:t>.91</w:t>
            </w:r>
          </w:p>
        </w:tc>
        <w:tc>
          <w:tcPr>
            <w:tcW w:w="0" w:type="auto"/>
            <w:vAlign w:val="center"/>
          </w:tcPr>
          <w:p w14:paraId="0577C362" w14:textId="77777777" w:rsidR="00EF1039" w:rsidRDefault="00EF1039" w:rsidP="00EF1039">
            <w:pPr>
              <w:jc w:val="center"/>
              <w:rPr>
                <w:rFonts w:cstheme="minorHAnsi"/>
              </w:rPr>
            </w:pPr>
            <w:r>
              <w:rPr>
                <w:rFonts w:cstheme="minorHAnsi"/>
              </w:rPr>
              <w:t>2.94</w:t>
            </w:r>
          </w:p>
        </w:tc>
        <w:tc>
          <w:tcPr>
            <w:tcW w:w="0" w:type="auto"/>
            <w:vAlign w:val="center"/>
          </w:tcPr>
          <w:p w14:paraId="5E8F27DE" w14:textId="77777777" w:rsidR="00EF1039" w:rsidRDefault="00EF1039" w:rsidP="00EF1039">
            <w:pPr>
              <w:jc w:val="center"/>
              <w:rPr>
                <w:rFonts w:cstheme="minorHAnsi"/>
              </w:rPr>
            </w:pPr>
            <w:r>
              <w:rPr>
                <w:rFonts w:cstheme="minorHAnsi"/>
              </w:rPr>
              <w:t>2.14</w:t>
            </w:r>
          </w:p>
        </w:tc>
        <w:tc>
          <w:tcPr>
            <w:tcW w:w="0" w:type="auto"/>
            <w:vAlign w:val="center"/>
          </w:tcPr>
          <w:p w14:paraId="34F9625D" w14:textId="77777777" w:rsidR="00EF1039" w:rsidRDefault="00EF1039" w:rsidP="00EF1039">
            <w:pPr>
              <w:jc w:val="center"/>
              <w:rPr>
                <w:rFonts w:cstheme="minorHAnsi"/>
              </w:rPr>
            </w:pPr>
            <w:r>
              <w:rPr>
                <w:rFonts w:cstheme="minorHAnsi"/>
              </w:rPr>
              <w:t>2.36</w:t>
            </w:r>
          </w:p>
        </w:tc>
        <w:tc>
          <w:tcPr>
            <w:tcW w:w="0" w:type="auto"/>
            <w:vAlign w:val="center"/>
          </w:tcPr>
          <w:p w14:paraId="5E3F6725" w14:textId="77777777" w:rsidR="00EF1039" w:rsidRDefault="00EF1039" w:rsidP="00EF1039">
            <w:pPr>
              <w:jc w:val="center"/>
              <w:rPr>
                <w:rFonts w:cstheme="minorHAnsi"/>
              </w:rPr>
            </w:pPr>
            <w:r>
              <w:rPr>
                <w:rFonts w:cstheme="minorHAnsi"/>
              </w:rPr>
              <w:t>2.86</w:t>
            </w:r>
          </w:p>
        </w:tc>
        <w:tc>
          <w:tcPr>
            <w:tcW w:w="0" w:type="auto"/>
            <w:vAlign w:val="center"/>
          </w:tcPr>
          <w:p w14:paraId="4164DCB8" w14:textId="77777777" w:rsidR="00EF1039" w:rsidRDefault="00EF1039" w:rsidP="00EF1039">
            <w:pPr>
              <w:jc w:val="center"/>
              <w:rPr>
                <w:rFonts w:cstheme="minorHAnsi"/>
              </w:rPr>
            </w:pPr>
            <w:r>
              <w:rPr>
                <w:rFonts w:cstheme="minorHAnsi"/>
              </w:rPr>
              <w:t>4.55</w:t>
            </w:r>
          </w:p>
        </w:tc>
      </w:tr>
      <w:tr w:rsidR="00EF1039" w14:paraId="7A6DE48F" w14:textId="77777777" w:rsidTr="00EF1039">
        <w:trPr>
          <w:jc w:val="center"/>
        </w:trPr>
        <w:tc>
          <w:tcPr>
            <w:tcW w:w="0" w:type="auto"/>
          </w:tcPr>
          <w:p w14:paraId="6B21E741" w14:textId="77777777" w:rsidR="00EF1039" w:rsidRDefault="00EF1039" w:rsidP="00EF1039">
            <w:pPr>
              <w:jc w:val="center"/>
              <w:rPr>
                <w:rFonts w:cstheme="minorHAnsi"/>
              </w:rPr>
            </w:pPr>
            <w:r>
              <w:rPr>
                <w:rFonts w:cstheme="minorHAnsi"/>
              </w:rPr>
              <w:t>3</w:t>
            </w:r>
          </w:p>
        </w:tc>
        <w:tc>
          <w:tcPr>
            <w:tcW w:w="0" w:type="auto"/>
            <w:vAlign w:val="center"/>
          </w:tcPr>
          <w:p w14:paraId="0EB18EAB" w14:textId="77777777" w:rsidR="00EF1039" w:rsidRDefault="00EF1039" w:rsidP="00EF1039">
            <w:pPr>
              <w:jc w:val="center"/>
              <w:rPr>
                <w:rFonts w:cstheme="minorHAnsi"/>
              </w:rPr>
            </w:pPr>
            <w:r>
              <w:rPr>
                <w:rFonts w:cstheme="minorHAnsi"/>
              </w:rPr>
              <w:t>6.31</w:t>
            </w:r>
          </w:p>
        </w:tc>
        <w:tc>
          <w:tcPr>
            <w:tcW w:w="0" w:type="auto"/>
            <w:vAlign w:val="center"/>
          </w:tcPr>
          <w:p w14:paraId="4CBAF8E2" w14:textId="77777777" w:rsidR="00EF1039" w:rsidRDefault="00EF1039" w:rsidP="00EF1039">
            <w:pPr>
              <w:jc w:val="center"/>
              <w:rPr>
                <w:rFonts w:cstheme="minorHAnsi"/>
              </w:rPr>
            </w:pPr>
            <w:r>
              <w:rPr>
                <w:rFonts w:cstheme="minorHAnsi"/>
              </w:rPr>
              <w:t>8.37</w:t>
            </w:r>
          </w:p>
        </w:tc>
        <w:tc>
          <w:tcPr>
            <w:tcW w:w="0" w:type="auto"/>
            <w:vAlign w:val="center"/>
          </w:tcPr>
          <w:p w14:paraId="3BEAC9DF" w14:textId="77777777" w:rsidR="00EF1039" w:rsidRDefault="00EF1039" w:rsidP="00EF1039">
            <w:pPr>
              <w:jc w:val="center"/>
              <w:rPr>
                <w:rFonts w:cstheme="minorHAnsi"/>
              </w:rPr>
            </w:pPr>
            <w:r>
              <w:rPr>
                <w:rFonts w:cstheme="minorHAnsi"/>
              </w:rPr>
              <w:t>9.75</w:t>
            </w:r>
          </w:p>
        </w:tc>
        <w:tc>
          <w:tcPr>
            <w:tcW w:w="0" w:type="auto"/>
            <w:vAlign w:val="center"/>
          </w:tcPr>
          <w:p w14:paraId="394F4CB3" w14:textId="77777777" w:rsidR="00EF1039" w:rsidRDefault="00EF1039" w:rsidP="00EF1039">
            <w:pPr>
              <w:jc w:val="center"/>
              <w:rPr>
                <w:rFonts w:cstheme="minorHAnsi"/>
              </w:rPr>
            </w:pPr>
            <w:r>
              <w:rPr>
                <w:rFonts w:cstheme="minorHAnsi"/>
              </w:rPr>
              <w:t>6.09</w:t>
            </w:r>
          </w:p>
        </w:tc>
        <w:tc>
          <w:tcPr>
            <w:tcW w:w="0" w:type="auto"/>
            <w:vAlign w:val="center"/>
          </w:tcPr>
          <w:p w14:paraId="323E3CF4" w14:textId="77777777" w:rsidR="00EF1039" w:rsidRDefault="00EF1039" w:rsidP="00EF1039">
            <w:pPr>
              <w:jc w:val="center"/>
              <w:rPr>
                <w:rFonts w:cstheme="minorHAnsi"/>
              </w:rPr>
            </w:pPr>
            <w:r>
              <w:rPr>
                <w:rFonts w:cstheme="minorHAnsi"/>
              </w:rPr>
              <w:t>9.82</w:t>
            </w:r>
          </w:p>
        </w:tc>
        <w:tc>
          <w:tcPr>
            <w:tcW w:w="0" w:type="auto"/>
            <w:vAlign w:val="center"/>
          </w:tcPr>
          <w:p w14:paraId="18B532E3" w14:textId="77777777" w:rsidR="00EF1039" w:rsidRDefault="00EF1039" w:rsidP="00EF1039">
            <w:pPr>
              <w:jc w:val="center"/>
              <w:rPr>
                <w:rFonts w:cstheme="minorHAnsi"/>
              </w:rPr>
            </w:pPr>
            <w:r>
              <w:rPr>
                <w:rFonts w:cstheme="minorHAnsi"/>
              </w:rPr>
              <w:t>7.24</w:t>
            </w:r>
          </w:p>
        </w:tc>
      </w:tr>
      <w:tr w:rsidR="00EF1039" w14:paraId="0BE733DB" w14:textId="77777777" w:rsidTr="00EF1039">
        <w:trPr>
          <w:jc w:val="center"/>
        </w:trPr>
        <w:tc>
          <w:tcPr>
            <w:tcW w:w="0" w:type="auto"/>
          </w:tcPr>
          <w:p w14:paraId="64E647B2" w14:textId="77777777" w:rsidR="00EF1039" w:rsidRDefault="00EF1039" w:rsidP="00EF1039">
            <w:pPr>
              <w:jc w:val="center"/>
              <w:rPr>
                <w:rFonts w:cstheme="minorHAnsi"/>
              </w:rPr>
            </w:pPr>
            <w:r>
              <w:rPr>
                <w:rFonts w:cstheme="minorHAnsi"/>
              </w:rPr>
              <w:t>4</w:t>
            </w:r>
          </w:p>
        </w:tc>
        <w:tc>
          <w:tcPr>
            <w:tcW w:w="0" w:type="auto"/>
            <w:vAlign w:val="center"/>
          </w:tcPr>
          <w:p w14:paraId="71595A58" w14:textId="77777777" w:rsidR="00EF1039" w:rsidRDefault="00EF1039" w:rsidP="00EF1039">
            <w:pPr>
              <w:jc w:val="center"/>
              <w:rPr>
                <w:rFonts w:cstheme="minorHAnsi"/>
              </w:rPr>
            </w:pPr>
            <w:r>
              <w:rPr>
                <w:rFonts w:cstheme="minorHAnsi"/>
              </w:rPr>
              <w:t>17.15</w:t>
            </w:r>
          </w:p>
        </w:tc>
        <w:tc>
          <w:tcPr>
            <w:tcW w:w="0" w:type="auto"/>
            <w:vAlign w:val="center"/>
          </w:tcPr>
          <w:p w14:paraId="0BEBC447" w14:textId="77777777" w:rsidR="00EF1039" w:rsidRDefault="00EF1039" w:rsidP="00EF1039">
            <w:pPr>
              <w:jc w:val="center"/>
              <w:rPr>
                <w:rFonts w:cstheme="minorHAnsi"/>
              </w:rPr>
            </w:pPr>
            <w:r>
              <w:rPr>
                <w:rFonts w:cstheme="minorHAnsi"/>
              </w:rPr>
              <w:t>11.82</w:t>
            </w:r>
          </w:p>
        </w:tc>
        <w:tc>
          <w:tcPr>
            <w:tcW w:w="0" w:type="auto"/>
            <w:vAlign w:val="center"/>
          </w:tcPr>
          <w:p w14:paraId="6ED59741" w14:textId="77777777" w:rsidR="00EF1039" w:rsidRDefault="00EF1039" w:rsidP="00EF1039">
            <w:pPr>
              <w:jc w:val="center"/>
              <w:rPr>
                <w:rFonts w:cstheme="minorHAnsi"/>
              </w:rPr>
            </w:pPr>
            <w:r>
              <w:rPr>
                <w:rFonts w:cstheme="minorHAnsi"/>
              </w:rPr>
              <w:t>10.97</w:t>
            </w:r>
          </w:p>
        </w:tc>
        <w:tc>
          <w:tcPr>
            <w:tcW w:w="0" w:type="auto"/>
            <w:vAlign w:val="center"/>
          </w:tcPr>
          <w:p w14:paraId="1318930D" w14:textId="77777777" w:rsidR="00EF1039" w:rsidRDefault="00EF1039" w:rsidP="00EF1039">
            <w:pPr>
              <w:jc w:val="center"/>
              <w:rPr>
                <w:rFonts w:cstheme="minorHAnsi"/>
              </w:rPr>
            </w:pPr>
            <w:r>
              <w:rPr>
                <w:rFonts w:cstheme="minorHAnsi"/>
              </w:rPr>
              <w:t>17.20</w:t>
            </w:r>
          </w:p>
        </w:tc>
        <w:tc>
          <w:tcPr>
            <w:tcW w:w="0" w:type="auto"/>
            <w:vAlign w:val="center"/>
          </w:tcPr>
          <w:p w14:paraId="30CE05B5" w14:textId="77777777" w:rsidR="00EF1039" w:rsidRDefault="00EF1039" w:rsidP="00EF1039">
            <w:pPr>
              <w:jc w:val="center"/>
              <w:rPr>
                <w:rFonts w:cstheme="minorHAnsi"/>
              </w:rPr>
            </w:pPr>
            <w:r>
              <w:rPr>
                <w:rFonts w:cstheme="minorHAnsi"/>
              </w:rPr>
              <w:t>14.35</w:t>
            </w:r>
          </w:p>
        </w:tc>
        <w:tc>
          <w:tcPr>
            <w:tcW w:w="0" w:type="auto"/>
            <w:vAlign w:val="center"/>
          </w:tcPr>
          <w:p w14:paraId="6ABDBC21" w14:textId="77777777" w:rsidR="00EF1039" w:rsidRDefault="00EF1039" w:rsidP="00EF1039">
            <w:pPr>
              <w:jc w:val="center"/>
              <w:rPr>
                <w:rFonts w:cstheme="minorHAnsi"/>
              </w:rPr>
            </w:pPr>
            <w:r>
              <w:rPr>
                <w:rFonts w:cstheme="minorHAnsi"/>
              </w:rPr>
              <w:t>16.82</w:t>
            </w:r>
          </w:p>
        </w:tc>
      </w:tr>
    </w:tbl>
    <w:p w14:paraId="3FBD0152" w14:textId="77777777" w:rsidR="00EF1039" w:rsidRDefault="00EF1039">
      <w:pPr>
        <w:rPr>
          <w:rFonts w:cstheme="minorHAnsi"/>
        </w:rPr>
      </w:pPr>
    </w:p>
    <w:p w14:paraId="50E8796F" w14:textId="77777777" w:rsidR="00EF1039" w:rsidRDefault="00EF1039">
      <w:pPr>
        <w:rPr>
          <w:rFonts w:cstheme="minorHAnsi"/>
        </w:rPr>
      </w:pPr>
    </w:p>
    <w:p w14:paraId="01877E94" w14:textId="77777777" w:rsidR="00EF1039" w:rsidRDefault="00EF1039" w:rsidP="00EF1039">
      <w:pPr>
        <w:pStyle w:val="ListParagraph"/>
        <w:numPr>
          <w:ilvl w:val="0"/>
          <w:numId w:val="1"/>
        </w:numPr>
        <w:rPr>
          <w:rFonts w:cstheme="minorHAnsi"/>
        </w:rPr>
      </w:pPr>
      <w:r>
        <w:rPr>
          <w:rFonts w:cstheme="minorHAnsi"/>
        </w:rPr>
        <w:t>Write the linear effects equation and the hypothesis you are testing</w:t>
      </w:r>
    </w:p>
    <w:p w14:paraId="634A7347" w14:textId="26D3F9BE" w:rsidR="00EF1039" w:rsidRPr="00982629" w:rsidRDefault="00EF1039" w:rsidP="00982629">
      <w:pPr>
        <w:pStyle w:val="ListParagraph"/>
        <w:numPr>
          <w:ilvl w:val="0"/>
          <w:numId w:val="1"/>
        </w:numPr>
        <w:rPr>
          <w:rFonts w:cstheme="minorHAnsi"/>
        </w:rPr>
      </w:pPr>
      <w:r>
        <w:rPr>
          <w:rFonts w:cstheme="minorHAnsi"/>
        </w:rPr>
        <w:t>Does it appear the data is normally distributed?</w:t>
      </w:r>
      <w:r w:rsidR="00982629">
        <w:rPr>
          <w:rFonts w:cstheme="minorHAnsi"/>
        </w:rPr>
        <w:t xml:space="preserve"> </w:t>
      </w:r>
      <w:r w:rsidRPr="00982629">
        <w:rPr>
          <w:rFonts w:cstheme="minorHAnsi"/>
        </w:rPr>
        <w:t>Does it appear that the variance is constant?</w:t>
      </w:r>
    </w:p>
    <w:p w14:paraId="37F58F51" w14:textId="254065AA" w:rsidR="008B4F6F" w:rsidRPr="008B4F6F" w:rsidRDefault="008B4F6F" w:rsidP="008B4F6F">
      <w:pPr>
        <w:pStyle w:val="ListParagraph"/>
        <w:numPr>
          <w:ilvl w:val="0"/>
          <w:numId w:val="1"/>
        </w:numPr>
      </w:pPr>
      <w:r>
        <w:t>(nonparametric) Perform a Kruskal-Wallace test in R (</w:t>
      </w:r>
      <w:r>
        <w:sym w:font="Symbol" w:char="F061"/>
      </w:r>
      <w:r>
        <w:t>=0.05)</w:t>
      </w:r>
    </w:p>
    <w:p w14:paraId="2CDDFB40" w14:textId="754BC3F3" w:rsidR="00EF1039" w:rsidRPr="008B4F6F" w:rsidRDefault="008B4F6F" w:rsidP="008B4F6F">
      <w:pPr>
        <w:pStyle w:val="ListParagraph"/>
        <w:numPr>
          <w:ilvl w:val="0"/>
          <w:numId w:val="1"/>
        </w:numPr>
        <w:rPr>
          <w:rFonts w:cstheme="minorHAnsi"/>
        </w:rPr>
      </w:pPr>
      <w:r>
        <w:rPr>
          <w:rFonts w:cstheme="minorHAnsi"/>
        </w:rPr>
        <w:t xml:space="preserve">(parametric) </w:t>
      </w:r>
      <w:r w:rsidR="00EF1039">
        <w:rPr>
          <w:rFonts w:cstheme="minorHAnsi"/>
        </w:rPr>
        <w:t>Select an appropriate transformation using Box Cox</w:t>
      </w:r>
      <w:r>
        <w:rPr>
          <w:rFonts w:cstheme="minorHAnsi"/>
        </w:rPr>
        <w:t>, t</w:t>
      </w:r>
      <w:r w:rsidR="00EF1039" w:rsidRPr="008B4F6F">
        <w:rPr>
          <w:rFonts w:cstheme="minorHAnsi"/>
        </w:rPr>
        <w:t xml:space="preserve">ransform the data and test hypothesis </w:t>
      </w:r>
      <w:r>
        <w:rPr>
          <w:rFonts w:cstheme="minorHAnsi"/>
        </w:rPr>
        <w:t>in R (</w:t>
      </w:r>
      <w:r>
        <w:sym w:font="Symbol" w:char="F061"/>
      </w:r>
      <w:r>
        <w:t>=0.05)</w:t>
      </w:r>
    </w:p>
    <w:p w14:paraId="09509299" w14:textId="05C950FA" w:rsidR="00F117ED" w:rsidRDefault="00F117ED" w:rsidP="00F117ED">
      <w:pPr>
        <w:rPr>
          <w:rFonts w:cstheme="minorHAnsi"/>
        </w:rPr>
      </w:pPr>
    </w:p>
    <w:sectPr w:rsidR="00F117ED" w:rsidSect="00EE2F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193ECE"/>
    <w:multiLevelType w:val="hybridMultilevel"/>
    <w:tmpl w:val="E870A0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AF2C55"/>
    <w:multiLevelType w:val="hybridMultilevel"/>
    <w:tmpl w:val="818682EE"/>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5B55595"/>
    <w:multiLevelType w:val="hybridMultilevel"/>
    <w:tmpl w:val="D99CEE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590357"/>
    <w:multiLevelType w:val="hybridMultilevel"/>
    <w:tmpl w:val="91EEF1EA"/>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039"/>
    <w:rsid w:val="001049E3"/>
    <w:rsid w:val="007358EF"/>
    <w:rsid w:val="007E1A60"/>
    <w:rsid w:val="008B4F6F"/>
    <w:rsid w:val="00982629"/>
    <w:rsid w:val="00C54AE0"/>
    <w:rsid w:val="00EE2F74"/>
    <w:rsid w:val="00EF1039"/>
    <w:rsid w:val="00F117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EF8005"/>
  <w15:chartTrackingRefBased/>
  <w15:docId w15:val="{51685A80-2501-2045-939B-C8230FE55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enter">
    <w:name w:val="center"/>
    <w:basedOn w:val="DefaultParagraphFont"/>
    <w:rsid w:val="00EF1039"/>
  </w:style>
  <w:style w:type="character" w:customStyle="1" w:styleId="mjx-char">
    <w:name w:val="mjx-char"/>
    <w:basedOn w:val="DefaultParagraphFont"/>
    <w:rsid w:val="00EF1039"/>
  </w:style>
  <w:style w:type="character" w:customStyle="1" w:styleId="mjxassistivemathml">
    <w:name w:val="mjx_assistive_mathml"/>
    <w:basedOn w:val="DefaultParagraphFont"/>
    <w:rsid w:val="00EF1039"/>
  </w:style>
  <w:style w:type="table" w:styleId="TableGrid">
    <w:name w:val="Table Grid"/>
    <w:basedOn w:val="TableNormal"/>
    <w:uiPriority w:val="39"/>
    <w:rsid w:val="00EF10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F10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5003949">
      <w:bodyDiv w:val="1"/>
      <w:marLeft w:val="450"/>
      <w:marRight w:val="450"/>
      <w:marTop w:val="450"/>
      <w:marBottom w:val="300"/>
      <w:divBdr>
        <w:top w:val="none" w:sz="0" w:space="0" w:color="auto"/>
        <w:left w:val="none" w:sz="0" w:space="0" w:color="auto"/>
        <w:bottom w:val="none" w:sz="0" w:space="0" w:color="auto"/>
        <w:right w:val="none" w:sz="0" w:space="0" w:color="auto"/>
      </w:divBdr>
    </w:div>
    <w:div w:id="895435004">
      <w:bodyDiv w:val="1"/>
      <w:marLeft w:val="0"/>
      <w:marRight w:val="0"/>
      <w:marTop w:val="0"/>
      <w:marBottom w:val="0"/>
      <w:divBdr>
        <w:top w:val="none" w:sz="0" w:space="0" w:color="auto"/>
        <w:left w:val="none" w:sz="0" w:space="0" w:color="auto"/>
        <w:bottom w:val="none" w:sz="0" w:space="0" w:color="auto"/>
        <w:right w:val="none" w:sz="0" w:space="0" w:color="auto"/>
      </w:divBdr>
    </w:div>
    <w:div w:id="1832523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130</Words>
  <Characters>742</Characters>
  <Application>Microsoft Office Word</Application>
  <DocSecurity>0</DocSecurity>
  <Lines>6</Lines>
  <Paragraphs>1</Paragraphs>
  <ScaleCrop>false</ScaleCrop>
  <Company/>
  <LinksUpToDate>false</LinksUpToDate>
  <CharactersWithSpaces>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Matis, Timothy</cp:lastModifiedBy>
  <cp:revision>2</cp:revision>
  <dcterms:created xsi:type="dcterms:W3CDTF">2021-10-07T18:32:00Z</dcterms:created>
  <dcterms:modified xsi:type="dcterms:W3CDTF">2021-10-07T18:32:00Z</dcterms:modified>
</cp:coreProperties>
</file>