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 Pass Production Readiness Audit</w:t>
      </w:r>
    </w:p>
    <w:p>
      <w:pPr>
        <w:pStyle w:val="Subtitle"/>
      </w:pPr>
      <w:r>
        <w:t>Required fixes before real customers and Telebirr payments</w:t>
      </w:r>
    </w:p>
    <w:p>
      <w:r>
        <w:t>28 October 2026  |  Assessment for the project owner</w:t>
      </w:r>
    </w:p>
    <w:p>
      <w:pPr>
        <w:pStyle w:val="Heading2"/>
      </w:pPr>
      <w:r>
        <w:t>Launch recommendation</w:t>
      </w:r>
    </w:p>
    <w:p>
      <w:r>
        <w:t>Do not open the current demo for real reservations or money. Meda Pass has a useful booking prototype and a separate Laravel foundation, but production identity, payment processing, shared inventory and operating procedures are incomplete. The next stage should make one backend trustworthy and deployable before expanding the feature set.</w:t>
      </w:r>
    </w:p>
    <w:p>
      <w:r>
        <w:t>A separate signup page is not the main missing piece. Verified identity, secure account creation, recovery and permanent customer sessions are missing. A verified first sign-in may create an account automatically; entering a test FAN cannot serve as real authentication.</w:t>
      </w:r>
    </w:p>
    <w:p>
      <w:pPr>
        <w:pStyle w:val="Heading2"/>
      </w:pPr>
      <w:r>
        <w:t>What was checked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trPr>
        <w:tc>
          <w:tcPr>
            <w:tcW w:type="dxa" w:w="2088"/>
            <w:vAlign w:val="center"/>
            <w:tcMar>
              <w:top w:w="85" w:type="dxa"/>
              <w:bottom w:w="85" w:type="dxa"/>
              <w:left w:w="105" w:type="dxa"/>
              <w:right w:w="105" w:type="dxa"/>
            </w:tcMar>
            <w:shd w:fill="25364A"/>
          </w:tcPr>
          <w:p>
            <w:pPr>
              <w:spacing w:after="0" w:line="247" w:lineRule="auto"/>
            </w:pPr>
            <w:r>
              <w:rPr>
                <w:rFonts w:ascii="Arial" w:hAnsi="Arial"/>
                <w:b/>
                <w:color w:val="FFFFFF"/>
                <w:sz w:val="20"/>
              </w:rPr>
              <w:t>Area</w:t>
            </w:r>
          </w:p>
        </w:tc>
        <w:tc>
          <w:tcPr>
            <w:tcW w:type="dxa" w:w="7992"/>
            <w:vAlign w:val="center"/>
            <w:tcMar>
              <w:top w:w="85" w:type="dxa"/>
              <w:bottom w:w="85" w:type="dxa"/>
              <w:left w:w="105" w:type="dxa"/>
              <w:right w:w="105" w:type="dxa"/>
            </w:tcMar>
            <w:shd w:fill="25364A"/>
          </w:tcPr>
          <w:p>
            <w:pPr>
              <w:spacing w:after="0" w:line="247" w:lineRule="auto"/>
            </w:pPr>
            <w:r>
              <w:rPr>
                <w:rFonts w:ascii="Arial" w:hAnsi="Arial"/>
                <w:b/>
                <w:color w:val="FFFFFF"/>
                <w:sz w:val="20"/>
              </w:rPr>
              <w:t>Finding</w:t>
            </w:r>
          </w:p>
        </w:tc>
      </w:tr>
      <w:tr>
        <w:trPr>
          <w:cantSplit/>
        </w:trPr>
        <w:tc>
          <w:tcPr>
            <w:tcW w:type="dxa" w:w="2088"/>
            <w:vAlign w:val="center"/>
            <w:tcMar>
              <w:top w:w="85" w:type="dxa"/>
              <w:bottom w:w="85" w:type="dxa"/>
              <w:left w:w="105" w:type="dxa"/>
              <w:right w:w="105" w:type="dxa"/>
            </w:tcMar>
            <w:shd w:fill="FFFFFF"/>
          </w:tcPr>
          <w:p>
            <w:pPr>
              <w:spacing w:after="0" w:line="247" w:lineRule="auto"/>
            </w:pPr>
            <w:r>
              <w:rPr>
                <w:rFonts w:ascii="Arial" w:hAnsi="Arial"/>
                <w:b w:val="0"/>
                <w:color w:val="000000"/>
                <w:sz w:val="20"/>
              </w:rPr>
              <w:t>Published website</w:t>
            </w:r>
          </w:p>
        </w:tc>
        <w:tc>
          <w:tcPr>
            <w:tcW w:type="dxa" w:w="799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Version 1 remains private to its owner. An unsigned visitor reaches a ChatGPT sign-in gate.</w:t>
            </w:r>
          </w:p>
        </w:tc>
      </w:tr>
      <w:tr>
        <w:trPr>
          <w:cantSplit/>
        </w:trPr>
        <w:tc>
          <w:tcPr>
            <w:tcW w:type="dxa" w:w="2088"/>
            <w:vAlign w:val="center"/>
            <w:tcMar>
              <w:top w:w="85" w:type="dxa"/>
              <w:bottom w:w="85" w:type="dxa"/>
              <w:left w:w="105" w:type="dxa"/>
              <w:right w:w="105" w:type="dxa"/>
            </w:tcMar>
            <w:shd w:fill="F2F5F8"/>
          </w:tcPr>
          <w:p>
            <w:pPr>
              <w:spacing w:after="0" w:line="247" w:lineRule="auto"/>
            </w:pPr>
            <w:r>
              <w:rPr>
                <w:rFonts w:ascii="Arial" w:hAnsi="Arial"/>
                <w:b w:val="0"/>
                <w:color w:val="000000"/>
                <w:sz w:val="20"/>
              </w:rPr>
              <w:t>Review app</w:t>
            </w:r>
          </w:p>
        </w:tc>
        <w:tc>
          <w:tcPr>
            <w:tcW w:type="dxa" w:w="7992"/>
            <w:vAlign w:val="center"/>
            <w:tcMar>
              <w:top w:w="85" w:type="dxa"/>
              <w:bottom w:w="85" w:type="dxa"/>
              <w:left w:w="105" w:type="dxa"/>
              <w:right w:w="105" w:type="dxa"/>
            </w:tcMar>
            <w:shd w:fill="F2F5F8"/>
          </w:tcPr>
          <w:p>
            <w:pPr>
              <w:spacing w:after="0" w:line="247" w:lineRule="auto"/>
            </w:pPr>
            <w:r>
              <w:rPr>
                <w:rFonts w:ascii="Arial" w:hAnsi="Arial"/>
                <w:b w:val="0"/>
                <w:color w:val="000000"/>
                <w:sz w:val="20"/>
              </w:rPr>
              <w:t>Current local screens show mock FAN entry, selectable staff accounts, sample venues and five-second slot updates.</w:t>
            </w:r>
          </w:p>
        </w:tc>
      </w:tr>
      <w:tr>
        <w:trPr>
          <w:cantSplit/>
        </w:trPr>
        <w:tc>
          <w:tcPr>
            <w:tcW w:type="dxa" w:w="2088"/>
            <w:vAlign w:val="center"/>
            <w:tcMar>
              <w:top w:w="85" w:type="dxa"/>
              <w:bottom w:w="85" w:type="dxa"/>
              <w:left w:w="105" w:type="dxa"/>
              <w:right w:w="105" w:type="dxa"/>
            </w:tcMar>
            <w:shd w:fill="FFFFFF"/>
          </w:tcPr>
          <w:p>
            <w:pPr>
              <w:spacing w:after="0" w:line="247" w:lineRule="auto"/>
            </w:pPr>
            <w:r>
              <w:rPr>
                <w:rFonts w:ascii="Arial" w:hAnsi="Arial"/>
                <w:b w:val="0"/>
                <w:color w:val="000000"/>
                <w:sz w:val="20"/>
              </w:rPr>
              <w:t>Source</w:t>
            </w:r>
          </w:p>
        </w:tc>
        <w:tc>
          <w:tcPr>
            <w:tcW w:type="dxa" w:w="799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Reviewed commit ca81d8ff627b, including the React/D1 demo and the separate Laravel application.</w:t>
            </w:r>
          </w:p>
        </w:tc>
      </w:tr>
      <w:tr>
        <w:trPr>
          <w:cantSplit/>
        </w:trPr>
        <w:tc>
          <w:tcPr>
            <w:tcW w:type="dxa" w:w="2088"/>
            <w:vAlign w:val="center"/>
            <w:tcMar>
              <w:top w:w="85" w:type="dxa"/>
              <w:bottom w:w="85" w:type="dxa"/>
              <w:left w:w="105" w:type="dxa"/>
              <w:right w:w="105" w:type="dxa"/>
            </w:tcMar>
            <w:shd w:fill="F2F5F8"/>
          </w:tcPr>
          <w:p>
            <w:pPr>
              <w:spacing w:after="0" w:line="247" w:lineRule="auto"/>
            </w:pPr>
            <w:r>
              <w:rPr>
                <w:rFonts w:ascii="Arial" w:hAnsi="Arial"/>
                <w:b w:val="0"/>
                <w:color w:val="000000"/>
                <w:sz w:val="20"/>
              </w:rPr>
              <w:t>Checks run today</w:t>
            </w:r>
          </w:p>
        </w:tc>
        <w:tc>
          <w:tcPr>
            <w:tcW w:type="dxa" w:w="7992"/>
            <w:vAlign w:val="center"/>
            <w:tcMar>
              <w:top w:w="85" w:type="dxa"/>
              <w:bottom w:w="85" w:type="dxa"/>
              <w:left w:w="105" w:type="dxa"/>
              <w:right w:w="105" w:type="dxa"/>
            </w:tcMar>
            <w:shd w:fill="F2F5F8"/>
          </w:tcPr>
          <w:p>
            <w:pPr>
              <w:spacing w:after="0" w:line="247" w:lineRule="auto"/>
            </w:pPr>
            <w:r>
              <w:rPr>
                <w:rFonts w:ascii="Arial" w:hAnsi="Arial"/>
                <w:b w:val="0"/>
                <w:color w:val="000000"/>
                <w:sz w:val="20"/>
              </w:rPr>
              <w:t>All 20 demo service tests pass; TypeScript checking passes. These tests do not execute Laravel.</w:t>
            </w:r>
          </w:p>
        </w:tc>
      </w:tr>
      <w:tr>
        <w:trPr>
          <w:cantSplit/>
        </w:trPr>
        <w:tc>
          <w:tcPr>
            <w:tcW w:type="dxa" w:w="2088"/>
            <w:vAlign w:val="center"/>
            <w:tcMar>
              <w:top w:w="85" w:type="dxa"/>
              <w:bottom w:w="85" w:type="dxa"/>
              <w:left w:w="105" w:type="dxa"/>
              <w:right w:w="105" w:type="dxa"/>
            </w:tcMar>
            <w:shd w:fill="FFFFFF"/>
          </w:tcPr>
          <w:p>
            <w:pPr>
              <w:spacing w:after="0" w:line="247" w:lineRule="auto"/>
            </w:pPr>
            <w:r>
              <w:rPr>
                <w:rFonts w:ascii="Arial" w:hAnsi="Arial"/>
                <w:b w:val="0"/>
                <w:color w:val="000000"/>
                <w:sz w:val="20"/>
              </w:rPr>
              <w:t>Laravel verification</w:t>
            </w:r>
          </w:p>
        </w:tc>
        <w:tc>
          <w:tcPr>
            <w:tcW w:type="dxa" w:w="799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16 PHPUnit tests are authored. PHP, Composer, PostgreSQL, Redis and Docker runtime validation remains outstanding.</w:t>
            </w:r>
          </w:p>
        </w:tc>
      </w:tr>
    </w:tbl>
    <w:p>
      <w:pPr>
        <w:spacing w:after="20"/>
      </w:pPr>
    </w:p>
    <w:p>
      <w:pPr>
        <w:pStyle w:val="Heading2"/>
      </w:pPr>
      <w:r>
        <w:t>What is worth keeping</w:t>
      </w:r>
    </w:p>
    <w:p>
      <w:r>
        <w:t>Keep the 60-minute play and 15-minute changeover rule, server-side pricing, five-minute holds, the strict cancellation boundary, transactional credit ledger, scoped roles, and field/time/single-use gate checks. The Laravel schema adds a database constraint against overlapping reservations. These are useful foundations, not proof that the full application is ready.</w:t>
      </w:r>
    </w:p>
    <w:p>
      <w:r>
        <w:t>This is an assessment and proposed work order. No application source, deployment or sharing settings were changed during the audit. Sections 1–8 identify the fixes and release tests; section 9 provides evidence and official references.</w:t>
      </w:r>
    </w:p>
    <w:p>
      <w:r>
        <w:br w:type="page"/>
      </w:r>
    </w:p>
    <w:p>
      <w:pPr>
        <w:pStyle w:val="Heading1"/>
      </w:pPr>
      <w:r>
        <w:t>1 Fixes that block launch</w:t>
      </w:r>
    </w:p>
    <w:p>
      <w:r>
        <w:t>P0 means the issue blocks real customer use or collection of money. P1 items in later sections should be resolved before wider rollout, or covered by an explicit pilot procedure. Priorities are engineering judgments based on the inspected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520"/>
        <w:gridCol w:w="6552"/>
      </w:tblGrid>
      <w:tr>
        <w:trPr>
          <w:cantSplit/>
          <w:tblHeader/>
        </w:trPr>
        <w:tc>
          <w:tcPr>
            <w:tcW w:type="dxa" w:w="1008"/>
            <w:vAlign w:val="center"/>
            <w:tcMar>
              <w:top w:w="85" w:type="dxa"/>
              <w:bottom w:w="85" w:type="dxa"/>
              <w:left w:w="105" w:type="dxa"/>
              <w:right w:w="105" w:type="dxa"/>
            </w:tcMar>
            <w:shd w:fill="25364A"/>
          </w:tcPr>
          <w:p>
            <w:pPr>
              <w:spacing w:after="0" w:line="247" w:lineRule="auto"/>
              <w:jc w:val="center"/>
            </w:pPr>
            <w:r>
              <w:rPr>
                <w:rFonts w:ascii="Arial" w:hAnsi="Arial"/>
                <w:b/>
                <w:color w:val="FFFFFF"/>
                <w:sz w:val="20"/>
              </w:rPr>
              <w:t>ID</w:t>
            </w:r>
          </w:p>
        </w:tc>
        <w:tc>
          <w:tcPr>
            <w:tcW w:type="dxa" w:w="2520"/>
            <w:vAlign w:val="center"/>
            <w:tcMar>
              <w:top w:w="85" w:type="dxa"/>
              <w:bottom w:w="85" w:type="dxa"/>
              <w:left w:w="105" w:type="dxa"/>
              <w:right w:w="105" w:type="dxa"/>
            </w:tcMar>
            <w:shd w:fill="25364A"/>
          </w:tcPr>
          <w:p>
            <w:pPr>
              <w:spacing w:after="0" w:line="247" w:lineRule="auto"/>
            </w:pPr>
            <w:r>
              <w:rPr>
                <w:rFonts w:ascii="Arial" w:hAnsi="Arial"/>
                <w:b/>
                <w:color w:val="FFFFFF"/>
                <w:sz w:val="20"/>
              </w:rPr>
              <w:t>Required fix</w:t>
            </w:r>
          </w:p>
        </w:tc>
        <w:tc>
          <w:tcPr>
            <w:tcW w:type="dxa" w:w="6552"/>
            <w:vAlign w:val="center"/>
            <w:tcMar>
              <w:top w:w="85" w:type="dxa"/>
              <w:bottom w:w="85" w:type="dxa"/>
              <w:left w:w="105" w:type="dxa"/>
              <w:right w:w="105" w:type="dxa"/>
            </w:tcMar>
            <w:shd w:fill="25364A"/>
          </w:tcPr>
          <w:p>
            <w:pPr>
              <w:spacing w:after="0" w:line="247" w:lineRule="auto"/>
            </w:pPr>
            <w:r>
              <w:rPr>
                <w:rFonts w:ascii="Arial" w:hAnsi="Arial"/>
                <w:b/>
                <w:color w:val="FFFFFF"/>
                <w:sz w:val="20"/>
              </w:rPr>
              <w:t>Evidence and completion condition</w:t>
            </w:r>
          </w:p>
        </w:tc>
      </w:tr>
      <w:tr>
        <w:trPr>
          <w:cantSplit/>
        </w:trPr>
        <w:tc>
          <w:tcPr>
            <w:tcW w:type="dxa" w:w="1008"/>
            <w:vAlign w:val="center"/>
            <w:tcMar>
              <w:top w:w="85" w:type="dxa"/>
              <w:bottom w:w="85" w:type="dxa"/>
              <w:left w:w="105" w:type="dxa"/>
              <w:right w:w="105" w:type="dxa"/>
            </w:tcMar>
            <w:shd w:fill="FFFFFF"/>
          </w:tcPr>
          <w:p>
            <w:pPr>
              <w:spacing w:after="0" w:line="247" w:lineRule="auto"/>
              <w:jc w:val="center"/>
            </w:pPr>
            <w:r>
              <w:rPr>
                <w:rFonts w:ascii="Arial" w:hAnsi="Arial"/>
                <w:b w:val="0"/>
                <w:color w:val="000000"/>
                <w:sz w:val="20"/>
              </w:rPr>
              <w:t>P0 01</w:t>
            </w:r>
          </w:p>
        </w:tc>
        <w:tc>
          <w:tcPr>
            <w:tcW w:type="dxa" w:w="25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One production backend and shared field inventory</w:t>
            </w:r>
          </w:p>
        </w:tc>
        <w:tc>
          <w:tcPr>
            <w:tcW w:type="dxa" w:w="655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The demo creates a separate sandbox for each ChatGPT user. Use one authoritative venue calendar shared by citizens and assigned staff. Two different customers must compete for the same slot. [C1]</w:t>
            </w:r>
          </w:p>
        </w:tc>
      </w:tr>
      <w:tr>
        <w:trPr>
          <w:cantSplit/>
        </w:trPr>
        <w:tc>
          <w:tcPr>
            <w:tcW w:type="dxa" w:w="1008"/>
            <w:vAlign w:val="center"/>
            <w:tcMar>
              <w:top w:w="85" w:type="dxa"/>
              <w:bottom w:w="85" w:type="dxa"/>
              <w:left w:w="105" w:type="dxa"/>
              <w:right w:w="105" w:type="dxa"/>
            </w:tcMar>
            <w:shd w:fill="F2F5F8"/>
          </w:tcPr>
          <w:p>
            <w:pPr>
              <w:spacing w:after="0" w:line="247" w:lineRule="auto"/>
              <w:jc w:val="center"/>
            </w:pPr>
            <w:r>
              <w:rPr>
                <w:rFonts w:ascii="Arial" w:hAnsi="Arial"/>
                <w:b w:val="0"/>
                <w:color w:val="000000"/>
                <w:sz w:val="20"/>
              </w:rPr>
              <w:t>P0 02</w:t>
            </w:r>
          </w:p>
        </w:tc>
        <w:tc>
          <w:tcPr>
            <w:tcW w:type="dxa" w:w="25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Verified signup and login</w:t>
            </w:r>
          </w:p>
        </w:tc>
        <w:tc>
          <w:tcPr>
            <w:tcW w:type="dxa" w:w="6552"/>
            <w:vAlign w:val="center"/>
            <w:tcMar>
              <w:top w:w="85" w:type="dxa"/>
              <w:bottom w:w="85" w:type="dxa"/>
              <w:left w:w="105" w:type="dxa"/>
              <w:right w:w="105" w:type="dxa"/>
            </w:tcMar>
            <w:shd w:fill="F2F5F8"/>
          </w:tcPr>
          <w:p>
            <w:pPr>
              <w:spacing w:after="0" w:line="247" w:lineRule="auto"/>
            </w:pPr>
            <w:r>
              <w:rPr>
                <w:rFonts w:ascii="Arial" w:hAnsi="Arial"/>
                <w:b w:val="0"/>
                <w:color w:val="000000"/>
                <w:sz w:val="20"/>
              </w:rPr>
              <w:t>Replace test FAN entry and public demo staff credentials. Implement verified onboarding, customer sessions, staff invitations and recovery. Users must never choose their own staff role. [C2]</w:t>
            </w:r>
          </w:p>
        </w:tc>
      </w:tr>
      <w:tr>
        <w:trPr>
          <w:cantSplit/>
        </w:trPr>
        <w:tc>
          <w:tcPr>
            <w:tcW w:type="dxa" w:w="1008"/>
            <w:vAlign w:val="center"/>
            <w:tcMar>
              <w:top w:w="85" w:type="dxa"/>
              <w:bottom w:w="85" w:type="dxa"/>
              <w:left w:w="105" w:type="dxa"/>
              <w:right w:w="105" w:type="dxa"/>
            </w:tcMar>
            <w:shd w:fill="FFFFFF"/>
          </w:tcPr>
          <w:p>
            <w:pPr>
              <w:spacing w:after="0" w:line="247" w:lineRule="auto"/>
              <w:jc w:val="center"/>
            </w:pPr>
            <w:r>
              <w:rPr>
                <w:rFonts w:ascii="Arial" w:hAnsi="Arial"/>
                <w:b w:val="0"/>
                <w:color w:val="000000"/>
                <w:sz w:val="20"/>
              </w:rPr>
              <w:t>P0 03</w:t>
            </w:r>
          </w:p>
        </w:tc>
        <w:tc>
          <w:tcPr>
            <w:tcW w:type="dxa" w:w="25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Actual Telebirr checkout and verification</w:t>
            </w:r>
          </w:p>
        </w:tc>
        <w:tc>
          <w:tcPr>
            <w:tcW w:type="dxa" w:w="655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The gateway adapter returns 503 and the live checkout button is absent. Implement the approved provider flow and a verified server callback before issuing a paid pass. [C3]</w:t>
            </w:r>
          </w:p>
        </w:tc>
      </w:tr>
      <w:tr>
        <w:trPr>
          <w:cantSplit/>
        </w:trPr>
        <w:tc>
          <w:tcPr>
            <w:tcW w:type="dxa" w:w="1008"/>
            <w:vAlign w:val="center"/>
            <w:tcMar>
              <w:top w:w="85" w:type="dxa"/>
              <w:bottom w:w="85" w:type="dxa"/>
              <w:left w:w="105" w:type="dxa"/>
              <w:right w:w="105" w:type="dxa"/>
            </w:tcMar>
            <w:shd w:fill="F2F5F8"/>
          </w:tcPr>
          <w:p>
            <w:pPr>
              <w:spacing w:after="0" w:line="247" w:lineRule="auto"/>
              <w:jc w:val="center"/>
            </w:pPr>
            <w:r>
              <w:rPr>
                <w:rFonts w:ascii="Arial" w:hAnsi="Arial"/>
                <w:b w:val="0"/>
                <w:color w:val="000000"/>
                <w:sz w:val="20"/>
              </w:rPr>
              <w:t>P0 04</w:t>
            </w:r>
          </w:p>
        </w:tc>
        <w:tc>
          <w:tcPr>
            <w:tcW w:type="dxa" w:w="25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Payment attempts and reconciliation</w:t>
            </w:r>
          </w:p>
        </w:tc>
        <w:tc>
          <w:tcPr>
            <w:tcW w:type="dxa" w:w="6552"/>
            <w:vAlign w:val="center"/>
            <w:tcMar>
              <w:top w:w="85" w:type="dxa"/>
              <w:bottom w:w="85" w:type="dxa"/>
              <w:left w:w="105" w:type="dxa"/>
              <w:right w:w="105" w:type="dxa"/>
            </w:tcMar>
            <w:shd w:fill="F2F5F8"/>
          </w:tcPr>
          <w:p>
            <w:pPr>
              <w:spacing w:after="0" w:line="247" w:lineRule="auto"/>
            </w:pPr>
            <w:r>
              <w:rPr>
                <w:rFonts w:ascii="Arial" w:hAnsi="Arial"/>
                <w:b w:val="0"/>
                <w:color w:val="000000"/>
                <w:sz w:val="20"/>
              </w:rPr>
              <w:t>Persist outbound orders and recover uncertain payments. Resolve late charges and contradictory callbacks through an audited workflow. A read-only review list is insufficient. [C4]</w:t>
            </w:r>
          </w:p>
        </w:tc>
      </w:tr>
      <w:tr>
        <w:trPr>
          <w:cantSplit/>
        </w:trPr>
        <w:tc>
          <w:tcPr>
            <w:tcW w:type="dxa" w:w="1008"/>
            <w:vAlign w:val="center"/>
            <w:tcMar>
              <w:top w:w="85" w:type="dxa"/>
              <w:bottom w:w="85" w:type="dxa"/>
              <w:left w:w="105" w:type="dxa"/>
              <w:right w:w="105" w:type="dxa"/>
            </w:tcMar>
            <w:shd w:fill="FFFFFF"/>
          </w:tcPr>
          <w:p>
            <w:pPr>
              <w:spacing w:after="0" w:line="247" w:lineRule="auto"/>
              <w:jc w:val="center"/>
            </w:pPr>
            <w:r>
              <w:rPr>
                <w:rFonts w:ascii="Arial" w:hAnsi="Arial"/>
                <w:b w:val="0"/>
                <w:color w:val="000000"/>
                <w:sz w:val="20"/>
              </w:rPr>
              <w:t>P0 05</w:t>
            </w:r>
          </w:p>
        </w:tc>
        <w:tc>
          <w:tcPr>
            <w:tcW w:type="dxa" w:w="25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Booking state under operational changes</w:t>
            </w:r>
          </w:p>
        </w:tc>
        <w:tc>
          <w:tcPr>
            <w:tcW w:type="dxa" w:w="655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Payment settlement does not recheck field maintenance. Define closure behavior, protect existing reservations and test settlement/expiry races. [C5]</w:t>
            </w:r>
          </w:p>
        </w:tc>
      </w:tr>
      <w:tr>
        <w:trPr>
          <w:cantSplit/>
        </w:trPr>
        <w:tc>
          <w:tcPr>
            <w:tcW w:type="dxa" w:w="1008"/>
            <w:vAlign w:val="center"/>
            <w:tcMar>
              <w:top w:w="85" w:type="dxa"/>
              <w:bottom w:w="85" w:type="dxa"/>
              <w:left w:w="105" w:type="dxa"/>
              <w:right w:w="105" w:type="dxa"/>
            </w:tcMar>
            <w:shd w:fill="F2F5F8"/>
          </w:tcPr>
          <w:p>
            <w:pPr>
              <w:spacing w:after="0" w:line="247" w:lineRule="auto"/>
              <w:jc w:val="center"/>
            </w:pPr>
            <w:r>
              <w:rPr>
                <w:rFonts w:ascii="Arial" w:hAnsi="Arial"/>
                <w:b w:val="0"/>
                <w:color w:val="000000"/>
                <w:sz w:val="20"/>
              </w:rPr>
              <w:t>P0 06</w:t>
            </w:r>
          </w:p>
        </w:tc>
        <w:tc>
          <w:tcPr>
            <w:tcW w:type="dxa" w:w="25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Supported dependencies and executable backend</w:t>
            </w:r>
          </w:p>
        </w:tc>
        <w:tc>
          <w:tcPr>
            <w:tcW w:type="dxa" w:w="6552"/>
            <w:vAlign w:val="center"/>
            <w:tcMar>
              <w:top w:w="85" w:type="dxa"/>
              <w:bottom w:w="85" w:type="dxa"/>
              <w:left w:w="105" w:type="dxa"/>
              <w:right w:w="105" w:type="dxa"/>
            </w:tcMar>
            <w:shd w:fill="F2F5F8"/>
          </w:tcPr>
          <w:p>
            <w:pPr>
              <w:spacing w:after="0" w:line="247" w:lineRule="auto"/>
            </w:pPr>
            <w:r>
              <w:rPr>
                <w:rFonts w:ascii="Arial" w:hAnsi="Arial"/>
                <w:b w:val="0"/>
                <w:color w:val="000000"/>
                <w:sz w:val="20"/>
              </w:rPr>
              <w:t>Laravel 11 security fixes ended on 12 March 2026. Upgrade to a supported compatible stack; generate a reviewed Composer lockfile; execute the Laravel suite. [C6, S1]</w:t>
            </w:r>
          </w:p>
        </w:tc>
      </w:tr>
      <w:tr>
        <w:trPr>
          <w:cantSplit/>
        </w:trPr>
        <w:tc>
          <w:tcPr>
            <w:tcW w:type="dxa" w:w="1008"/>
            <w:vAlign w:val="center"/>
            <w:tcMar>
              <w:top w:w="85" w:type="dxa"/>
              <w:bottom w:w="85" w:type="dxa"/>
              <w:left w:w="105" w:type="dxa"/>
              <w:right w:w="105" w:type="dxa"/>
            </w:tcMar>
            <w:shd w:fill="FFFFFF"/>
          </w:tcPr>
          <w:p>
            <w:pPr>
              <w:spacing w:after="0" w:line="247" w:lineRule="auto"/>
              <w:jc w:val="center"/>
            </w:pPr>
            <w:r>
              <w:rPr>
                <w:rFonts w:ascii="Arial" w:hAnsi="Arial"/>
                <w:b w:val="0"/>
                <w:color w:val="000000"/>
                <w:sz w:val="20"/>
              </w:rPr>
              <w:t>P0 07</w:t>
            </w:r>
          </w:p>
        </w:tc>
        <w:tc>
          <w:tcPr>
            <w:tcW w:type="dxa" w:w="25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Secure staff access and operating authority</w:t>
            </w:r>
          </w:p>
        </w:tc>
        <w:tc>
          <w:tcPr>
            <w:tcW w:type="dxa" w:w="6552"/>
            <w:vAlign w:val="center"/>
            <w:tcMar>
              <w:top w:w="85" w:type="dxa"/>
              <w:bottom w:w="85" w:type="dxa"/>
              <w:left w:w="105" w:type="dxa"/>
              <w:right w:w="105" w:type="dxa"/>
            </w:tcMar>
            <w:shd w:fill="FFFFFF"/>
          </w:tcPr>
          <w:p>
            <w:pPr>
              <w:spacing w:after="0" w:line="247" w:lineRule="auto"/>
            </w:pPr>
            <w:r>
              <w:rPr>
                <w:rFonts w:ascii="Arial" w:hAnsi="Arial"/>
                <w:b w:val="0"/>
                <w:color w:val="000000"/>
                <w:sz w:val="20"/>
              </w:rPr>
              <w:t>Add staff recovery, MFA for privileged roles, session revocation and audited administrative actions. Define who may change prices, close fields and resolve money issues. [C7]</w:t>
            </w:r>
          </w:p>
        </w:tc>
      </w:tr>
      <w:tr>
        <w:trPr>
          <w:cantSplit/>
        </w:trPr>
        <w:tc>
          <w:tcPr>
            <w:tcW w:type="dxa" w:w="1008"/>
            <w:vAlign w:val="center"/>
            <w:tcMar>
              <w:top w:w="85" w:type="dxa"/>
              <w:bottom w:w="85" w:type="dxa"/>
              <w:left w:w="105" w:type="dxa"/>
              <w:right w:w="105" w:type="dxa"/>
            </w:tcMar>
            <w:shd w:fill="F2F5F8"/>
          </w:tcPr>
          <w:p>
            <w:pPr>
              <w:spacing w:after="0" w:line="247" w:lineRule="auto"/>
              <w:jc w:val="center"/>
            </w:pPr>
            <w:r>
              <w:rPr>
                <w:rFonts w:ascii="Arial" w:hAnsi="Arial"/>
                <w:b w:val="0"/>
                <w:color w:val="000000"/>
                <w:sz w:val="20"/>
              </w:rPr>
              <w:t>P0 08</w:t>
            </w:r>
          </w:p>
        </w:tc>
        <w:tc>
          <w:tcPr>
            <w:tcW w:type="dxa" w:w="25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Production hosting and launch controls</w:t>
            </w:r>
          </w:p>
        </w:tc>
        <w:tc>
          <w:tcPr>
            <w:tcW w:type="dxa" w:w="6552"/>
            <w:vAlign w:val="center"/>
            <w:tcMar>
              <w:top w:w="85" w:type="dxa"/>
              <w:bottom w:w="85" w:type="dxa"/>
              <w:left w:w="105" w:type="dxa"/>
              <w:right w:w="105" w:type="dxa"/>
            </w:tcMar>
            <w:shd w:fill="F2F5F8"/>
          </w:tcPr>
          <w:p>
            <w:pPr>
              <w:spacing w:after="0" w:line="247" w:lineRule="auto"/>
            </w:pPr>
            <w:r>
              <w:rPr>
                <w:rFonts w:ascii="Arial" w:hAnsi="Arial"/>
                <w:b w:val="0"/>
                <w:color w:val="000000"/>
                <w:sz w:val="20"/>
              </w:rPr>
              <w:t>Replace the local development setup with supervised services, HTTPS, backups, monitoring and tested restore procedures. Approve customer policies and real venue data. [C8]</w:t>
            </w:r>
          </w:p>
        </w:tc>
      </w:tr>
    </w:tbl>
    <w:p>
      <w:pPr>
        <w:spacing w:after="20"/>
      </w:pPr>
    </w:p>
    <w:p>
      <w:r>
        <w:t>Recommended direction: retain the Laravel/PostgreSQL/Redis architecture from the PDF, upgrade its framework versions, and make it the single production application. Keep the current hosted demo as a private reference until the replacement passes acceptance testing.</w:t>
      </w:r>
    </w:p>
    <w:p>
      <w:r>
        <w:br w:type="page"/>
      </w:r>
    </w:p>
    <w:p>
      <w:pPr>
        <w:pStyle w:val="Heading1"/>
      </w:pPr>
      <w:r>
        <w:t>2 Signup, login and account recovery</w:t>
      </w:r>
    </w:p>
    <w:p>
      <w:pPr>
        <w:pStyle w:val="Heading2"/>
      </w:pPr>
      <w:r>
        <w:t>Current behavior</w:t>
      </w:r>
    </w:p>
    <w:p>
      <w:r>
        <w:t>The citizen form opens or creates an account from any 10-digit test FAN. Staff use a published demo password and an account selector. The Laravel version has session login and password hashing, but no customer account settings, password-recovery routes, verified contact flow or licensed identity adapter. Its reset-token table does not create a usable recovery journey. [C2, C7]</w:t>
      </w:r>
    </w:p>
    <w:p>
      <w:pPr>
        <w:pStyle w:val="Heading2"/>
      </w:pPr>
      <w:r>
        <w:t>Required customer journey</w:t>
      </w:r>
    </w:p>
    <w:p>
      <w:pPr>
        <w:pStyle w:val="ListNumber"/>
        <w:numPr>
          <w:ilvl w:val="0"/>
          <w:numId w:val="10"/>
        </w:numPr>
        <w:tabs>
          <w:tab w:pos="432" w:val="left"/>
        </w:tabs>
        <w:ind w:left="432" w:hanging="374"/>
      </w:pPr>
      <w:r>
        <w:t>Let visitors browse fields and prices before authentication. At booking, explain how to sign in and preserve the selected field/date when they return.</w:t>
      </w:r>
    </w:p>
    <w:p>
      <w:pPr>
        <w:pStyle w:val="ListNumber"/>
        <w:numPr>
          <w:ilvl w:val="0"/>
          <w:numId w:val="10"/>
        </w:numPr>
        <w:tabs>
          <w:tab w:pos="432" w:val="left"/>
        </w:tabs>
        <w:ind w:left="432" w:hanging="374"/>
      </w:pPr>
      <w:r>
        <w:t>Verify the person through the approved Fayda flow, or an approved phone-OTP pilot flow. Create the customer account only after verification; link an existing account without creating duplicates.</w:t>
      </w:r>
    </w:p>
    <w:p>
      <w:pPr>
        <w:pStyle w:val="ListNumber"/>
        <w:numPr>
          <w:ilvl w:val="0"/>
          <w:numId w:val="10"/>
        </w:numPr>
        <w:tabs>
          <w:tab w:pos="432" w:val="left"/>
        </w:tabs>
        <w:ind w:left="432" w:hanging="374"/>
      </w:pPr>
      <w:r>
        <w:t>Complete a minimal profile: preferred name, verified notification channel, language and acceptance of the applicable terms and privacy notice. Avoid collecting identity photos or date of birth unless the service needs them.</w:t>
      </w:r>
    </w:p>
    <w:p>
      <w:pPr>
        <w:pStyle w:val="ListNumber"/>
        <w:numPr>
          <w:ilvl w:val="0"/>
          <w:numId w:val="10"/>
        </w:numPr>
        <w:tabs>
          <w:tab w:pos="432" w:val="left"/>
        </w:tabs>
        <w:ind w:left="432" w:hanging="374"/>
      </w:pPr>
      <w:r>
        <w:t>Provide My bookings, credit history, account settings, sign out, recovery and a route to support. Define how a customer regains access after losing a phone or changing their number.</w:t>
      </w:r>
    </w:p>
    <w:p>
      <w:pPr>
        <w:pStyle w:val="Heading2"/>
      </w:pPr>
      <w:r>
        <w:t>Fayda requires a product decision</w:t>
      </w:r>
    </w:p>
    <w:p>
      <w:r>
        <w:t>Fayda documents OAuth 2.0/OpenID Connect and eSignet, with verification and consent in its authentication services. A FAN is an identifier, not sufficient proof of control. Implement the authorized provider flow, including response validation and account binding. The prototype’s 10-digit rule is only a testing convention; confirm the licensed identifier and claim contract before building production validation. [S2]</w:t>
      </w:r>
    </w:p>
    <w:p>
      <w:r>
        <w:t>If Fayda is mandatory, provider approval is a launch dependency. If it is not mandatory for a limited field-booking pilot, phone OTP is a possible first release, subject to your approval and an SMS provider. That changes the PDF’s identity assumption and requires a separate verified-identities model; do not fabricate national IDs to satisfy the current NOT NULL column.</w:t>
      </w:r>
    </w:p>
    <w:p>
      <w:pPr>
        <w:pStyle w:val="Heading2"/>
      </w:pPr>
      <w:r>
        <w:t>Staff access must be separate</w:t>
      </w:r>
    </w:p>
    <w:p>
      <w:r>
        <w:t>Use invitations to named staff, individual credentials, recovery, and enforced role/location assignment. Require MFA for supervisors and administrators. Revoke sessions when staff are disabled or privileges change, and protect the last administrator from accidental removal. Keep authentication errors generic, rate-limit verification attempts and record security events without secrets. [S5]</w:t>
      </w:r>
    </w:p>
    <w:p>
      <w:r>
        <w:t>Acceptance: a visitor cannot enter another person’s identifier to access their account; a citizen cannot become staff through form or API changes; recovery does not bypass verification; a disabled staff session loses access immediately.</w:t>
      </w:r>
    </w:p>
    <w:p>
      <w:r>
        <w:br w:type="page"/>
      </w:r>
    </w:p>
    <w:p>
      <w:pPr>
        <w:pStyle w:val="Heading1"/>
      </w:pPr>
      <w:r>
        <w:t>3 Booking and availability corrections</w:t>
      </w:r>
    </w:p>
    <w:p>
      <w:pPr>
        <w:pStyle w:val="Heading2"/>
      </w:pPr>
      <w:r>
        <w:t>Closure during a pending payment</w:t>
      </w:r>
    </w:p>
    <w:p>
      <w:r>
        <w:t>Confirmed code gap: a field must be ACTIVE when a hold is created, but settlement only checks booking/payment state. If staff mark a held field MAINTENANCE and payment later succeeds, the Laravel code can still mark the booking PAID. This is a source finding awaiting a PHP regression test. [C5]</w:t>
      </w:r>
    </w:p>
    <w:p>
      <w:r>
        <w:t>Fix: define a closure transaction that deals with pending and paid reservations, not only a field flag. If money has arrived for a closed field, record it and apply the approved resolution; do not silently discard the payment or issue an unusable pass. Notify the customer and retain an audit trail.</w:t>
      </w:r>
    </w:p>
    <w:p>
      <w:pPr>
        <w:pStyle w:val="Heading2"/>
      </w:pPr>
      <w:r>
        <w:t>Operating hours can make availability misleading</w:t>
      </w:r>
    </w:p>
    <w:p>
      <w:r>
        <w:t>Confirmed code gap: the slot display matches existing bookings by exact start time. If an 08:00 opening changes to 08:30, an existing 08:00–09:00 booking can overlap a new slot shown as available. The database overlap constraint should reject that new booking, but the display and write logic disagree. [C5]</w:t>
      </w:r>
    </w:p>
    <w:p>
      <w:r>
        <w:t>Fix: calculate availability by intersecting reservation ranges, including changeover, and prevent incompatible calendar edits while bookings exist. Test changes to opening hours, closure dates and operator assignments.</w:t>
      </w:r>
    </w:p>
    <w:p>
      <w:pPr>
        <w:pStyle w:val="Heading2"/>
      </w:pPr>
      <w:r>
        <w:t>Booking after the play hour starts</w:t>
      </w:r>
    </w:p>
    <w:p>
      <w:r>
        <w:t>The hold checks that kickoff is in the future. Settlement has no separate kickoff check. A hold obtained shortly before kickoff could be paid after play has started, while still inside its five-minute lifetime. Decide the latest booking time and enforce it consistently at hold, payment initiation and final settlement. [C4, C5]</w:t>
      </w:r>
    </w:p>
    <w:p>
      <w:pPr>
        <w:pStyle w:val="Heading2"/>
      </w:pPr>
      <w:r>
        <w:t>Calendar and fairness work before expansion</w:t>
      </w:r>
    </w:p>
    <w:p>
      <w:pPr>
        <w:pStyle w:val="ListBullet"/>
      </w:pPr>
      <w:r>
        <w:t>Add weekly opening schedules, holidays, date-specific blocks, maintenance windows and an approved process for walk-in reservations. The Laravel field currently stores one same-day opening interval.</w:t>
      </w:r>
    </w:p>
    <w:p>
      <w:pPr>
        <w:pStyle w:val="ListBullet"/>
      </w:pPr>
      <w:r>
        <w:t>Limit simultaneous holds per customer and repeated abandoned holds. A requests-per-minute limit alone still allows one account to occupy many slots.</w:t>
      </w:r>
    </w:p>
    <w:p>
      <w:pPr>
        <w:pStyle w:val="ListBullet"/>
      </w:pPr>
      <w:r>
        <w:t>Define the final changeover at closing time, the advance booking window, minimum notice and how no-shows are recorded.</w:t>
      </w:r>
    </w:p>
    <w:p>
      <w:pPr>
        <w:pStyle w:val="ListBullet"/>
      </w:pPr>
      <w:r>
        <w:t>Preserve stored prices on existing bookings when a venue changes its rate. Show the full ETB amount and credit split before payment.</w:t>
      </w:r>
    </w:p>
    <w:p>
      <w:pPr>
        <w:pStyle w:val="ListBullet"/>
      </w:pPr>
      <w:r>
        <w:t>Keep the strict cancellation rule: more than two hours before kickoff. Explain the exact deadline in EAT and show the credit ledger after cancellation.</w:t>
      </w:r>
    </w:p>
    <w:p>
      <w:r>
        <w:t>Acceptance: real concurrent requests produce one winning reservation; an expired hold releases credit exactly once; conflicting calendar edits cannot produce a misleading available slot; no closed field receives a new usable pass.</w:t>
      </w:r>
    </w:p>
    <w:p>
      <w:r>
        <w:br w:type="page"/>
      </w:r>
    </w:p>
    <w:p>
      <w:pPr>
        <w:pStyle w:val="Heading1"/>
      </w:pPr>
      <w:r>
        <w:t>4 Telebirr integration work</w:t>
      </w:r>
    </w:p>
    <w:p>
      <w:pPr>
        <w:pStyle w:val="Heading2"/>
      </w:pPr>
      <w:r>
        <w:t>The current implementation is a placeholder</w:t>
      </w:r>
    </w:p>
    <w:p>
      <w:r>
        <w:t>The React demo accepts a simulated success/failure choice. Laravel binds every Telebirr request to UnavailableTelebirr, which returns 503. The checkout template shows an unavailable message for a real payment balance instead of a payment button. Adding keys alone will not complete this integration. [C3]</w:t>
      </w:r>
    </w:p>
    <w:p>
      <w:pPr>
        <w:pStyle w:val="Heading2"/>
      </w:pPr>
      <w:r>
        <w:t>Choose the first payment channel</w:t>
      </w:r>
    </w:p>
    <w:p>
      <w:r>
        <w:t>For the standalone website, the documented H5 C2B flow uses a merchant backend to obtain a fabric token, create a prepaid order and construct the checkout redirect; payment results arrive through a notification URL. The embedded SuperApp/MiniApp flow uses its own client bridge. Implement and certify the selected channel first, then add the other. [S3, S4a]</w:t>
      </w:r>
    </w:p>
    <w:p>
      <w:pPr>
        <w:pStyle w:val="Heading2"/>
      </w:pPr>
      <w:r>
        <w:t>Required work sequence</w:t>
      </w:r>
    </w:p>
    <w:p>
      <w:pPr>
        <w:pStyle w:val="ListNumber"/>
        <w:numPr>
          <w:ilvl w:val="0"/>
          <w:numId w:val="11"/>
        </w:numPr>
        <w:tabs>
          <w:tab w:pos="432" w:val="left"/>
        </w:tabs>
        <w:ind w:left="432" w:hanging="374"/>
      </w:pPr>
      <w:r>
        <w:t>Complete merchant onboarding for the intended payment product. Confirm the legal merchant, settlement destination, approved domains, sandbox access and production activation requirements with Ethio telecom.</w:t>
      </w:r>
    </w:p>
    <w:p>
      <w:pPr>
        <w:pStyle w:val="ListNumber"/>
        <w:numPr>
          <w:ilvl w:val="0"/>
          <w:numId w:val="11"/>
        </w:numPr>
        <w:tabs>
          <w:tab w:pos="432" w:val="left"/>
        </w:tabs>
        <w:ind w:left="432" w:hanging="374"/>
      </w:pPr>
      <w:r>
        <w:t>Store provider-issued identifiers, API credentials and signing material in server secrets. Confirm the current API version, endpoints, canonical signature format and verification keys; keep TLS verification enabled.</w:t>
      </w:r>
    </w:p>
    <w:p>
      <w:pPr>
        <w:pStyle w:val="ListNumber"/>
        <w:numPr>
          <w:ilvl w:val="0"/>
          <w:numId w:val="11"/>
        </w:numPr>
        <w:tabs>
          <w:tab w:pos="432" w:val="left"/>
        </w:tabs>
        <w:ind w:left="432" w:hanging="374"/>
      </w:pPr>
      <w:r>
        <w:t>Persist a payment attempt before calling Telebirr: booking ID, unique merchant order ID, amount due after credit, currency, provider order ID, state and expiry. Retrying a click must reuse or safely reconcile that attempt.</w:t>
      </w:r>
    </w:p>
    <w:p>
      <w:pPr>
        <w:pStyle w:val="ListNumber"/>
        <w:numPr>
          <w:ilvl w:val="0"/>
          <w:numId w:val="11"/>
        </w:numPr>
        <w:tabs>
          <w:tab w:pos="432" w:val="left"/>
        </w:tabs>
        <w:ind w:left="432" w:hanging="374"/>
      </w:pPr>
      <w:r>
        <w:t>Initiate checkout on the server from the stored booking amount. Use only approved provider redirect destinations. Customers enter their Telebirr PIN in Telebirr’s payment interface, never in Meda Pass.</w:t>
      </w:r>
    </w:p>
    <w:p>
      <w:pPr>
        <w:pStyle w:val="ListNumber"/>
        <w:numPr>
          <w:ilvl w:val="0"/>
          <w:numId w:val="11"/>
        </w:numPr>
        <w:tabs>
          <w:tab w:pos="432" w:val="left"/>
        </w:tabs>
        <w:ind w:left="432" w:hanging="374"/>
      </w:pPr>
      <w:r>
        <w:t>Verify the callback’s authenticity, merchant, order, amount, currency and replay protections using the approved contract. A browser redirect, screenshot or client “success” value must not mark a booking paid.</w:t>
      </w:r>
    </w:p>
    <w:p>
      <w:pPr>
        <w:pStyle w:val="ListNumber"/>
        <w:numPr>
          <w:ilvl w:val="0"/>
          <w:numId w:val="11"/>
        </w:numPr>
        <w:tabs>
          <w:tab w:pos="432" w:val="left"/>
        </w:tabs>
        <w:ind w:left="432" w:hanging="374"/>
      </w:pPr>
      <w:r>
        <w:t>Return the provider-required acknowledgement after durable processing. Add order-status checks, retry handling and reconciliation so lost callbacks do not leave customers uncertain.</w:t>
      </w:r>
    </w:p>
    <w:p>
      <w:pPr>
        <w:pStyle w:val="Heading2"/>
      </w:pPr>
      <w:r>
        <w:t>Materials needed for the next development stage</w:t>
      </w:r>
    </w:p>
    <w:p>
      <w:r>
        <w:t>Obtain the merchant onboarding status, selected product, sandbox/test account access, current API/SDK documentation, application/merchant identifiers, key-exchange instructions and approved callback/return origins. Confirm refund, query, timeout and settlement capabilities. Credentials should be entered through the deployment secret mechanism, not sent in ordinary chat or committed to source.</w:t>
      </w:r>
    </w:p>
    <w:p>
      <w:r>
        <w:t>The provider guide describes RSA request signing, but its prose and sample algorithm labels differ. Use provider-approved test vectors and the exact active contract; do not guess the padding or reuse an unrelated online snippet. [S4]</w:t>
      </w:r>
    </w:p>
    <w:p>
      <w:r>
        <w:br w:type="page"/>
      </w:r>
    </w:p>
    <w:p>
      <w:pPr>
        <w:pStyle w:val="Heading1"/>
      </w:pPr>
      <w:r>
        <w:t>5 Payment recovery and store credit</w:t>
      </w:r>
    </w:p>
    <w:p>
      <w:pPr>
        <w:pStyle w:val="Heading2"/>
      </w:pPr>
      <w:r>
        <w:t>Payment state needs its own record</w:t>
      </w:r>
    </w:p>
    <w:p>
      <w:r>
        <w:t>Booking status cannot explain every payment outcome. Add durable payment attempts and append-only verified event history so PENDING, UNKNOWN, SUCCESS, FAILED and REVIEW_REQUIRED outcomes can be reconciled independently of a held, cancelled or checked-in reservation. The current schema stores received payment events but no outbound checkout attempt. [C4]</w:t>
      </w:r>
    </w:p>
    <w:p>
      <w:pPr>
        <w:pStyle w:val="Heading2"/>
      </w:pPr>
      <w:r>
        <w:t>Two specific gaps in the settlement code</w:t>
      </w:r>
    </w:p>
    <w:p>
      <w:r>
        <w:t>Revised status on the same reference: settlement immediately returns an existing event after comparing booking, amount and currency. It does not compare success/failure. If a failed event is followed by a success event with the same provider reference, the second result is ignored. Handle contradictions through provider-status verification and manual review, using the provider’s documented final-state rules. [C4]</w:t>
      </w:r>
    </w:p>
    <w:p>
      <w:r>
        <w:t>Late money has no completed resolution process: a success after expiry is correctly flagged REVIEW_REQUIRED and does not resurrect a pass. However, the payment review screen is read-only. Add an assigned case, verified provider status, approved corrective action, customer notification and an auditable resolution. Do not equate a flagged event with money being returned. [C4, C9]</w:t>
      </w:r>
    </w:p>
    <w:p>
      <w:pPr>
        <w:pStyle w:val="Heading2"/>
      </w:pPr>
      <w:r>
        <w:t>Five minutes must match the payment experience</w:t>
      </w:r>
    </w:p>
    <w:p>
      <w:r>
        <w:t>The reservation expires after five minutes, but a user may finish provider checkout later. Agree the payment timeout with the hold policy, handle callbacks racing with expiry, and show a clear “payment being checked” state. If the provider cannot enforce the same deadline, choose and test a controlled reconciliation policy before launch. Do not automatically grant a pass for a slot now held by someone else.</w:t>
      </w:r>
    </w:p>
    <w:p>
      <w:pPr>
        <w:pStyle w:val="Heading2"/>
      </w:pPr>
      <w:r>
        <w:t>Store credit needs visible accounting</w:t>
      </w:r>
    </w:p>
    <w:p>
      <w:pPr>
        <w:pStyle w:val="ListBullet"/>
      </w:pPr>
      <w:r>
        <w:t>Preserve the full-credit rule for eligible customer cancellations and automatic reuse on later bookings. Show available balance, reserved credit and a transaction history.</w:t>
      </w:r>
    </w:p>
    <w:p>
      <w:pPr>
        <w:pStyle w:val="ListBullet"/>
      </w:pPr>
      <w:r>
        <w:t>For a booking paid partly with credit, return the entire booking value once on eligible cancellation. Release reserved credit once when a hold fails or expires.</w:t>
      </w:r>
    </w:p>
    <w:p>
      <w:pPr>
        <w:pStyle w:val="ListBullet"/>
      </w:pPr>
      <w:r>
        <w:t>Define whether credit can be used across different venue owners, who carries the liability, whether it expires and how account closure is handled.</w:t>
      </w:r>
    </w:p>
    <w:p>
      <w:pPr>
        <w:pStyle w:val="ListBullet"/>
      </w:pPr>
      <w:r>
        <w:t>Separate ordinary customer cancellation from field closure, duplicate charge and provider error. Have the business owner approve the remedy for each; do not assume a blanket no-cash rule answers every case.</w:t>
      </w:r>
    </w:p>
    <w:p>
      <w:pPr>
        <w:pStyle w:val="ListBullet"/>
      </w:pPr>
      <w:r>
        <w:t>Reconcile daily totals for provider collections, successful bookings, credits, unresolved charges and any venue payouts. Restrict balance adjustments and require reasons and audit records.</w:t>
      </w:r>
    </w:p>
    <w:p>
      <w:r>
        <w:t>Acceptance: duplicate callbacks cause one financial effect; forged or mismatched callbacks cause none; late or contradictory charges create a traceable resolution; no customer is told to pay again while an earlier charge is unresolved. Server-side amount/state controls follow the principles in [S6].</w:t>
      </w:r>
    </w:p>
    <w:p>
      <w:r>
        <w:br w:type="page"/>
      </w:r>
    </w:p>
    <w:p>
      <w:pPr>
        <w:pStyle w:val="Heading1"/>
      </w:pPr>
      <w:r>
        <w:t>6 Venue operations and customer experience</w:t>
      </w:r>
    </w:p>
    <w:p>
      <w:pPr>
        <w:pStyle w:val="Heading2"/>
      </w:pPr>
      <w:r>
        <w:t>Choose municipal pilot or private marketplace</w:t>
      </w:r>
    </w:p>
    <w:p>
      <w:r>
        <w:t>Laravel includes citizen, operator, Woreda, Subcity and super-admin roles. The demo also shows private-owner features, commissions and disputes that have not been ported into the Laravel product. For a municipal pilot, define jurisdiction and operating responsibility. For a private marketplace, owner onboarding, verified venue ownership, revenue allocation, settlement and dispute handling are additional launch blockers. [C7, C9]</w:t>
      </w:r>
    </w:p>
    <w:p>
      <w:pPr>
        <w:pStyle w:val="Heading2"/>
      </w:pPr>
      <w:r>
        <w:t>Field onboarding and everyday operations</w:t>
      </w:r>
    </w:p>
    <w:p>
      <w:r>
        <w:t>Replace sample fields, images, ratings and prices with approved venue records. Record accurate addresses, directions, facilities, supported sports, operating contacts and accessibility information. Add calendar exceptions, closure reasons and notifications for affected bookings. Record changes to prices, field status, staff roles and assignments with the actor and before/after values.</w:t>
      </w:r>
    </w:p>
    <w:p>
      <w:pPr>
        <w:pStyle w:val="Heading2"/>
      </w:pPr>
      <w:r>
        <w:t>Gatekeeper workflow</w:t>
      </w:r>
    </w:p>
    <w:p>
      <w:r>
        <w:t>The source already validates assigned field, paid status, current play hour and one-time check-in. Complete testing on real phones, camera permissions and printed/phone QR passes. Provide clear wrong-field, too-early, expired, already-used and network-error messages. The current Laravel schedule is loaded with the page and needs a refresh strategy. [C10]</w:t>
      </w:r>
    </w:p>
    <w:p>
      <w:r>
        <w:t>Define a supervised connectivity-failure procedure. An unverified offline scan must not create a second admission; any override needs an authorized actor, reason and later reconciliation. Decide whether entry grace periods or pass reissue are allowed, and invalidate old passes when reissuing. Use a dedicated signing/key-rotation design instead of tying every pass indefinitely to APP_KEY.</w:t>
      </w:r>
    </w:p>
    <w:p>
      <w:pPr>
        <w:pStyle w:val="Heading2"/>
      </w:pPr>
      <w:r>
        <w:t>Customer experience to complete</w:t>
      </w:r>
    </w:p>
    <w:p>
      <w:pPr>
        <w:pStyle w:val="ListBullet"/>
      </w:pPr>
      <w:r>
        <w:t>Add account/profile and verified contact settings, credit transaction history, recovery and support. Keep My bookings and make payment status and cancellation outcomes clear.</w:t>
      </w:r>
    </w:p>
    <w:p>
      <w:pPr>
        <w:pStyle w:val="ListBullet"/>
      </w:pPr>
      <w:r>
        <w:t>Real confirmations, cancellation messages and reminders. Current Laravel mail uses a log transport and skips users without an email address; SMS is not implemented. [C11]</w:t>
      </w:r>
    </w:p>
    <w:p>
      <w:pPr>
        <w:pStyle w:val="ListBullet"/>
      </w:pPr>
      <w:r>
        <w:t>Payment pending, failure, late confirmation and retry screens with a stable booking reference and clear next action.</w:t>
      </w:r>
    </w:p>
    <w:p>
      <w:pPr>
        <w:pStyle w:val="ListBullet"/>
      </w:pPr>
      <w:r>
        <w:t>Privacy notice, booking terms, cancellation rules, venue contact and a receipt showing price, credit and payment reference.</w:t>
      </w:r>
    </w:p>
    <w:p>
      <w:pPr>
        <w:pStyle w:val="ListBullet"/>
      </w:pPr>
      <w:r>
        <w:t>Amharic and English content, keyboard/screen-reader checks, readable error messages and testing on low-cost phones and slow mobile connections.</w:t>
      </w:r>
    </w:p>
    <w:p>
      <w:r>
        <w:t>Maps, public ratings, recurring bookings, promotions and a native app can follow the pilot. They should not delay verified identity, correct money handling or a dependable shared booking calendar.</w:t>
      </w:r>
    </w:p>
    <w:p>
      <w:r>
        <w:br w:type="page"/>
      </w:r>
    </w:p>
    <w:p>
      <w:pPr>
        <w:pStyle w:val="Heading1"/>
      </w:pPr>
      <w:r>
        <w:t>7 Hosting, security and runtime validation</w:t>
      </w:r>
    </w:p>
    <w:p>
      <w:pPr>
        <w:pStyle w:val="Heading2"/>
      </w:pPr>
      <w:r>
        <w:t>Move to a suitable production runtime</w:t>
      </w:r>
    </w:p>
    <w:p>
      <w:r>
        <w:t>The current hosted demo runs on a Worker/D1 stack. It does not run the Laravel/PHP application, PostgreSQL, Redis or Reverb. The supplied Docker stack uses artisan serve and local ports for development. Deploy the chosen backend to a supported PHP environment with managed/durable data services, supervised workers, scheduler and Reverb, plus HTTPS/WSS and a production domain. [C1, C8]</w:t>
      </w:r>
    </w:p>
    <w:p>
      <w:r>
        <w:t>Upgrade Laravel 11 before launch: official security support ended on 12 March 2026. Laravel 13 is a candidate with a longer support runway, subject to Filament and package compatibility. Install dependencies, resolve a reviewed lockfile, run advisory checks and upgrade tests; changing one version string is insufficient. [C6, S1]</w:t>
      </w:r>
    </w:p>
    <w:p>
      <w:pPr>
        <w:pStyle w:val="Heading2"/>
      </w:pPr>
      <w:r>
        <w:t>Release controls</w:t>
      </w:r>
    </w:p>
    <w:p>
      <w:pPr>
        <w:pStyle w:val="ListBullet"/>
      </w:pPr>
      <w:r>
        <w:t>Separate development, staging and production data and keys. Disable all mock routes and sample accounts in production, and fail startup when required live settings are missing.</w:t>
      </w:r>
    </w:p>
    <w:p>
      <w:pPr>
        <w:pStyle w:val="ListBullet"/>
      </w:pPr>
      <w:r>
        <w:t>Enforce secure cookies, trusted proxy settings, scoped authorization and CSRF protection. Design content-security and framing policies for the chosen Telebirr channel; verify them in real browsers.</w:t>
      </w:r>
    </w:p>
    <w:p>
      <w:pPr>
        <w:pStyle w:val="ListBullet"/>
      </w:pPr>
      <w:r>
        <w:t>Minimize retained identity data, restrict access, redact tokens/FANs from logs, and approve retention, deletion and consent procedures with the business owner and appropriate local advisers.</w:t>
      </w:r>
    </w:p>
    <w:p>
      <w:pPr>
        <w:pStyle w:val="ListBullet"/>
      </w:pPr>
      <w:r>
        <w:t>Back up PostgreSQL with a tested restoration process; define acceptable data loss and recovery time. Protect Redis, supervise jobs and alert when expiry or reconciliation stops.</w:t>
      </w:r>
    </w:p>
    <w:p>
      <w:pPr>
        <w:pStyle w:val="ListBullet"/>
      </w:pPr>
      <w:r>
        <w:t>Add deployment rollback, migration checks and monitoring for failed payments, overdue holds, unmatched provider transactions, queue failures, booking errors and suspicious login behavior.</w:t>
      </w:r>
    </w:p>
    <w:p>
      <w:pPr>
        <w:pStyle w:val="Heading2"/>
      </w:pPr>
      <w:r>
        <w:t>What the existing tests prove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bottom w:w="85" w:type="dxa"/>
              <w:left w:w="105" w:type="dxa"/>
              <w:right w:w="105" w:type="dxa"/>
            </w:tcMar>
            <w:shd w:fill="25364A"/>
          </w:tcPr>
          <w:p>
            <w:pPr>
              <w:spacing w:after="0" w:line="247" w:lineRule="auto"/>
            </w:pPr>
            <w:r>
              <w:rPr>
                <w:rFonts w:ascii="Arial" w:hAnsi="Arial"/>
                <w:b/>
                <w:color w:val="FFFFFF"/>
                <w:sz w:val="20"/>
              </w:rPr>
              <w:t>Check</w:t>
            </w:r>
          </w:p>
        </w:tc>
        <w:tc>
          <w:tcPr>
            <w:tcW w:type="dxa" w:w="8136"/>
            <w:vAlign w:val="center"/>
            <w:tcMar>
              <w:top w:w="85" w:type="dxa"/>
              <w:bottom w:w="85" w:type="dxa"/>
              <w:left w:w="105" w:type="dxa"/>
              <w:right w:w="105" w:type="dxa"/>
            </w:tcMar>
            <w:shd w:fill="25364A"/>
          </w:tcPr>
          <w:p>
            <w:pPr>
              <w:spacing w:after="0" w:line="247" w:lineRule="auto"/>
            </w:pPr>
            <w:r>
              <w:rPr>
                <w:rFonts w:ascii="Arial" w:hAnsi="Arial"/>
                <w:b/>
                <w:color w:val="FFFFFF"/>
                <w:sz w:val="20"/>
              </w:rPr>
              <w:t>Result and practical limit</w:t>
            </w:r>
          </w:p>
        </w:tc>
      </w:tr>
      <w:tr>
        <w:trPr>
          <w:cantSplit/>
        </w:trPr>
        <w:tc>
          <w:tcPr>
            <w:tcW w:type="dxa" w:w="1944"/>
            <w:vAlign w:val="center"/>
            <w:tcMar>
              <w:top w:w="85" w:type="dxa"/>
              <w:bottom w:w="85" w:type="dxa"/>
              <w:left w:w="105" w:type="dxa"/>
              <w:right w:w="105" w:type="dxa"/>
            </w:tcMar>
            <w:shd w:fill="FFFFFF"/>
          </w:tcPr>
          <w:p>
            <w:pPr>
              <w:spacing w:after="0" w:line="247" w:lineRule="auto"/>
            </w:pPr>
            <w:r>
              <w:rPr>
                <w:rFonts w:ascii="Arial" w:hAnsi="Arial"/>
                <w:b w:val="0"/>
                <w:color w:val="000000"/>
                <w:sz w:val="20"/>
              </w:rPr>
              <w:t>Demo tests</w:t>
            </w:r>
          </w:p>
        </w:tc>
        <w:tc>
          <w:tcPr>
            <w:tcW w:type="dxa" w:w="8136"/>
            <w:vAlign w:val="center"/>
            <w:tcMar>
              <w:top w:w="85" w:type="dxa"/>
              <w:bottom w:w="85" w:type="dxa"/>
              <w:left w:w="105" w:type="dxa"/>
              <w:right w:w="105" w:type="dxa"/>
            </w:tcMar>
            <w:shd w:fill="FFFFFF"/>
          </w:tcPr>
          <w:p>
            <w:pPr>
              <w:spacing w:after="0" w:line="247" w:lineRule="auto"/>
            </w:pPr>
            <w:r>
              <w:rPr>
                <w:rFonts w:ascii="Arial" w:hAnsi="Arial"/>
                <w:b w:val="0"/>
                <w:color w:val="000000"/>
                <w:sz w:val="20"/>
              </w:rPr>
              <w:t>20 passed on 28 October 2026. They exercise the TypeScript service, not deployed PHP or a provider.</w:t>
            </w:r>
          </w:p>
        </w:tc>
      </w:tr>
      <w:tr>
        <w:trPr>
          <w:cantSplit/>
        </w:trPr>
        <w:tc>
          <w:tcPr>
            <w:tcW w:type="dxa" w:w="1944"/>
            <w:vAlign w:val="center"/>
            <w:tcMar>
              <w:top w:w="85" w:type="dxa"/>
              <w:bottom w:w="85" w:type="dxa"/>
              <w:left w:w="105" w:type="dxa"/>
              <w:right w:w="105" w:type="dxa"/>
            </w:tcMar>
            <w:shd w:fill="F2F5F8"/>
          </w:tcPr>
          <w:p>
            <w:pPr>
              <w:spacing w:after="0" w:line="247" w:lineRule="auto"/>
            </w:pPr>
            <w:r>
              <w:rPr>
                <w:rFonts w:ascii="Arial" w:hAnsi="Arial"/>
                <w:b w:val="0"/>
                <w:color w:val="000000"/>
                <w:sz w:val="20"/>
              </w:rPr>
              <w:t>TypeScript</w:t>
            </w:r>
          </w:p>
        </w:tc>
        <w:tc>
          <w:tcPr>
            <w:tcW w:type="dxa" w:w="8136"/>
            <w:vAlign w:val="center"/>
            <w:tcMar>
              <w:top w:w="85" w:type="dxa"/>
              <w:bottom w:w="85" w:type="dxa"/>
              <w:left w:w="105" w:type="dxa"/>
              <w:right w:w="105" w:type="dxa"/>
            </w:tcMar>
            <w:shd w:fill="F2F5F8"/>
          </w:tcPr>
          <w:p>
            <w:pPr>
              <w:spacing w:after="0" w:line="247" w:lineRule="auto"/>
            </w:pPr>
            <w:r>
              <w:rPr>
                <w:rFonts w:ascii="Arial" w:hAnsi="Arial"/>
                <w:b w:val="0"/>
                <w:color w:val="000000"/>
                <w:sz w:val="20"/>
              </w:rPr>
              <w:t>Type checking passes on the reviewed commit.</w:t>
            </w:r>
          </w:p>
        </w:tc>
      </w:tr>
      <w:tr>
        <w:trPr>
          <w:cantSplit/>
        </w:trPr>
        <w:tc>
          <w:tcPr>
            <w:tcW w:type="dxa" w:w="1944"/>
            <w:vAlign w:val="center"/>
            <w:tcMar>
              <w:top w:w="85" w:type="dxa"/>
              <w:bottom w:w="85" w:type="dxa"/>
              <w:left w:w="105" w:type="dxa"/>
              <w:right w:w="105" w:type="dxa"/>
            </w:tcMar>
            <w:shd w:fill="FFFFFF"/>
          </w:tcPr>
          <w:p>
            <w:pPr>
              <w:spacing w:after="0" w:line="247" w:lineRule="auto"/>
            </w:pPr>
            <w:r>
              <w:rPr>
                <w:rFonts w:ascii="Arial" w:hAnsi="Arial"/>
                <w:b w:val="0"/>
                <w:color w:val="000000"/>
                <w:sz w:val="20"/>
              </w:rPr>
              <w:t>Laravel suite</w:t>
            </w:r>
          </w:p>
        </w:tc>
        <w:tc>
          <w:tcPr>
            <w:tcW w:type="dxa" w:w="8136"/>
            <w:vAlign w:val="center"/>
            <w:tcMar>
              <w:top w:w="85" w:type="dxa"/>
              <w:bottom w:w="85" w:type="dxa"/>
              <w:left w:w="105" w:type="dxa"/>
              <w:right w:w="105" w:type="dxa"/>
            </w:tcMar>
            <w:shd w:fill="FFFFFF"/>
          </w:tcPr>
          <w:p>
            <w:pPr>
              <w:spacing w:after="0" w:line="247" w:lineRule="auto"/>
            </w:pPr>
            <w:r>
              <w:rPr>
                <w:rFonts w:ascii="Arial" w:hAnsi="Arial"/>
                <w:b w:val="0"/>
                <w:color w:val="000000"/>
                <w:sz w:val="20"/>
              </w:rPr>
              <w:t>16 tests exist but have not executed. Source parsing and a frontend build cannot prove Laravel boot or database behavior.</w:t>
            </w:r>
          </w:p>
        </w:tc>
      </w:tr>
      <w:tr>
        <w:trPr>
          <w:cantSplit/>
        </w:trPr>
        <w:tc>
          <w:tcPr>
            <w:tcW w:type="dxa" w:w="1944"/>
            <w:vAlign w:val="center"/>
            <w:tcMar>
              <w:top w:w="85" w:type="dxa"/>
              <w:bottom w:w="85" w:type="dxa"/>
              <w:left w:w="105" w:type="dxa"/>
              <w:right w:w="105" w:type="dxa"/>
            </w:tcMar>
            <w:shd w:fill="F2F5F8"/>
          </w:tcPr>
          <w:p>
            <w:pPr>
              <w:spacing w:after="0" w:line="247" w:lineRule="auto"/>
            </w:pPr>
            <w:r>
              <w:rPr>
                <w:rFonts w:ascii="Arial" w:hAnsi="Arial"/>
                <w:b w:val="0"/>
                <w:color w:val="000000"/>
                <w:sz w:val="20"/>
              </w:rPr>
              <w:t>Browser inspection</w:t>
            </w:r>
          </w:p>
        </w:tc>
        <w:tc>
          <w:tcPr>
            <w:tcW w:type="dxa" w:w="8136"/>
            <w:vAlign w:val="center"/>
            <w:tcMar>
              <w:top w:w="85" w:type="dxa"/>
              <w:bottom w:w="85" w:type="dxa"/>
              <w:left w:w="105" w:type="dxa"/>
              <w:right w:w="105" w:type="dxa"/>
            </w:tcMar>
            <w:shd w:fill="F2F5F8"/>
          </w:tcPr>
          <w:p>
            <w:pPr>
              <w:spacing w:after="0" w:line="247" w:lineRule="auto"/>
            </w:pPr>
            <w:r>
              <w:rPr>
                <w:rFonts w:ascii="Arial" w:hAnsi="Arial"/>
                <w:b w:val="0"/>
                <w:color w:val="000000"/>
                <w:sz w:val="20"/>
              </w:rPr>
              <w:t>Live sign-in gate and local demo login/slot screens were inspected. No live provider payment, real identity verification or camera admission was performed.</w:t>
            </w:r>
          </w:p>
        </w:tc>
      </w:tr>
    </w:tbl>
    <w:p>
      <w:pPr>
        <w:spacing w:after="20"/>
      </w:pPr>
    </w:p>
    <w:p>
      <w:r>
        <w:t>The release pipeline must execute Laravel migrations, tests and browser journeys against PostgreSQL and Redis. Run real simultaneous requests and recovery tests when workers, sockets or the database restart. Check slot refresh and payment recovery on interrupted mobile networks.</w:t>
      </w:r>
    </w:p>
    <w:p>
      <w:r>
        <w:br w:type="page"/>
      </w:r>
    </w:p>
    <w:p>
      <w:pPr>
        <w:pStyle w:val="Heading1"/>
      </w:pPr>
      <w:r>
        <w:t>8 Work order and acceptance criteria</w:t>
      </w:r>
    </w:p>
    <w:p>
      <w:pPr>
        <w:pStyle w:val="Heading2"/>
      </w:pPr>
      <w:r>
        <w:t>Recommended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cantSplit/>
          <w:tblHeader/>
        </w:trPr>
        <w:tc>
          <w:tcPr>
            <w:tcW w:type="dxa" w:w="1584"/>
            <w:vAlign w:val="center"/>
            <w:tcMar>
              <w:top w:w="85" w:type="dxa"/>
              <w:bottom w:w="85" w:type="dxa"/>
              <w:left w:w="105" w:type="dxa"/>
              <w:right w:w="105" w:type="dxa"/>
            </w:tcMar>
            <w:shd w:fill="25364A"/>
          </w:tcPr>
          <w:p>
            <w:pPr>
              <w:spacing w:after="0" w:line="247" w:lineRule="auto"/>
            </w:pPr>
            <w:r>
              <w:rPr>
                <w:rFonts w:ascii="Arial" w:hAnsi="Arial"/>
                <w:b/>
                <w:color w:val="FFFFFF"/>
                <w:sz w:val="20"/>
              </w:rPr>
              <w:t>Stage</w:t>
            </w:r>
          </w:p>
        </w:tc>
        <w:tc>
          <w:tcPr>
            <w:tcW w:type="dxa" w:w="8496"/>
            <w:vAlign w:val="center"/>
            <w:tcMar>
              <w:top w:w="85" w:type="dxa"/>
              <w:bottom w:w="85" w:type="dxa"/>
              <w:left w:w="105" w:type="dxa"/>
              <w:right w:w="105" w:type="dxa"/>
            </w:tcMar>
            <w:shd w:fill="25364A"/>
          </w:tcPr>
          <w:p>
            <w:pPr>
              <w:spacing w:after="0" w:line="247" w:lineRule="auto"/>
            </w:pPr>
            <w:r>
              <w:rPr>
                <w:rFonts w:ascii="Arial" w:hAnsi="Arial"/>
                <w:b/>
                <w:color w:val="FFFFFF"/>
                <w:sz w:val="20"/>
              </w:rPr>
              <w:t>Work and exit condition</w:t>
            </w:r>
          </w:p>
        </w:tc>
      </w:tr>
      <w:tr>
        <w:trPr>
          <w:cantSplit/>
        </w:trPr>
        <w:tc>
          <w:tcPr>
            <w:tcW w:type="dxa" w:w="1584"/>
            <w:vAlign w:val="center"/>
            <w:tcMar>
              <w:top w:w="85" w:type="dxa"/>
              <w:bottom w:w="85" w:type="dxa"/>
              <w:left w:w="105" w:type="dxa"/>
              <w:right w:w="105" w:type="dxa"/>
            </w:tcMar>
            <w:shd w:fill="FFFFFF"/>
          </w:tcPr>
          <w:p>
            <w:pPr>
              <w:spacing w:after="0" w:line="247" w:lineRule="auto"/>
            </w:pPr>
            <w:r>
              <w:rPr>
                <w:rFonts w:ascii="Arial" w:hAnsi="Arial"/>
                <w:b w:val="0"/>
                <w:color w:val="000000"/>
                <w:sz w:val="20"/>
              </w:rPr>
              <w:t>1 Foundation</w:t>
            </w:r>
          </w:p>
        </w:tc>
        <w:tc>
          <w:tcPr>
            <w:tcW w:type="dxa" w:w="8496"/>
            <w:vAlign w:val="center"/>
            <w:tcMar>
              <w:top w:w="85" w:type="dxa"/>
              <w:bottom w:w="85" w:type="dxa"/>
              <w:left w:w="105" w:type="dxa"/>
              <w:right w:w="105" w:type="dxa"/>
            </w:tcMar>
            <w:shd w:fill="FFFFFF"/>
          </w:tcPr>
          <w:p>
            <w:pPr>
              <w:spacing w:after="0" w:line="247" w:lineRule="auto"/>
            </w:pPr>
            <w:r>
              <w:rPr>
                <w:rFonts w:ascii="Arial" w:hAnsi="Arial"/>
                <w:b w:val="0"/>
                <w:color w:val="000000"/>
                <w:sz w:val="20"/>
              </w:rPr>
              <w:t>Confirm launch model and identity method. Select one backend, upgrade dependencies, boot Laravel and run migrations/tests in staging.</w:t>
            </w:r>
          </w:p>
        </w:tc>
      </w:tr>
      <w:tr>
        <w:trPr>
          <w:cantSplit/>
        </w:trPr>
        <w:tc>
          <w:tcPr>
            <w:tcW w:type="dxa" w:w="1584"/>
            <w:vAlign w:val="center"/>
            <w:tcMar>
              <w:top w:w="85" w:type="dxa"/>
              <w:bottom w:w="85" w:type="dxa"/>
              <w:left w:w="105" w:type="dxa"/>
              <w:right w:w="105" w:type="dxa"/>
            </w:tcMar>
            <w:shd w:fill="F2F5F8"/>
          </w:tcPr>
          <w:p>
            <w:pPr>
              <w:spacing w:after="0" w:line="247" w:lineRule="auto"/>
            </w:pPr>
            <w:r>
              <w:rPr>
                <w:rFonts w:ascii="Arial" w:hAnsi="Arial"/>
                <w:b w:val="0"/>
                <w:color w:val="000000"/>
                <w:sz w:val="20"/>
              </w:rPr>
              <w:t>2 Accounts</w:t>
            </w:r>
          </w:p>
        </w:tc>
        <w:tc>
          <w:tcPr>
            <w:tcW w:type="dxa" w:w="8496"/>
            <w:vAlign w:val="center"/>
            <w:tcMar>
              <w:top w:w="85" w:type="dxa"/>
              <w:bottom w:w="85" w:type="dxa"/>
              <w:left w:w="105" w:type="dxa"/>
              <w:right w:w="105" w:type="dxa"/>
            </w:tcMar>
            <w:shd w:fill="F2F5F8"/>
          </w:tcPr>
          <w:p>
            <w:pPr>
              <w:spacing w:after="0" w:line="247" w:lineRule="auto"/>
            </w:pPr>
            <w:r>
              <w:rPr>
                <w:rFonts w:ascii="Arial" w:hAnsi="Arial"/>
                <w:b w:val="0"/>
                <w:color w:val="000000"/>
                <w:sz w:val="20"/>
              </w:rPr>
              <w:t>Implement verified onboarding, recovery, role assignment and staff security. Prove customer and jurisdiction isolation.</w:t>
            </w:r>
          </w:p>
        </w:tc>
      </w:tr>
      <w:tr>
        <w:trPr>
          <w:cantSplit/>
        </w:trPr>
        <w:tc>
          <w:tcPr>
            <w:tcW w:type="dxa" w:w="1584"/>
            <w:vAlign w:val="center"/>
            <w:tcMar>
              <w:top w:w="85" w:type="dxa"/>
              <w:bottom w:w="85" w:type="dxa"/>
              <w:left w:w="105" w:type="dxa"/>
              <w:right w:w="105" w:type="dxa"/>
            </w:tcMar>
            <w:shd w:fill="FFFFFF"/>
          </w:tcPr>
          <w:p>
            <w:pPr>
              <w:spacing w:after="0" w:line="247" w:lineRule="auto"/>
            </w:pPr>
            <w:r>
              <w:rPr>
                <w:rFonts w:ascii="Arial" w:hAnsi="Arial"/>
                <w:b w:val="0"/>
                <w:color w:val="000000"/>
                <w:sz w:val="20"/>
              </w:rPr>
              <w:t>3 Booking</w:t>
            </w:r>
          </w:p>
        </w:tc>
        <w:tc>
          <w:tcPr>
            <w:tcW w:type="dxa" w:w="8496"/>
            <w:vAlign w:val="center"/>
            <w:tcMar>
              <w:top w:w="85" w:type="dxa"/>
              <w:bottom w:w="85" w:type="dxa"/>
              <w:left w:w="105" w:type="dxa"/>
              <w:right w:w="105" w:type="dxa"/>
            </w:tcMar>
            <w:shd w:fill="FFFFFF"/>
          </w:tcPr>
          <w:p>
            <w:pPr>
              <w:spacing w:after="0" w:line="247" w:lineRule="auto"/>
            </w:pPr>
            <w:r>
              <w:rPr>
                <w:rFonts w:ascii="Arial" w:hAnsi="Arial"/>
                <w:b w:val="0"/>
                <w:color w:val="000000"/>
                <w:sz w:val="20"/>
              </w:rPr>
              <w:t>Correct closure/hour-change behavior; add hold limits and operational calendars. Pass concurrency and credit tests.</w:t>
            </w:r>
          </w:p>
        </w:tc>
      </w:tr>
      <w:tr>
        <w:trPr>
          <w:cantSplit/>
        </w:trPr>
        <w:tc>
          <w:tcPr>
            <w:tcW w:type="dxa" w:w="1584"/>
            <w:vAlign w:val="center"/>
            <w:tcMar>
              <w:top w:w="85" w:type="dxa"/>
              <w:bottom w:w="85" w:type="dxa"/>
              <w:left w:w="105" w:type="dxa"/>
              <w:right w:w="105" w:type="dxa"/>
            </w:tcMar>
            <w:shd w:fill="F2F5F8"/>
          </w:tcPr>
          <w:p>
            <w:pPr>
              <w:spacing w:after="0" w:line="247" w:lineRule="auto"/>
            </w:pPr>
            <w:r>
              <w:rPr>
                <w:rFonts w:ascii="Arial" w:hAnsi="Arial"/>
                <w:b w:val="0"/>
                <w:color w:val="000000"/>
                <w:sz w:val="20"/>
              </w:rPr>
              <w:t>4 Payments</w:t>
            </w:r>
          </w:p>
        </w:tc>
        <w:tc>
          <w:tcPr>
            <w:tcW w:type="dxa" w:w="8496"/>
            <w:vAlign w:val="center"/>
            <w:tcMar>
              <w:top w:w="85" w:type="dxa"/>
              <w:bottom w:w="85" w:type="dxa"/>
              <w:left w:w="105" w:type="dxa"/>
              <w:right w:w="105" w:type="dxa"/>
            </w:tcMar>
            <w:shd w:fill="F2F5F8"/>
          </w:tcPr>
          <w:p>
            <w:pPr>
              <w:spacing w:after="0" w:line="247" w:lineRule="auto"/>
            </w:pPr>
            <w:r>
              <w:rPr>
                <w:rFonts w:ascii="Arial" w:hAnsi="Arial"/>
                <w:b w:val="0"/>
                <w:color w:val="000000"/>
                <w:sz w:val="20"/>
              </w:rPr>
              <w:t>Complete Telebirr sandbox integration, payment attempt history, callback verification and reconciliation. Pass failure cases before live enablement.</w:t>
            </w:r>
          </w:p>
        </w:tc>
      </w:tr>
      <w:tr>
        <w:trPr>
          <w:cantSplit/>
        </w:trPr>
        <w:tc>
          <w:tcPr>
            <w:tcW w:type="dxa" w:w="1584"/>
            <w:vAlign w:val="center"/>
            <w:tcMar>
              <w:top w:w="85" w:type="dxa"/>
              <w:bottom w:w="85" w:type="dxa"/>
              <w:left w:w="105" w:type="dxa"/>
              <w:right w:w="105" w:type="dxa"/>
            </w:tcMar>
            <w:shd w:fill="FFFFFF"/>
          </w:tcPr>
          <w:p>
            <w:pPr>
              <w:spacing w:after="0" w:line="247" w:lineRule="auto"/>
            </w:pPr>
            <w:r>
              <w:rPr>
                <w:rFonts w:ascii="Arial" w:hAnsi="Arial"/>
                <w:b w:val="0"/>
                <w:color w:val="000000"/>
                <w:sz w:val="20"/>
              </w:rPr>
              <w:t>5 Pilot</w:t>
            </w:r>
          </w:p>
        </w:tc>
        <w:tc>
          <w:tcPr>
            <w:tcW w:type="dxa" w:w="8496"/>
            <w:vAlign w:val="center"/>
            <w:tcMar>
              <w:top w:w="85" w:type="dxa"/>
              <w:bottom w:w="85" w:type="dxa"/>
              <w:left w:w="105" w:type="dxa"/>
              <w:right w:w="105" w:type="dxa"/>
            </w:tcMar>
            <w:shd w:fill="FFFFFF"/>
          </w:tcPr>
          <w:p>
            <w:pPr>
              <w:spacing w:after="0" w:line="247" w:lineRule="auto"/>
            </w:pPr>
            <w:r>
              <w:rPr>
                <w:rFonts w:ascii="Arial" w:hAnsi="Arial"/>
                <w:b w:val="0"/>
                <w:color w:val="000000"/>
                <w:sz w:val="20"/>
              </w:rPr>
              <w:t>Load approved field data, train operators, enable notifications/support, test restore/rollback, and conduct a small supervised pilot before wider release.</w:t>
            </w:r>
          </w:p>
        </w:tc>
      </w:tr>
    </w:tbl>
    <w:p>
      <w:pPr>
        <w:spacing w:after="20"/>
      </w:pPr>
    </w:p>
    <w:p>
      <w:pPr>
        <w:pStyle w:val="Heading2"/>
      </w:pPr>
      <w:r>
        <w:t>Required release demonstrations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85" w:type="dxa"/>
              <w:bottom w:w="85" w:type="dxa"/>
              <w:left w:w="105" w:type="dxa"/>
              <w:right w:w="105" w:type="dxa"/>
            </w:tcMar>
            <w:shd w:fill="25364A"/>
          </w:tcPr>
          <w:p>
            <w:pPr>
              <w:spacing w:after="0" w:line="247" w:lineRule="auto"/>
            </w:pPr>
            <w:r>
              <w:rPr>
                <w:rFonts w:ascii="Arial" w:hAnsi="Arial"/>
                <w:b/>
                <w:color w:val="FFFFFF"/>
                <w:sz w:val="20"/>
              </w:rPr>
              <w:t>Scenario</w:t>
            </w:r>
          </w:p>
        </w:tc>
        <w:tc>
          <w:tcPr>
            <w:tcW w:type="dxa" w:w="7920"/>
            <w:vAlign w:val="center"/>
            <w:tcMar>
              <w:top w:w="85" w:type="dxa"/>
              <w:bottom w:w="85" w:type="dxa"/>
              <w:left w:w="105" w:type="dxa"/>
              <w:right w:w="105" w:type="dxa"/>
            </w:tcMar>
            <w:shd w:fill="25364A"/>
          </w:tcPr>
          <w:p>
            <w:pPr>
              <w:spacing w:after="0" w:line="247" w:lineRule="auto"/>
            </w:pPr>
            <w:r>
              <w:rPr>
                <w:rFonts w:ascii="Arial" w:hAnsi="Arial"/>
                <w:b/>
                <w:color w:val="FFFFFF"/>
                <w:sz w:val="20"/>
              </w:rPr>
              <w:t>Pass condition</w:t>
            </w:r>
          </w:p>
        </w:tc>
      </w:tr>
      <w:tr>
        <w:trPr>
          <w:cantSplit/>
        </w:trPr>
        <w:tc>
          <w:tcPr>
            <w:tcW w:type="dxa" w:w="216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Identity and recovery</w:t>
            </w:r>
          </w:p>
        </w:tc>
        <w:tc>
          <w:tcPr>
            <w:tcW w:type="dxa" w:w="79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Verified signup, repeat login and recovery reach one correct account; no self-assigned privilege.</w:t>
            </w:r>
          </w:p>
        </w:tc>
      </w:tr>
      <w:tr>
        <w:trPr>
          <w:cantSplit/>
        </w:trPr>
        <w:tc>
          <w:tcPr>
            <w:tcW w:type="dxa" w:w="216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Shared inventory</w:t>
            </w:r>
          </w:p>
        </w:tc>
        <w:tc>
          <w:tcPr>
            <w:tcW w:type="dxa" w:w="79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Two independent users request one field/time; exactly one obtains the reservation.</w:t>
            </w:r>
          </w:p>
        </w:tc>
      </w:tr>
      <w:tr>
        <w:trPr>
          <w:cantSplit/>
        </w:trPr>
        <w:tc>
          <w:tcPr>
            <w:tcW w:type="dxa" w:w="216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Money and credit</w:t>
            </w:r>
          </w:p>
        </w:tc>
        <w:tc>
          <w:tcPr>
            <w:tcW w:type="dxa" w:w="79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Repeated checkout/callback/cancel operations create one charge effect and one correct credit entry.</w:t>
            </w:r>
          </w:p>
        </w:tc>
      </w:tr>
      <w:tr>
        <w:trPr>
          <w:cantSplit/>
        </w:trPr>
        <w:tc>
          <w:tcPr>
            <w:tcW w:type="dxa" w:w="216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Payment uncertainty</w:t>
            </w:r>
          </w:p>
        </w:tc>
        <w:tc>
          <w:tcPr>
            <w:tcW w:type="dxa" w:w="79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Lost return, delayed callback and contradictory result recover without duplicate payment or a misleading pass.</w:t>
            </w:r>
          </w:p>
        </w:tc>
      </w:tr>
      <w:tr>
        <w:trPr>
          <w:cantSplit/>
        </w:trPr>
        <w:tc>
          <w:tcPr>
            <w:tcW w:type="dxa" w:w="216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Operations changes</w:t>
            </w:r>
          </w:p>
        </w:tc>
        <w:tc>
          <w:tcPr>
            <w:tcW w:type="dxa" w:w="79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Closing a field or changing hours deals correctly with holds and existing bookings.</w:t>
            </w:r>
          </w:p>
        </w:tc>
      </w:tr>
      <w:tr>
        <w:trPr>
          <w:cantSplit/>
        </w:trPr>
        <w:tc>
          <w:tcPr>
            <w:tcW w:type="dxa" w:w="216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Gate and permissions</w:t>
            </w:r>
          </w:p>
        </w:tc>
        <w:tc>
          <w:tcPr>
            <w:tcW w:type="dxa" w:w="7920"/>
            <w:vAlign w:val="center"/>
            <w:tcMar>
              <w:top w:w="85" w:type="dxa"/>
              <w:bottom w:w="85" w:type="dxa"/>
              <w:left w:w="105" w:type="dxa"/>
              <w:right w:w="105" w:type="dxa"/>
            </w:tcMar>
            <w:shd w:fill="F2F5F8"/>
          </w:tcPr>
          <w:p>
            <w:pPr>
              <w:spacing w:after="0" w:line="247" w:lineRule="auto"/>
            </w:pPr>
            <w:r>
              <w:rPr>
                <w:rFonts w:ascii="Arial" w:hAnsi="Arial"/>
                <w:b w:val="0"/>
                <w:color w:val="000000"/>
                <w:sz w:val="20"/>
              </w:rPr>
              <w:t>Wrong field/time/user role is rejected; simultaneous scans admit once; disabled staff lose access.</w:t>
            </w:r>
          </w:p>
        </w:tc>
      </w:tr>
      <w:tr>
        <w:trPr>
          <w:cantSplit/>
        </w:trPr>
        <w:tc>
          <w:tcPr>
            <w:tcW w:type="dxa" w:w="216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Service recovery</w:t>
            </w:r>
          </w:p>
        </w:tc>
        <w:tc>
          <w:tcPr>
            <w:tcW w:type="dxa" w:w="7920"/>
            <w:vAlign w:val="center"/>
            <w:tcMar>
              <w:top w:w="85" w:type="dxa"/>
              <w:bottom w:w="85" w:type="dxa"/>
              <w:left w:w="105" w:type="dxa"/>
              <w:right w:w="105" w:type="dxa"/>
            </w:tcMar>
            <w:shd w:fill="FFFFFF"/>
          </w:tcPr>
          <w:p>
            <w:pPr>
              <w:spacing w:after="0" w:line="247" w:lineRule="auto"/>
            </w:pPr>
            <w:r>
              <w:rPr>
                <w:rFonts w:ascii="Arial" w:hAnsi="Arial"/>
                <w:b w:val="0"/>
                <w:color w:val="000000"/>
                <w:sz w:val="20"/>
              </w:rPr>
              <w:t>Expired holds, jobs and reconciliation recover after restart; a backup restores successfully.</w:t>
            </w:r>
          </w:p>
        </w:tc>
      </w:tr>
    </w:tbl>
    <w:p>
      <w:pPr>
        <w:spacing w:after="20"/>
      </w:pPr>
    </w:p>
    <w:p>
      <w:pPr>
        <w:pStyle w:val="Heading2"/>
      </w:pPr>
      <w:r>
        <w:t>Decisions to make before implementation</w:t>
      </w:r>
    </w:p>
    <w:p>
      <w:r>
        <w:t>Confirm whether the first release serves municipal fields, private owners or both; whether Fayda is mandatory; whether to launch the standalone web checkout or MiniApp first; who receives Telebirr funds and settles venues; and how closures, late charges and credit across owners are resolved. Also choose the operating team, support channel and production hosting budget. These decisions determine the final scope; provider approval dates should not be treated as engineering estimates.</w:t>
      </w:r>
    </w:p>
    <w:p>
      <w:r>
        <w:br w:type="page"/>
      </w:r>
    </w:p>
    <w:p>
      <w:pPr>
        <w:pStyle w:val="Heading1"/>
      </w:pPr>
      <w:r>
        <w:t>9 Evidence and references</w:t>
      </w:r>
    </w:p>
    <w:p>
      <w:r>
        <w:t>Code references are relative to the delivered project at commit ca81d8ff627bf66cdc2aed33bdaf1286a6ff391d. “Confirmed code gap” means the inspected path lacks the stated behavior; Laravel runtime reproduction is still required. External references were checked on 28 October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288"/>
      </w:tblGrid>
      <w:tr>
        <w:trPr>
          <w:cantSplit/>
          <w:tblHeader/>
        </w:trPr>
        <w:tc>
          <w:tcPr>
            <w:tcW w:type="dxa" w:w="792"/>
            <w:vAlign w:val="center"/>
            <w:tcMar>
              <w:top w:w="85" w:type="dxa"/>
              <w:bottom w:w="85" w:type="dxa"/>
              <w:left w:w="105" w:type="dxa"/>
              <w:right w:w="105" w:type="dxa"/>
            </w:tcMar>
            <w:shd w:fill="25364A"/>
          </w:tcPr>
          <w:p>
            <w:pPr>
              <w:spacing w:after="0" w:line="247" w:lineRule="auto"/>
            </w:pPr>
            <w:r>
              <w:rPr>
                <w:rFonts w:ascii="Arial" w:hAnsi="Arial"/>
                <w:b/>
                <w:color w:val="FFFFFF"/>
                <w:sz w:val="19"/>
              </w:rPr>
              <w:t>Ref</w:t>
            </w:r>
          </w:p>
        </w:tc>
        <w:tc>
          <w:tcPr>
            <w:tcW w:type="dxa" w:w="9288"/>
            <w:vAlign w:val="center"/>
            <w:tcMar>
              <w:top w:w="85" w:type="dxa"/>
              <w:bottom w:w="85" w:type="dxa"/>
              <w:left w:w="105" w:type="dxa"/>
              <w:right w:w="105" w:type="dxa"/>
            </w:tcMar>
            <w:shd w:fill="25364A"/>
          </w:tcPr>
          <w:p>
            <w:pPr>
              <w:spacing w:after="0" w:line="247" w:lineRule="auto"/>
            </w:pPr>
            <w:r>
              <w:rPr>
                <w:rFonts w:ascii="Arial" w:hAnsi="Arial"/>
                <w:b/>
                <w:color w:val="FFFFFF"/>
                <w:sz w:val="19"/>
              </w:rPr>
              <w:t>Source location and evidence</w:t>
            </w:r>
          </w:p>
        </w:tc>
      </w:tr>
      <w:tr>
        <w:trPr>
          <w:cantSplit/>
        </w:trPr>
        <w:tc>
          <w:tcPr>
            <w:tcW w:type="dxa" w:w="792"/>
            <w:vAlign w:val="center"/>
            <w:tcMar>
              <w:top w:w="85" w:type="dxa"/>
              <w:bottom w:w="85" w:type="dxa"/>
              <w:left w:w="105" w:type="dxa"/>
              <w:right w:w="105" w:type="dxa"/>
            </w:tcMar>
            <w:shd w:fill="FFFFFF"/>
          </w:tcPr>
          <w:p>
            <w:pPr>
              <w:spacing w:after="0" w:line="247" w:lineRule="auto"/>
            </w:pPr>
            <w:r>
              <w:rPr>
                <w:rFonts w:ascii="Arial" w:hAnsi="Arial"/>
                <w:b w:val="0"/>
                <w:color w:val="000000"/>
                <w:sz w:val="19"/>
              </w:rPr>
              <w:t>C1</w:t>
            </w:r>
          </w:p>
        </w:tc>
        <w:tc>
          <w:tcPr>
            <w:tcW w:type="dxa" w:w="9288"/>
            <w:vAlign w:val="center"/>
            <w:tcMar>
              <w:top w:w="85" w:type="dxa"/>
              <w:bottom w:w="85" w:type="dxa"/>
              <w:left w:w="105" w:type="dxa"/>
              <w:right w:w="105" w:type="dxa"/>
            </w:tcMar>
            <w:shd w:fill="FFFFFF"/>
          </w:tcPr>
          <w:p>
            <w:pPr>
              <w:spacing w:after="0" w:line="247" w:lineRule="auto"/>
            </w:pPr>
            <w:r>
              <w:rPr>
                <w:rFonts w:ascii="Arial" w:hAnsi="Arial"/>
                <w:b w:val="0"/>
                <w:color w:val="000000"/>
                <w:sz w:val="19"/>
              </w:rPr>
              <w:t>app/api/[...path]/route.ts lines 11–29; lib/service.ts lines 12–54. Private sandbox scope, seeding and active demo identity.</w:t>
            </w:r>
          </w:p>
        </w:tc>
      </w:tr>
      <w:tr>
        <w:trPr>
          <w:cantSplit/>
        </w:trPr>
        <w:tc>
          <w:tcPr>
            <w:tcW w:type="dxa" w:w="792"/>
            <w:vAlign w:val="center"/>
            <w:tcMar>
              <w:top w:w="85" w:type="dxa"/>
              <w:bottom w:w="85" w:type="dxa"/>
              <w:left w:w="105" w:type="dxa"/>
              <w:right w:w="105" w:type="dxa"/>
            </w:tcMar>
            <w:shd w:fill="F2F5F8"/>
          </w:tcPr>
          <w:p>
            <w:pPr>
              <w:spacing w:after="0" w:line="247" w:lineRule="auto"/>
            </w:pPr>
            <w:r>
              <w:rPr>
                <w:rFonts w:ascii="Arial" w:hAnsi="Arial"/>
                <w:b w:val="0"/>
                <w:color w:val="000000"/>
                <w:sz w:val="19"/>
              </w:rPr>
              <w:t>C2</w:t>
            </w:r>
          </w:p>
        </w:tc>
        <w:tc>
          <w:tcPr>
            <w:tcW w:type="dxa" w:w="9288"/>
            <w:vAlign w:val="center"/>
            <w:tcMar>
              <w:top w:w="85" w:type="dxa"/>
              <w:bottom w:w="85" w:type="dxa"/>
              <w:left w:w="105" w:type="dxa"/>
              <w:right w:w="105" w:type="dxa"/>
            </w:tcMar>
            <w:shd w:fill="F2F5F8"/>
          </w:tcPr>
          <w:p>
            <w:pPr>
              <w:spacing w:after="0" w:line="247" w:lineRule="auto"/>
            </w:pPr>
            <w:r>
              <w:rPr>
                <w:rFonts w:ascii="Arial" w:hAnsi="Arial"/>
                <w:b w:val="0"/>
                <w:color w:val="000000"/>
                <w:sz w:val="19"/>
              </w:rPr>
              <w:t>app/page.tsx AuthDialog; laravel/routes/web.php; laravel/app/Http/Controllers/AuthController.php; Services/MockFayda.php and UnavailableFayda.php. Mock login and missing recovery/onboarding routes.</w:t>
            </w:r>
          </w:p>
        </w:tc>
      </w:tr>
      <w:tr>
        <w:trPr>
          <w:cantSplit/>
        </w:trPr>
        <w:tc>
          <w:tcPr>
            <w:tcW w:type="dxa" w:w="792"/>
            <w:vAlign w:val="center"/>
            <w:tcMar>
              <w:top w:w="85" w:type="dxa"/>
              <w:bottom w:w="85" w:type="dxa"/>
              <w:left w:w="105" w:type="dxa"/>
              <w:right w:w="105" w:type="dxa"/>
            </w:tcMar>
            <w:shd w:fill="FFFFFF"/>
          </w:tcPr>
          <w:p>
            <w:pPr>
              <w:spacing w:after="0" w:line="247" w:lineRule="auto"/>
            </w:pPr>
            <w:r>
              <w:rPr>
                <w:rFonts w:ascii="Arial" w:hAnsi="Arial"/>
                <w:b w:val="0"/>
                <w:color w:val="000000"/>
                <w:sz w:val="19"/>
              </w:rPr>
              <w:t>C3</w:t>
            </w:r>
          </w:p>
        </w:tc>
        <w:tc>
          <w:tcPr>
            <w:tcW w:type="dxa" w:w="9288"/>
            <w:vAlign w:val="center"/>
            <w:tcMar>
              <w:top w:w="85" w:type="dxa"/>
              <w:bottom w:w="85" w:type="dxa"/>
              <w:left w:w="105" w:type="dxa"/>
              <w:right w:w="105" w:type="dxa"/>
            </w:tcMar>
            <w:shd w:fill="FFFFFF"/>
          </w:tcPr>
          <w:p>
            <w:pPr>
              <w:spacing w:after="0" w:line="247" w:lineRule="auto"/>
            </w:pPr>
            <w:r>
              <w:rPr>
                <w:rFonts w:ascii="Arial" w:hAnsi="Arial"/>
                <w:b w:val="0"/>
                <w:color w:val="000000"/>
                <w:sz w:val="19"/>
              </w:rPr>
              <w:t>laravel/app/Providers/AppServiceProvider.php lines 9–11; Services/UnavailableTelebirr.php; Contracts/TelebirrGateway.php; resources/views/booking.blade.php lines 6–7. Unavailable gateway and missing live payment control.</w:t>
            </w:r>
          </w:p>
        </w:tc>
      </w:tr>
      <w:tr>
        <w:trPr>
          <w:cantSplit/>
        </w:trPr>
        <w:tc>
          <w:tcPr>
            <w:tcW w:type="dxa" w:w="792"/>
            <w:vAlign w:val="center"/>
            <w:tcMar>
              <w:top w:w="85" w:type="dxa"/>
              <w:bottom w:w="85" w:type="dxa"/>
              <w:left w:w="105" w:type="dxa"/>
              <w:right w:w="105" w:type="dxa"/>
            </w:tcMar>
            <w:shd w:fill="F2F5F8"/>
          </w:tcPr>
          <w:p>
            <w:pPr>
              <w:spacing w:after="0" w:line="247" w:lineRule="auto"/>
            </w:pPr>
            <w:r>
              <w:rPr>
                <w:rFonts w:ascii="Arial" w:hAnsi="Arial"/>
                <w:b w:val="0"/>
                <w:color w:val="000000"/>
                <w:sz w:val="19"/>
              </w:rPr>
              <w:t>C4</w:t>
            </w:r>
          </w:p>
        </w:tc>
        <w:tc>
          <w:tcPr>
            <w:tcW w:type="dxa" w:w="9288"/>
            <w:vAlign w:val="center"/>
            <w:tcMar>
              <w:top w:w="85" w:type="dxa"/>
              <w:bottom w:w="85" w:type="dxa"/>
              <w:left w:w="105" w:type="dxa"/>
              <w:right w:w="105" w:type="dxa"/>
            </w:tcMar>
            <w:shd w:fill="F2F5F8"/>
          </w:tcPr>
          <w:p>
            <w:pPr>
              <w:spacing w:after="0" w:line="247" w:lineRule="auto"/>
            </w:pPr>
            <w:r>
              <w:rPr>
                <w:rFonts w:ascii="Arial" w:hAnsi="Arial"/>
                <w:b w:val="0"/>
                <w:color w:val="000000"/>
                <w:sz w:val="19"/>
              </w:rPr>
              <w:t>laravel/app/Services/BookingEngine.php lines 69–87; database/migrations/2026_10_27_000001_create_meda_tables.php. Payment event replay, late-charge handling and absence of outbound payment-attempt records.</w:t>
            </w:r>
          </w:p>
        </w:tc>
      </w:tr>
      <w:tr>
        <w:trPr>
          <w:cantSplit/>
        </w:trPr>
        <w:tc>
          <w:tcPr>
            <w:tcW w:type="dxa" w:w="792"/>
            <w:vAlign w:val="center"/>
            <w:tcMar>
              <w:top w:w="85" w:type="dxa"/>
              <w:bottom w:w="85" w:type="dxa"/>
              <w:left w:w="105" w:type="dxa"/>
              <w:right w:w="105" w:type="dxa"/>
            </w:tcMar>
            <w:shd w:fill="FFFFFF"/>
          </w:tcPr>
          <w:p>
            <w:pPr>
              <w:spacing w:after="0" w:line="247" w:lineRule="auto"/>
            </w:pPr>
            <w:r>
              <w:rPr>
                <w:rFonts w:ascii="Arial" w:hAnsi="Arial"/>
                <w:b w:val="0"/>
                <w:color w:val="000000"/>
                <w:sz w:val="19"/>
              </w:rPr>
              <w:t>C5</w:t>
            </w:r>
          </w:p>
        </w:tc>
        <w:tc>
          <w:tcPr>
            <w:tcW w:type="dxa" w:w="9288"/>
            <w:vAlign w:val="center"/>
            <w:tcMar>
              <w:top w:w="85" w:type="dxa"/>
              <w:bottom w:w="85" w:type="dxa"/>
              <w:left w:w="105" w:type="dxa"/>
              <w:right w:w="105" w:type="dxa"/>
            </w:tcMar>
            <w:shd w:fill="FFFFFF"/>
          </w:tcPr>
          <w:p>
            <w:pPr>
              <w:spacing w:after="0" w:line="247" w:lineRule="auto"/>
            </w:pPr>
            <w:r>
              <w:rPr>
                <w:rFonts w:ascii="Arial" w:hAnsi="Arial"/>
                <w:b w:val="0"/>
                <w:color w:val="000000"/>
                <w:sz w:val="19"/>
              </w:rPr>
              <w:t>laravel/app/Services/Slots.php lines 7–17; BookingEngine.php lines 23–47 and 69–87; Filament/Resources/FieldResource.php. Slot matching, editable hours and maintenance/settlement behavior.</w:t>
            </w:r>
          </w:p>
        </w:tc>
      </w:tr>
      <w:tr>
        <w:trPr>
          <w:cantSplit/>
        </w:trPr>
        <w:tc>
          <w:tcPr>
            <w:tcW w:type="dxa" w:w="792"/>
            <w:vAlign w:val="center"/>
            <w:tcMar>
              <w:top w:w="85" w:type="dxa"/>
              <w:bottom w:w="85" w:type="dxa"/>
              <w:left w:w="105" w:type="dxa"/>
              <w:right w:w="105" w:type="dxa"/>
            </w:tcMar>
            <w:shd w:fill="F2F5F8"/>
          </w:tcPr>
          <w:p>
            <w:pPr>
              <w:spacing w:after="0" w:line="247" w:lineRule="auto"/>
            </w:pPr>
            <w:r>
              <w:rPr>
                <w:rFonts w:ascii="Arial" w:hAnsi="Arial"/>
                <w:b w:val="0"/>
                <w:color w:val="000000"/>
                <w:sz w:val="19"/>
              </w:rPr>
              <w:t>C6</w:t>
            </w:r>
          </w:p>
        </w:tc>
        <w:tc>
          <w:tcPr>
            <w:tcW w:type="dxa" w:w="9288"/>
            <w:vAlign w:val="center"/>
            <w:tcMar>
              <w:top w:w="85" w:type="dxa"/>
              <w:bottom w:w="85" w:type="dxa"/>
              <w:left w:w="105" w:type="dxa"/>
              <w:right w:w="105" w:type="dxa"/>
            </w:tcMar>
            <w:shd w:fill="F2F5F8"/>
          </w:tcPr>
          <w:p>
            <w:pPr>
              <w:spacing w:after="0" w:line="247" w:lineRule="auto"/>
            </w:pPr>
            <w:r>
              <w:rPr>
                <w:rFonts w:ascii="Arial" w:hAnsi="Arial"/>
                <w:b w:val="0"/>
                <w:color w:val="000000"/>
                <w:sz w:val="19"/>
              </w:rPr>
              <w:t>laravel/composer.json lines 6–18; no composer.lock in the reviewed source; laravel/tests/. Framework pins and unexecuted backend test suite.</w:t>
            </w:r>
          </w:p>
        </w:tc>
      </w:tr>
      <w:tr>
        <w:trPr>
          <w:cantSplit/>
        </w:trPr>
        <w:tc>
          <w:tcPr>
            <w:tcW w:type="dxa" w:w="792"/>
            <w:vAlign w:val="center"/>
            <w:tcMar>
              <w:top w:w="85" w:type="dxa"/>
              <w:bottom w:w="85" w:type="dxa"/>
              <w:left w:w="105" w:type="dxa"/>
              <w:right w:w="105" w:type="dxa"/>
            </w:tcMar>
            <w:shd w:fill="FFFFFF"/>
          </w:tcPr>
          <w:p>
            <w:pPr>
              <w:spacing w:after="0" w:line="247" w:lineRule="auto"/>
            </w:pPr>
            <w:r>
              <w:rPr>
                <w:rFonts w:ascii="Arial" w:hAnsi="Arial"/>
                <w:b w:val="0"/>
                <w:color w:val="000000"/>
                <w:sz w:val="19"/>
              </w:rPr>
              <w:t>C7</w:t>
            </w:r>
          </w:p>
        </w:tc>
        <w:tc>
          <w:tcPr>
            <w:tcW w:type="dxa" w:w="9288"/>
            <w:vAlign w:val="center"/>
            <w:tcMar>
              <w:top w:w="85" w:type="dxa"/>
              <w:bottom w:w="85" w:type="dxa"/>
              <w:left w:w="105" w:type="dxa"/>
              <w:right w:w="105" w:type="dxa"/>
            </w:tcMar>
            <w:shd w:fill="FFFFFF"/>
          </w:tcPr>
          <w:p>
            <w:pPr>
              <w:spacing w:after="0" w:line="247" w:lineRule="auto"/>
            </w:pPr>
            <w:r>
              <w:rPr>
                <w:rFonts w:ascii="Arial" w:hAnsi="Arial"/>
                <w:b w:val="0"/>
                <w:color w:val="000000"/>
                <w:sz w:val="19"/>
              </w:rPr>
              <w:t>laravel/app/Models/User.php; Policies/; Providers/Filament/AdminPanelProvider.php; routes/web.php. Role controls, staff administration and missing MFA/recovery setup.</w:t>
            </w:r>
          </w:p>
        </w:tc>
      </w:tr>
      <w:tr>
        <w:trPr>
          <w:cantSplit/>
        </w:trPr>
        <w:tc>
          <w:tcPr>
            <w:tcW w:type="dxa" w:w="792"/>
            <w:vAlign w:val="center"/>
            <w:tcMar>
              <w:top w:w="85" w:type="dxa"/>
              <w:bottom w:w="85" w:type="dxa"/>
              <w:left w:w="105" w:type="dxa"/>
              <w:right w:w="105" w:type="dxa"/>
            </w:tcMar>
            <w:shd w:fill="F2F5F8"/>
          </w:tcPr>
          <w:p>
            <w:pPr>
              <w:spacing w:after="0" w:line="247" w:lineRule="auto"/>
            </w:pPr>
            <w:r>
              <w:rPr>
                <w:rFonts w:ascii="Arial" w:hAnsi="Arial"/>
                <w:b w:val="0"/>
                <w:color w:val="000000"/>
                <w:sz w:val="19"/>
              </w:rPr>
              <w:t>C8</w:t>
            </w:r>
          </w:p>
        </w:tc>
        <w:tc>
          <w:tcPr>
            <w:tcW w:type="dxa" w:w="9288"/>
            <w:vAlign w:val="center"/>
            <w:tcMar>
              <w:top w:w="85" w:type="dxa"/>
              <w:bottom w:w="85" w:type="dxa"/>
              <w:left w:w="105" w:type="dxa"/>
              <w:right w:w="105" w:type="dxa"/>
            </w:tcMar>
            <w:shd w:fill="F2F5F8"/>
          </w:tcPr>
          <w:p>
            <w:pPr>
              <w:spacing w:after="0" w:line="247" w:lineRule="auto"/>
            </w:pPr>
            <w:r>
              <w:rPr>
                <w:rFonts w:ascii="Arial" w:hAnsi="Arial"/>
                <w:b w:val="0"/>
                <w:color w:val="000000"/>
                <w:sz w:val="19"/>
              </w:rPr>
              <w:t>laravel/compose.yaml; Dockerfile; .env.example; config/session.php; config/logging.php. Development runtime and operational configuration.</w:t>
            </w:r>
          </w:p>
        </w:tc>
      </w:tr>
      <w:tr>
        <w:trPr>
          <w:cantSplit/>
        </w:trPr>
        <w:tc>
          <w:tcPr>
            <w:tcW w:type="dxa" w:w="792"/>
            <w:vAlign w:val="center"/>
            <w:tcMar>
              <w:top w:w="85" w:type="dxa"/>
              <w:bottom w:w="85" w:type="dxa"/>
              <w:left w:w="105" w:type="dxa"/>
              <w:right w:w="105" w:type="dxa"/>
            </w:tcMar>
            <w:shd w:fill="FFFFFF"/>
          </w:tcPr>
          <w:p>
            <w:pPr>
              <w:spacing w:after="0" w:line="247" w:lineRule="auto"/>
            </w:pPr>
            <w:r>
              <w:rPr>
                <w:rFonts w:ascii="Arial" w:hAnsi="Arial"/>
                <w:b w:val="0"/>
                <w:color w:val="000000"/>
                <w:sz w:val="19"/>
              </w:rPr>
              <w:t>C9</w:t>
            </w:r>
          </w:p>
        </w:tc>
        <w:tc>
          <w:tcPr>
            <w:tcW w:type="dxa" w:w="9288"/>
            <w:vAlign w:val="center"/>
            <w:tcMar>
              <w:top w:w="85" w:type="dxa"/>
              <w:bottom w:w="85" w:type="dxa"/>
              <w:left w:w="105" w:type="dxa"/>
              <w:right w:w="105" w:type="dxa"/>
            </w:tcMar>
            <w:shd w:fill="FFFFFF"/>
          </w:tcPr>
          <w:p>
            <w:pPr>
              <w:spacing w:after="0" w:line="247" w:lineRule="auto"/>
            </w:pPr>
            <w:r>
              <w:rPr>
                <w:rFonts w:ascii="Arial" w:hAnsi="Arial"/>
                <w:b w:val="0"/>
                <w:color w:val="000000"/>
                <w:sz w:val="19"/>
              </w:rPr>
              <w:t>laravel/app/Filament/Resources/PaymentEventResource.php; PaymentEventPolicy.php; BookingResource.php; demo app/workspaces.tsx. Read-only payment review and incomplete owner/dispute parity.</w:t>
            </w:r>
          </w:p>
        </w:tc>
      </w:tr>
      <w:tr>
        <w:trPr>
          <w:cantSplit/>
        </w:trPr>
        <w:tc>
          <w:tcPr>
            <w:tcW w:type="dxa" w:w="792"/>
            <w:vAlign w:val="center"/>
            <w:tcMar>
              <w:top w:w="85" w:type="dxa"/>
              <w:bottom w:w="85" w:type="dxa"/>
              <w:left w:w="105" w:type="dxa"/>
              <w:right w:w="105" w:type="dxa"/>
            </w:tcMar>
            <w:shd w:fill="F2F5F8"/>
          </w:tcPr>
          <w:p>
            <w:pPr>
              <w:spacing w:after="0" w:line="247" w:lineRule="auto"/>
            </w:pPr>
            <w:r>
              <w:rPr>
                <w:rFonts w:ascii="Arial" w:hAnsi="Arial"/>
                <w:b w:val="0"/>
                <w:color w:val="000000"/>
                <w:sz w:val="19"/>
              </w:rPr>
              <w:t>C10</w:t>
            </w:r>
          </w:p>
        </w:tc>
        <w:tc>
          <w:tcPr>
            <w:tcW w:type="dxa" w:w="9288"/>
            <w:vAlign w:val="center"/>
            <w:tcMar>
              <w:top w:w="85" w:type="dxa"/>
              <w:bottom w:w="85" w:type="dxa"/>
              <w:left w:w="105" w:type="dxa"/>
              <w:right w:w="105" w:type="dxa"/>
            </w:tcMar>
            <w:shd w:fill="F2F5F8"/>
          </w:tcPr>
          <w:p>
            <w:pPr>
              <w:spacing w:after="0" w:line="247" w:lineRule="auto"/>
            </w:pPr>
            <w:r>
              <w:rPr>
                <w:rFonts w:ascii="Arial" w:hAnsi="Arial"/>
                <w:b w:val="0"/>
                <w:color w:val="000000"/>
                <w:sz w:val="19"/>
              </w:rPr>
              <w:t>laravel/app/Services/BookingEngine.php lines 15 and 99–107; Http/Controllers/GateController.php; resources/views/gate.blade.php. Signing, gate checks and page-loaded schedule.</w:t>
            </w:r>
          </w:p>
        </w:tc>
      </w:tr>
      <w:tr>
        <w:trPr>
          <w:cantSplit/>
        </w:trPr>
        <w:tc>
          <w:tcPr>
            <w:tcW w:type="dxa" w:w="792"/>
            <w:vAlign w:val="center"/>
            <w:tcMar>
              <w:top w:w="85" w:type="dxa"/>
              <w:bottom w:w="85" w:type="dxa"/>
              <w:left w:w="105" w:type="dxa"/>
              <w:right w:w="105" w:type="dxa"/>
            </w:tcMar>
            <w:shd w:fill="FFFFFF"/>
          </w:tcPr>
          <w:p>
            <w:pPr>
              <w:spacing w:after="0" w:line="247" w:lineRule="auto"/>
            </w:pPr>
            <w:r>
              <w:rPr>
                <w:rFonts w:ascii="Arial" w:hAnsi="Arial"/>
                <w:b w:val="0"/>
                <w:color w:val="000000"/>
                <w:sz w:val="19"/>
              </w:rPr>
              <w:t>C11</w:t>
            </w:r>
          </w:p>
        </w:tc>
        <w:tc>
          <w:tcPr>
            <w:tcW w:type="dxa" w:w="9288"/>
            <w:vAlign w:val="center"/>
            <w:tcMar>
              <w:top w:w="85" w:type="dxa"/>
              <w:bottom w:w="85" w:type="dxa"/>
              <w:left w:w="105" w:type="dxa"/>
              <w:right w:w="105" w:type="dxa"/>
            </w:tcMar>
            <w:shd w:fill="FFFFFF"/>
          </w:tcPr>
          <w:p>
            <w:pPr>
              <w:spacing w:after="0" w:line="247" w:lineRule="auto"/>
            </w:pPr>
            <w:r>
              <w:rPr>
                <w:rFonts w:ascii="Arial" w:hAnsi="Arial"/>
                <w:b w:val="0"/>
                <w:color w:val="000000"/>
                <w:sz w:val="19"/>
              </w:rPr>
              <w:t>laravel/app/Notifications/BookingConfirmed.php lines 8–12; config/mail.php; resources/views/layouts/app.blade.php. Queued email condition, log transport and customer navigation.</w:t>
            </w:r>
          </w:p>
        </w:tc>
      </w:tr>
    </w:tbl>
    <w:p>
      <w:pPr>
        <w:spacing w:after="20"/>
      </w:pPr>
    </w:p>
    <w:p>
      <w:r>
        <w:br w:type="page"/>
      </w:r>
    </w:p>
    <w:p>
      <w:pPr>
        <w:pStyle w:val="Heading1"/>
      </w:pPr>
      <w:r>
        <w:t>Official implementation references</w:t>
      </w:r>
    </w:p>
    <w:p>
      <w:r>
        <w:t>Use the current merchant and identity-provider contracts as the implementation authority. The recommendations in this report do not substitute for provider certification or constitute approval to collect live identities or payments.</w:t>
      </w:r>
    </w:p>
    <w:p>
      <w:pPr>
        <w:spacing w:after="120"/>
      </w:pPr>
      <w:hyperlink r:id="rId9">
        <w:r>
          <w:rPr>
            <w:color w:val="174E75"/>
            <w:sz w:val="20"/>
          </w:rPr>
          <w:t>S1  Laravel release notes and support policy</w:t>
        </w:r>
      </w:hyperlink>
    </w:p>
    <w:p>
      <w:r>
        <w:t>Confirms Laravel 11 security support ended on 12 March 2026; lists the current support windows for Laravel 12 and 13. Used for the dependency upgrade recommendation.</w:t>
      </w:r>
    </w:p>
    <w:p>
      <w:pPr>
        <w:spacing w:after="120"/>
      </w:pPr>
      <w:hyperlink r:id="rId10">
        <w:r>
          <w:rPr>
            <w:color w:val="174E75"/>
            <w:sz w:val="20"/>
          </w:rPr>
          <w:t>S2  Fayda authentication and eSignet overview</w:t>
        </w:r>
      </w:hyperlink>
    </w:p>
    <w:p>
      <w:r>
        <w:t>Describes OAuth 2.0/OpenID Connect, identity verification and consent. Used to distinguish verified sign-in from the test FAN form.</w:t>
      </w:r>
    </w:p>
    <w:p>
      <w:pPr>
        <w:spacing w:after="120"/>
      </w:pPr>
      <w:hyperlink r:id="rId11">
        <w:r>
          <w:rPr>
            <w:color w:val="174E75"/>
            <w:sz w:val="20"/>
          </w:rPr>
          <w:t>S3  Ethio telecom H5 C2B web payment introduction</w:t>
        </w:r>
      </w:hyperlink>
    </w:p>
    <w:p>
      <w:r>
        <w:t>Describes the merchant-server token/order/checkout flow and payment notification. Used for the proposed standalone web payment sequence.</w:t>
      </w:r>
    </w:p>
    <w:p>
      <w:pPr>
        <w:spacing w:after="120"/>
      </w:pPr>
      <w:hyperlink r:id="rId12">
        <w:r>
          <w:rPr>
            <w:color w:val="174E75"/>
            <w:sz w:val="20"/>
          </w:rPr>
          <w:t>S4  Ethio telecom H5 C2B request signature process</w:t>
        </w:r>
      </w:hyperlink>
    </w:p>
    <w:p>
      <w:pPr>
        <w:spacing w:after="120"/>
      </w:pPr>
      <w:hyperlink r:id="rId13">
        <w:r>
          <w:rPr>
            <w:color w:val="174E75"/>
            <w:sz w:val="20"/>
          </w:rPr>
          <w:t>S4a  Ethio telecom MiniApp payment initiation</w:t>
        </w:r>
      </w:hyperlink>
    </w:p>
    <w:p>
      <w:r>
        <w:t>Describes key exchange/request signing and the distinct SuperApp payment bridge. Confirm the exact signing algorithm, callback validation and active merchant contract during integration.</w:t>
      </w:r>
    </w:p>
    <w:p>
      <w:pPr>
        <w:spacing w:after="120"/>
      </w:pPr>
      <w:hyperlink r:id="rId14">
        <w:r>
          <w:rPr>
            <w:color w:val="174E75"/>
            <w:sz w:val="20"/>
          </w:rPr>
          <w:t>S5  OWASP Authentication Cheat Sheet</w:t>
        </w:r>
      </w:hyperlink>
    </w:p>
    <w:p>
      <w:pPr>
        <w:spacing w:after="120"/>
      </w:pPr>
      <w:hyperlink r:id="rId15">
        <w:r>
          <w:rPr>
            <w:color w:val="174E75"/>
            <w:sz w:val="20"/>
          </w:rPr>
          <w:t>S5a  OWASP Multifactor Authentication Cheat Sheet</w:t>
        </w:r>
      </w:hyperlink>
    </w:p>
    <w:p>
      <w:r>
        <w:t>Supports the authentication, recovery and privileged-access safeguards. The project-specific account journeys and priorities are recommendations from this audit.</w:t>
      </w:r>
    </w:p>
    <w:p>
      <w:pPr>
        <w:spacing w:after="120"/>
      </w:pPr>
      <w:hyperlink r:id="rId16">
        <w:r>
          <w:rPr>
            <w:color w:val="174E75"/>
            <w:sz w:val="20"/>
          </w:rPr>
          <w:t>S6  OWASP Transaction Authorization Cheat Sheet</w:t>
        </w:r>
      </w:hyperlink>
    </w:p>
    <w:p>
      <w:r>
        <w:t>Supports server-controlled transaction amounts, allowed state transitions, replay prevention and final authorization checks.</w:t>
      </w:r>
    </w:p>
    <w:p>
      <w:pPr>
        <w:pStyle w:val="Heading2"/>
      </w:pPr>
      <w:r>
        <w:t>Project records</w:t>
      </w:r>
    </w:p>
    <w:p>
      <w:r>
        <w:t>The supplied Meda.pdf defines the intended product and original Laravel 11 stack. The delivered README, docs/ALIGNMENT.md, docs/INTEGRATIONS.md and docs/VERIFICATION.md distinguish the hosted demo from the Laravel source. The runtime and integration gaps in this report must be closed before those foundations can support a live service.</w:t>
      </w:r>
    </w:p>
    <w:sectPr w:rsidR="00FC693F" w:rsidRPr="0006063C" w:rsidSect="00034616">
      <w:footerReference w:type="default" r:id="rId17"/>
      <w:pgSz w:w="12240" w:h="15840"/>
      <w:pgMar w:top="965"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8"/>
      </w:rPr>
      <w:t xml:space="preserve">Meda Pass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tab"/>
      <w:lvlJc w:val="left"/>
    </w:lvl>
  </w:abstractNum>
  <w:num w:numId="10">
    <w:abstractNumId w:val="9"/>
  </w:num>
  <w:abstractNum w:abstractNumId="10">
    <w:lvl w:ilvl="0">
      <w:start w:val="1"/>
      <w:numFmt w:val="decimal"/>
      <w:lvlText w:val="%1."/>
      <w:suff w:val="tab"/>
      <w:lvlJc w:val="left"/>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00" w:after="14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ind w:left="259" w:hanging="202"/>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ind w:left="259" w:hanging="202"/>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ravel.com/framework/docs/releases" TargetMode="External"/><Relationship Id="rId10" Type="http://schemas.openxmlformats.org/officeDocument/2006/relationships/hyperlink" Target="https://www.id.gov.et/authentication" TargetMode="External"/><Relationship Id="rId11" Type="http://schemas.openxmlformats.org/officeDocument/2006/relationships/hyperlink" Target="https://developer.ethiotelecom.et/docs/H5%20C2B%20Web%20Payment%20Integration%20Quick%20Guide/Introduction" TargetMode="External"/><Relationship Id="rId12" Type="http://schemas.openxmlformats.org/officeDocument/2006/relationships/hyperlink" Target="https://developer.ethiotelecom.et/docs/H5%20C2B%20Web%20Payment%20Integration%20Quick%20Guide/Request_signature_Process" TargetMode="External"/><Relationship Id="rId13" Type="http://schemas.openxmlformats.org/officeDocument/2006/relationships/hyperlink" Target="https://developer.ethiotelecom.et/docs/MiniApp%20Integration%20with%20Supper%20APP/%20CheckOut" TargetMode="External"/><Relationship Id="rId14" Type="http://schemas.openxmlformats.org/officeDocument/2006/relationships/hyperlink" Target="https://cheatsheetseries.owasp.org/cheatsheets/Authentication_Cheat_Sheet.html" TargetMode="External"/><Relationship Id="rId15" Type="http://schemas.openxmlformats.org/officeDocument/2006/relationships/hyperlink" Target="https://cheatsheetseries.owasp.org/cheatsheets/Multifactor_Authentication_Cheat_Sheet.html" TargetMode="External"/><Relationship Id="rId16" Type="http://schemas.openxmlformats.org/officeDocument/2006/relationships/hyperlink" Target="https://cheatsheetseries.owasp.org/cheatsheets/Transaction_Authorization_Cheat_Sheet.html"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Meda Pass Production Readiness Audit</dc:title>
  <dc:subject>Required fixes before real customers and Telebirr payments</dc:subject>
  <dc:creator>Meda Pass</dc:creator>
  <cp:keywords>Meda Pass, production readiness, authentication, booking, Telebirr</cp:keywords>
  <dc:description/>
  <cp:lastModifiedBy/>
  <cp:revision>1</cp:revision>
  <dcterms:created xsi:type="dcterms:W3CDTF">2013-12-23T23:15:00Z</dcterms:created>
  <dcterms:modified xsi:type="dcterms:W3CDTF">2013-12-23T23:15:00Z</dcterms:modified>
  <cp:category/>
</cp:coreProperties>
</file>