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 description of all of the data sources used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The public dataset that was used to complete this analysis has been provided by Motivate International Inc. This public dataset covers </w:t>
      </w:r>
      <w:r w:rsidDel="00000000" w:rsidR="00000000" w:rsidRPr="00000000">
        <w:rPr>
          <w:rtl w:val="0"/>
        </w:rPr>
        <w:t xml:space="preserve">Cyclistic’s</w:t>
      </w:r>
      <w:r w:rsidDel="00000000" w:rsidR="00000000" w:rsidRPr="00000000">
        <w:rPr>
          <w:rtl w:val="0"/>
        </w:rPr>
        <w:t xml:space="preserve"> trip data for 2022, which consists of 12 separate CSV files accounting for each month. Within each CSV file, the rider’s membership type, bike type, start/end time, and start/end locations were captured.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