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AURA — complete technical report for the IEEE paper</w:t>
      </w:r>
    </w:p>
    <w:p>
      <w:r>
        <w:rPr>
          <w:i/>
        </w:rPr>
        <w:t>Per-child causal personalization and autism-specific attention modelling for adaptive learning.</w:t>
      </w:r>
      <w:r>
        <w:t xml:space="preserve"> Every number below is copied from a result file in this repository (paths in §9). Nothing is estimated or projected. Where something has not been run, it says so.</w:t>
      </w:r>
    </w:p>
    <w:p>
      <w:pPr>
        <w:pStyle w:val="Heading2"/>
      </w:pPr>
      <w:r>
        <w:t>1. Abstract (draft)</w:t>
      </w:r>
    </w:p>
    <w:p>
      <w:r>
        <w:t>Autistic children respond very differently to the same teaching content, and existing adaptive learning systems either adapt only difficulty or apply one model learned from many children to each individual. We present AURA, an adaptive learning system for autistic children with two contributions. First, a per-child causal personalization engine that runs randomized within-child comparisons of teaching method, response mode, interest theme and re-engagement support, using Thompson sampling with a credible-interval stopping rule, drift re-testing, a distress-triggered safety layer and clinician arm-locks. In a paired simulation of 80 children it reduced cumulative regret by 72% against a static system (7.13 vs 25.09, d_z = −0.72, p &lt; 0.0001) and was significantly better than all five baselines on regret; it had the lowest regret in all ten robustness scenarios, including five synthetic child archetypes. Second, an autism-specific visual-attention model (ResNet-50 encoder, multi-scale decoder, typical-attention head plus an explicit difference head) trained on the Saliency4ASD eye-tracking data. In 5-fold cross-validation it predicted autistic children's gaze significantly better than a general children's-attention model on five of six standard metrics, predicted the share of autistic gaze on 924 labelled objects with Spearman ρ = 0.850, and was used to edit learning images, raising predicted attention on the teaching target from 0.030 to 0.066.</w:t>
      </w:r>
    </w:p>
    <w:p>
      <w:pPr>
        <w:pStyle w:val="Heading2"/>
      </w:pPr>
      <w:r>
        <w:t>2. Contributions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4E9F2"/>
          </w:tcPr>
          <w:p>
            <w:pPr>
              <w:spacing w:after="20"/>
            </w:pPr>
            <w:r>
              <w:rPr>
                <w:b/>
              </w:rPr>
            </w:r>
            <w:r>
              <w:rPr>
                <w:b/>
                <w:sz w:val="18"/>
              </w:rPr>
              <w:t>#</w:t>
            </w:r>
          </w:p>
        </w:tc>
        <w:tc>
          <w:tcPr>
            <w:tcW w:type="dxa" w:w="2436"/>
            <w:shd w:val="clear" w:color="auto" w:fill="E4E9F2"/>
          </w:tcPr>
          <w:p>
            <w:pPr>
              <w:spacing w:after="20"/>
            </w:pPr>
            <w:r>
              <w:rPr>
                <w:b/>
              </w:rPr>
            </w:r>
            <w:r>
              <w:rPr>
                <w:b/>
                <w:sz w:val="18"/>
              </w:rPr>
              <w:t>Contribution</w:t>
            </w:r>
          </w:p>
        </w:tc>
        <w:tc>
          <w:tcPr>
            <w:tcW w:type="dxa" w:w="2436"/>
            <w:shd w:val="clear" w:color="auto" w:fill="E4E9F2"/>
          </w:tcPr>
          <w:p>
            <w:pPr>
              <w:spacing w:after="20"/>
            </w:pPr>
            <w:r>
              <w:rPr>
                <w:b/>
              </w:rPr>
            </w:r>
            <w:r>
              <w:rPr>
                <w:b/>
                <w:sz w:val="18"/>
              </w:rPr>
              <w:t>Status</w:t>
            </w:r>
          </w:p>
        </w:tc>
        <w:tc>
          <w:tcPr>
            <w:tcW w:type="dxa" w:w="2436"/>
            <w:shd w:val="clear" w:color="auto" w:fill="E4E9F2"/>
          </w:tcPr>
          <w:p>
            <w:pPr>
              <w:spacing w:after="20"/>
            </w:pPr>
            <w:r>
              <w:rPr>
                <w:b/>
              </w:rPr>
            </w:r>
            <w:r>
              <w:rPr>
                <w:b/>
                <w:sz w:val="18"/>
              </w:rPr>
              <w:t>Evidence</w:t>
            </w:r>
          </w:p>
        </w:tc>
      </w:tr>
      <w:tr>
        <w:tc>
          <w:tcPr>
            <w:tcW w:type="dxa" w:w="2436"/>
          </w:tcPr>
          <w:p>
            <w:pPr>
              <w:spacing w:after="20"/>
            </w:pPr>
            <w:r/>
            <w:r>
              <w:rPr>
                <w:sz w:val="18"/>
              </w:rPr>
              <w:t>C1</w:t>
            </w:r>
          </w:p>
        </w:tc>
        <w:tc>
          <w:tcPr>
            <w:tcW w:type="dxa" w:w="2436"/>
          </w:tcPr>
          <w:p>
            <w:pPr>
              <w:spacing w:after="20"/>
            </w:pPr>
            <w:r/>
            <w:r>
              <w:rPr>
                <w:sz w:val="18"/>
              </w:rPr>
              <w:t>Per-child causal personalization with a safety layer and clinician override</w:t>
            </w:r>
          </w:p>
        </w:tc>
        <w:tc>
          <w:tcPr>
            <w:tcW w:type="dxa" w:w="2436"/>
          </w:tcPr>
          <w:p>
            <w:pPr>
              <w:spacing w:after="20"/>
            </w:pPr>
            <w:r/>
            <w:r>
              <w:rPr>
                <w:sz w:val="18"/>
              </w:rPr>
              <w:t>Built; validated in simulation (including a robustness study) and one replayed published case</w:t>
            </w:r>
          </w:p>
        </w:tc>
        <w:tc>
          <w:tcPr>
            <w:tcW w:type="dxa" w:w="2436"/>
          </w:tcPr>
          <w:p>
            <w:pPr>
              <w:spacing w:after="20"/>
            </w:pPr>
            <w:r/>
            <w:r>
              <w:rPr>
                <w:sz w:val="18"/>
              </w:rPr>
              <w:t>§6.3–6.8</w:t>
            </w:r>
          </w:p>
        </w:tc>
      </w:tr>
      <w:tr>
        <w:tc>
          <w:tcPr>
            <w:tcW w:type="dxa" w:w="2436"/>
          </w:tcPr>
          <w:p>
            <w:pPr>
              <w:spacing w:after="20"/>
            </w:pPr>
            <w:r/>
            <w:r>
              <w:rPr>
                <w:sz w:val="18"/>
              </w:rPr>
              <w:t>C2</w:t>
            </w:r>
          </w:p>
        </w:tc>
        <w:tc>
          <w:tcPr>
            <w:tcW w:type="dxa" w:w="2436"/>
          </w:tcPr>
          <w:p>
            <w:pPr>
              <w:spacing w:after="20"/>
            </w:pPr>
            <w:r/>
            <w:r>
              <w:rPr>
                <w:sz w:val="18"/>
              </w:rPr>
              <w:t>Autism-specific attention model trained on Saliency4ASD</w:t>
            </w:r>
          </w:p>
        </w:tc>
        <w:tc>
          <w:tcPr>
            <w:tcW w:type="dxa" w:w="2436"/>
          </w:tcPr>
          <w:p>
            <w:pPr>
              <w:spacing w:after="20"/>
            </w:pPr>
            <w:r/>
            <w:r>
              <w:rPr>
                <w:sz w:val="18"/>
              </w:rPr>
              <w:t>Built; validated on real held-out gaze</w:t>
            </w:r>
          </w:p>
        </w:tc>
        <w:tc>
          <w:tcPr>
            <w:tcW w:type="dxa" w:w="2436"/>
          </w:tcPr>
          <w:p>
            <w:pPr>
              <w:spacing w:after="20"/>
            </w:pPr>
            <w:r/>
            <w:r>
              <w:rPr>
                <w:sz w:val="18"/>
              </w:rPr>
              <w:t>§7</w:t>
            </w:r>
          </w:p>
        </w:tc>
      </w:tr>
      <w:tr>
        <w:tc>
          <w:tcPr>
            <w:tcW w:type="dxa" w:w="2436"/>
          </w:tcPr>
          <w:p>
            <w:pPr>
              <w:spacing w:after="20"/>
            </w:pPr>
            <w:r/>
            <w:r>
              <w:rPr>
                <w:sz w:val="18"/>
              </w:rPr>
              <w:t>C3</w:t>
            </w:r>
          </w:p>
        </w:tc>
        <w:tc>
          <w:tcPr>
            <w:tcW w:type="dxa" w:w="2436"/>
          </w:tcPr>
          <w:p>
            <w:pPr>
              <w:spacing w:after="20"/>
            </w:pPr>
            <w:r/>
            <w:r>
              <w:rPr>
                <w:sz w:val="18"/>
              </w:rPr>
              <w:t>Attention-guided scoring and editing of learning images</w:t>
            </w:r>
          </w:p>
        </w:tc>
        <w:tc>
          <w:tcPr>
            <w:tcW w:type="dxa" w:w="2436"/>
          </w:tcPr>
          <w:p>
            <w:pPr>
              <w:spacing w:after="20"/>
            </w:pPr>
            <w:r/>
            <w:r>
              <w:rPr>
                <w:sz w:val="18"/>
              </w:rPr>
              <w:t>Built; validated by an independent model only (not children)</w:t>
            </w:r>
          </w:p>
        </w:tc>
        <w:tc>
          <w:tcPr>
            <w:tcW w:type="dxa" w:w="2436"/>
          </w:tcPr>
          <w:p>
            <w:pPr>
              <w:spacing w:after="20"/>
            </w:pPr>
            <w:r/>
            <w:r>
              <w:rPr>
                <w:sz w:val="18"/>
              </w:rPr>
              <w:t>§7.4</w:t>
            </w:r>
          </w:p>
        </w:tc>
      </w:tr>
      <w:tr>
        <w:tc>
          <w:tcPr>
            <w:tcW w:type="dxa" w:w="2436"/>
          </w:tcPr>
          <w:p>
            <w:pPr>
              <w:spacing w:after="20"/>
            </w:pPr>
            <w:r/>
            <w:r>
              <w:rPr>
                <w:sz w:val="18"/>
              </w:rPr>
              <w:t>C4</w:t>
            </w:r>
          </w:p>
        </w:tc>
        <w:tc>
          <w:tcPr>
            <w:tcW w:type="dxa" w:w="2436"/>
          </w:tcPr>
          <w:p>
            <w:pPr>
              <w:spacing w:after="20"/>
            </w:pPr>
            <w:r/>
            <w:r>
              <w:rPr>
                <w:sz w:val="18"/>
              </w:rPr>
              <w:t>Closing the loop: C3 proposes pictures, C1 tests per child whether they help</w:t>
            </w:r>
          </w:p>
        </w:tc>
        <w:tc>
          <w:tcPr>
            <w:tcW w:type="dxa" w:w="2436"/>
          </w:tcPr>
          <w:p>
            <w:pPr>
              <w:spacing w:after="20"/>
            </w:pPr>
            <w:r/>
            <w:r>
              <w:rPr>
                <w:sz w:val="18"/>
              </w:rPr>
              <w:t>Designed; not yet integrated or piloted</w:t>
            </w:r>
          </w:p>
        </w:tc>
        <w:tc>
          <w:tcPr>
            <w:tcW w:type="dxa" w:w="2436"/>
          </w:tcPr>
          <w:p>
            <w:pPr>
              <w:spacing w:after="20"/>
            </w:pPr>
            <w:r/>
            <w:r>
              <w:rPr>
                <w:sz w:val="18"/>
              </w:rPr>
              <w:t>§8</w:t>
            </w:r>
          </w:p>
        </w:tc>
      </w:tr>
    </w:tbl>
    <w:p>
      <w:pPr>
        <w:spacing w:after="40"/>
      </w:pPr>
    </w:p>
    <w:p>
      <w:pPr>
        <w:pStyle w:val="Heading2"/>
      </w:pPr>
      <w:r>
        <w:t>3. Related work and what is new</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E4E9F2"/>
          </w:tcPr>
          <w:p>
            <w:pPr>
              <w:spacing w:after="20"/>
            </w:pPr>
            <w:r>
              <w:rPr>
                <w:b/>
              </w:rPr>
            </w:r>
            <w:r>
              <w:rPr>
                <w:b/>
                <w:sz w:val="18"/>
              </w:rPr>
              <w:t>Work</w:t>
            </w:r>
          </w:p>
        </w:tc>
        <w:tc>
          <w:tcPr>
            <w:tcW w:type="dxa" w:w="1624"/>
            <w:shd w:val="clear" w:color="auto" w:fill="E4E9F2"/>
          </w:tcPr>
          <w:p>
            <w:pPr>
              <w:spacing w:after="20"/>
            </w:pPr>
            <w:r>
              <w:rPr>
                <w:b/>
              </w:rPr>
            </w:r>
            <w:r>
              <w:rPr>
                <w:b/>
                <w:sz w:val="18"/>
              </w:rPr>
              <w:t>Adapts content</w:t>
            </w:r>
          </w:p>
        </w:tc>
        <w:tc>
          <w:tcPr>
            <w:tcW w:type="dxa" w:w="1624"/>
            <w:shd w:val="clear" w:color="auto" w:fill="E4E9F2"/>
          </w:tcPr>
          <w:p>
            <w:pPr>
              <w:spacing w:after="20"/>
            </w:pPr>
            <w:r>
              <w:rPr>
                <w:b/>
              </w:rPr>
            </w:r>
            <w:r>
              <w:rPr>
                <w:b/>
                <w:sz w:val="18"/>
              </w:rPr>
              <w:t>Per-child randomized comparison</w:t>
            </w:r>
          </w:p>
        </w:tc>
        <w:tc>
          <w:tcPr>
            <w:tcW w:type="dxa" w:w="1624"/>
            <w:shd w:val="clear" w:color="auto" w:fill="E4E9F2"/>
          </w:tcPr>
          <w:p>
            <w:pPr>
              <w:spacing w:after="20"/>
            </w:pPr>
            <w:r>
              <w:rPr>
                <w:b/>
              </w:rPr>
            </w:r>
            <w:r>
              <w:rPr>
                <w:b/>
                <w:sz w:val="18"/>
              </w:rPr>
              <w:t>Safety layer / clinician override</w:t>
            </w:r>
          </w:p>
        </w:tc>
        <w:tc>
          <w:tcPr>
            <w:tcW w:type="dxa" w:w="1624"/>
            <w:shd w:val="clear" w:color="auto" w:fill="E4E9F2"/>
          </w:tcPr>
          <w:p>
            <w:pPr>
              <w:spacing w:after="20"/>
            </w:pPr>
            <w:r>
              <w:rPr>
                <w:b/>
              </w:rPr>
            </w:r>
            <w:r>
              <w:rPr>
                <w:b/>
                <w:sz w:val="18"/>
              </w:rPr>
              <w:t>Autism-specific attention model</w:t>
            </w:r>
          </w:p>
        </w:tc>
        <w:tc>
          <w:tcPr>
            <w:tcW w:type="dxa" w:w="1624"/>
            <w:shd w:val="clear" w:color="auto" w:fill="E4E9F2"/>
          </w:tcPr>
          <w:p>
            <w:pPr>
              <w:spacing w:after="20"/>
            </w:pPr>
            <w:r>
              <w:rPr>
                <w:b/>
              </w:rPr>
            </w:r>
            <w:r>
              <w:rPr>
                <w:b/>
                <w:sz w:val="18"/>
              </w:rPr>
              <w:t>Uses attention to redesign images</w:t>
            </w:r>
          </w:p>
        </w:tc>
      </w:tr>
      <w:tr>
        <w:tc>
          <w:tcPr>
            <w:tcW w:type="dxa" w:w="1624"/>
          </w:tcPr>
          <w:p>
            <w:pPr>
              <w:spacing w:after="20"/>
            </w:pPr>
            <w:r/>
            <w:r>
              <w:rPr>
                <w:sz w:val="18"/>
              </w:rPr>
              <w:t>ZPDES, Clement et al. [2]</w:t>
            </w:r>
          </w:p>
        </w:tc>
        <w:tc>
          <w:tcPr>
            <w:tcW w:type="dxa" w:w="1624"/>
          </w:tcPr>
          <w:p>
            <w:pPr>
              <w:spacing w:after="20"/>
            </w:pPr>
            <w:r/>
            <w:r>
              <w:rPr>
                <w:sz w:val="18"/>
              </w:rPr>
              <w:t>yes (exercise choice)</w:t>
            </w:r>
          </w:p>
        </w:tc>
        <w:tc>
          <w:tcPr>
            <w:tcW w:type="dxa" w:w="1624"/>
          </w:tcPr>
          <w:p>
            <w:pPr>
              <w:spacing w:after="20"/>
            </w:pPr>
            <w:r/>
            <w:r>
              <w:rPr>
                <w:sz w:val="18"/>
              </w:rPr>
              <w:t>no</w:t>
            </w:r>
          </w:p>
        </w:tc>
        <w:tc>
          <w:tcPr>
            <w:tcW w:type="dxa" w:w="1624"/>
          </w:tcPr>
          <w:p>
            <w:pPr>
              <w:spacing w:after="20"/>
            </w:pPr>
            <w:r/>
            <w:r>
              <w:rPr>
                <w:sz w:val="18"/>
              </w:rPr>
              <w:t>no</w:t>
            </w:r>
          </w:p>
        </w:tc>
        <w:tc>
          <w:tcPr>
            <w:tcW w:type="dxa" w:w="1624"/>
          </w:tcPr>
          <w:p>
            <w:pPr>
              <w:spacing w:after="20"/>
            </w:pPr>
            <w:r/>
            <w:r>
              <w:rPr>
                <w:sz w:val="18"/>
              </w:rPr>
              <w:t>no</w:t>
            </w:r>
          </w:p>
        </w:tc>
        <w:tc>
          <w:tcPr>
            <w:tcW w:type="dxa" w:w="1624"/>
          </w:tcPr>
          <w:p>
            <w:pPr>
              <w:spacing w:after="20"/>
            </w:pPr>
            <w:r/>
            <w:r>
              <w:rPr>
                <w:sz w:val="18"/>
              </w:rPr>
              <w:t>no</w:t>
            </w:r>
          </w:p>
        </w:tc>
      </w:tr>
      <w:tr>
        <w:tc>
          <w:tcPr>
            <w:tcW w:type="dxa" w:w="1624"/>
          </w:tcPr>
          <w:p>
            <w:pPr>
              <w:spacing w:after="20"/>
            </w:pPr>
            <w:r/>
            <w:r>
              <w:rPr>
                <w:sz w:val="18"/>
              </w:rPr>
              <w:t>Rathod et al. [1] (LinUCB + GenAI)</w:t>
            </w:r>
          </w:p>
        </w:tc>
        <w:tc>
          <w:tcPr>
            <w:tcW w:type="dxa" w:w="1624"/>
          </w:tcPr>
          <w:p>
            <w:pPr>
              <w:spacing w:after="20"/>
            </w:pPr>
            <w:r/>
            <w:r>
              <w:rPr>
                <w:sz w:val="18"/>
              </w:rPr>
              <w:t>yes (content)</w:t>
            </w:r>
          </w:p>
        </w:tc>
        <w:tc>
          <w:tcPr>
            <w:tcW w:type="dxa" w:w="1624"/>
          </w:tcPr>
          <w:p>
            <w:pPr>
              <w:spacing w:after="20"/>
            </w:pPr>
            <w:r/>
            <w:r>
              <w:rPr>
                <w:sz w:val="18"/>
              </w:rPr>
              <w:t>no</w:t>
            </w:r>
          </w:p>
        </w:tc>
        <w:tc>
          <w:tcPr>
            <w:tcW w:type="dxa" w:w="1624"/>
          </w:tcPr>
          <w:p>
            <w:pPr>
              <w:spacing w:after="20"/>
            </w:pPr>
            <w:r/>
            <w:r>
              <w:rPr>
                <w:sz w:val="18"/>
              </w:rPr>
              <w:t>no</w:t>
            </w:r>
          </w:p>
        </w:tc>
        <w:tc>
          <w:tcPr>
            <w:tcW w:type="dxa" w:w="1624"/>
          </w:tcPr>
          <w:p>
            <w:pPr>
              <w:spacing w:after="20"/>
            </w:pPr>
            <w:r/>
            <w:r>
              <w:rPr>
                <w:sz w:val="18"/>
              </w:rPr>
              <w:t>no</w:t>
            </w:r>
          </w:p>
        </w:tc>
        <w:tc>
          <w:tcPr>
            <w:tcW w:type="dxa" w:w="1624"/>
          </w:tcPr>
          <w:p>
            <w:pPr>
              <w:spacing w:after="20"/>
            </w:pPr>
            <w:r/>
            <w:r>
              <w:rPr>
                <w:sz w:val="18"/>
              </w:rPr>
              <w:t>no</w:t>
            </w:r>
          </w:p>
        </w:tc>
      </w:tr>
      <w:tr>
        <w:tc>
          <w:tcPr>
            <w:tcW w:type="dxa" w:w="1624"/>
          </w:tcPr>
          <w:p>
            <w:pPr>
              <w:spacing w:after="20"/>
            </w:pPr>
            <w:r/>
            <w:r>
              <w:rPr>
                <w:sz w:val="18"/>
              </w:rPr>
              <w:t>Rudovic et al. [3]; Jain et al. [4]</w:t>
            </w:r>
          </w:p>
        </w:tc>
        <w:tc>
          <w:tcPr>
            <w:tcW w:type="dxa" w:w="1624"/>
          </w:tcPr>
          <w:p>
            <w:pPr>
              <w:spacing w:after="20"/>
            </w:pPr>
            <w:r/>
            <w:r>
              <w:rPr>
                <w:sz w:val="18"/>
              </w:rPr>
              <w:t>no (perception of affect/engagement)</w:t>
            </w:r>
          </w:p>
        </w:tc>
        <w:tc>
          <w:tcPr>
            <w:tcW w:type="dxa" w:w="1624"/>
          </w:tcPr>
          <w:p>
            <w:pPr>
              <w:spacing w:after="20"/>
            </w:pPr>
            <w:r/>
            <w:r>
              <w:rPr>
                <w:sz w:val="18"/>
              </w:rPr>
              <w:t>no</w:t>
            </w:r>
          </w:p>
        </w:tc>
        <w:tc>
          <w:tcPr>
            <w:tcW w:type="dxa" w:w="1624"/>
          </w:tcPr>
          <w:p>
            <w:pPr>
              <w:spacing w:after="20"/>
            </w:pPr>
            <w:r/>
            <w:r>
              <w:rPr>
                <w:sz w:val="18"/>
              </w:rPr>
              <w:t>no</w:t>
            </w:r>
          </w:p>
        </w:tc>
        <w:tc>
          <w:tcPr>
            <w:tcW w:type="dxa" w:w="1624"/>
          </w:tcPr>
          <w:p>
            <w:pPr>
              <w:spacing w:after="20"/>
            </w:pPr>
            <w:r/>
            <w:r>
              <w:rPr>
                <w:sz w:val="18"/>
              </w:rPr>
              <w:t>no</w:t>
            </w:r>
          </w:p>
        </w:tc>
        <w:tc>
          <w:tcPr>
            <w:tcW w:type="dxa" w:w="1624"/>
          </w:tcPr>
          <w:p>
            <w:pPr>
              <w:spacing w:after="20"/>
            </w:pPr>
            <w:r/>
            <w:r>
              <w:rPr>
                <w:sz w:val="18"/>
              </w:rPr>
              <w:t>no</w:t>
            </w:r>
          </w:p>
        </w:tc>
      </w:tr>
      <w:tr>
        <w:tc>
          <w:tcPr>
            <w:tcW w:type="dxa" w:w="1624"/>
          </w:tcPr>
          <w:p>
            <w:pPr>
              <w:spacing w:after="20"/>
            </w:pPr>
            <w:r/>
            <w:r>
              <w:rPr>
                <w:sz w:val="18"/>
              </w:rPr>
              <w:t>Wei et al. [10]; Duan et al. [11]</w:t>
            </w:r>
          </w:p>
        </w:tc>
        <w:tc>
          <w:tcPr>
            <w:tcW w:type="dxa" w:w="1624"/>
          </w:tcPr>
          <w:p>
            <w:pPr>
              <w:spacing w:after="20"/>
            </w:pPr>
            <w:r/>
            <w:r>
              <w:rPr>
                <w:sz w:val="18"/>
              </w:rPr>
              <w:t>no</w:t>
            </w:r>
          </w:p>
        </w:tc>
        <w:tc>
          <w:tcPr>
            <w:tcW w:type="dxa" w:w="1624"/>
          </w:tcPr>
          <w:p>
            <w:pPr>
              <w:spacing w:after="20"/>
            </w:pPr>
            <w:r/>
            <w:r>
              <w:rPr>
                <w:sz w:val="18"/>
              </w:rPr>
              <w:t>no</w:t>
            </w:r>
          </w:p>
        </w:tc>
        <w:tc>
          <w:tcPr>
            <w:tcW w:type="dxa" w:w="1624"/>
          </w:tcPr>
          <w:p>
            <w:pPr>
              <w:spacing w:after="20"/>
            </w:pPr>
            <w:r/>
            <w:r>
              <w:rPr>
                <w:sz w:val="18"/>
              </w:rPr>
              <w:t>no</w:t>
            </w:r>
          </w:p>
        </w:tc>
        <w:tc>
          <w:tcPr>
            <w:tcW w:type="dxa" w:w="1624"/>
          </w:tcPr>
          <w:p>
            <w:pPr>
              <w:spacing w:after="20"/>
            </w:pPr>
            <w:r/>
            <w:r>
              <w:rPr>
                <w:sz w:val="18"/>
              </w:rPr>
              <w:t>yes (prediction only)</w:t>
            </w:r>
          </w:p>
        </w:tc>
        <w:tc>
          <w:tcPr>
            <w:tcW w:type="dxa" w:w="1624"/>
          </w:tcPr>
          <w:p>
            <w:pPr>
              <w:spacing w:after="20"/>
            </w:pPr>
            <w:r/>
            <w:r>
              <w:rPr>
                <w:sz w:val="18"/>
              </w:rPr>
              <w:t>no</w:t>
            </w:r>
          </w:p>
        </w:tc>
      </w:tr>
      <w:tr>
        <w:tc>
          <w:tcPr>
            <w:tcW w:type="dxa" w:w="1624"/>
          </w:tcPr>
          <w:p>
            <w:pPr>
              <w:spacing w:after="20"/>
            </w:pPr>
            <w:r/>
            <w:r>
              <w:rPr>
                <w:sz w:val="18"/>
              </w:rPr>
              <w:t>Aberman et al. [12]</w:t>
            </w:r>
          </w:p>
        </w:tc>
        <w:tc>
          <w:tcPr>
            <w:tcW w:type="dxa" w:w="1624"/>
          </w:tcPr>
          <w:p>
            <w:pPr>
              <w:spacing w:after="20"/>
            </w:pPr>
            <w:r/>
            <w:r>
              <w:rPr>
                <w:sz w:val="18"/>
              </w:rPr>
              <w:t>no</w:t>
            </w:r>
          </w:p>
        </w:tc>
        <w:tc>
          <w:tcPr>
            <w:tcW w:type="dxa" w:w="1624"/>
          </w:tcPr>
          <w:p>
            <w:pPr>
              <w:spacing w:after="20"/>
            </w:pPr>
            <w:r/>
            <w:r>
              <w:rPr>
                <w:sz w:val="18"/>
              </w:rPr>
              <w:t>no</w:t>
            </w:r>
          </w:p>
        </w:tc>
        <w:tc>
          <w:tcPr>
            <w:tcW w:type="dxa" w:w="1624"/>
          </w:tcPr>
          <w:p>
            <w:pPr>
              <w:spacing w:after="20"/>
            </w:pPr>
            <w:r/>
            <w:r>
              <w:rPr>
                <w:sz w:val="18"/>
              </w:rPr>
              <w:t>no</w:t>
            </w:r>
          </w:p>
        </w:tc>
        <w:tc>
          <w:tcPr>
            <w:tcW w:type="dxa" w:w="1624"/>
          </w:tcPr>
          <w:p>
            <w:pPr>
              <w:spacing w:after="20"/>
            </w:pPr>
            <w:r/>
            <w:r>
              <w:rPr>
                <w:sz w:val="18"/>
              </w:rPr>
              <w:t>no (typical attention)</w:t>
            </w:r>
          </w:p>
        </w:tc>
        <w:tc>
          <w:tcPr>
            <w:tcW w:type="dxa" w:w="1624"/>
          </w:tcPr>
          <w:p>
            <w:pPr>
              <w:spacing w:after="20"/>
            </w:pPr>
            <w:r/>
            <w:r>
              <w:rPr>
                <w:sz w:val="18"/>
              </w:rPr>
              <w:t>yes</w:t>
            </w:r>
          </w:p>
        </w:tc>
      </w:tr>
      <w:tr>
        <w:tc>
          <w:tcPr>
            <w:tcW w:type="dxa" w:w="1624"/>
          </w:tcPr>
          <w:p>
            <w:pPr>
              <w:spacing w:after="20"/>
            </w:pPr>
            <w:r/>
            <w:r>
              <w:rPr>
                <w:b/>
                <w:sz w:val="18"/>
              </w:rPr>
              <w:t>AURA</w:t>
            </w:r>
          </w:p>
        </w:tc>
        <w:tc>
          <w:tcPr>
            <w:tcW w:type="dxa" w:w="1624"/>
          </w:tcPr>
          <w:p>
            <w:pPr>
              <w:spacing w:after="20"/>
            </w:pPr>
            <w:r/>
            <w:r>
              <w:rPr>
                <w:b/>
                <w:sz w:val="18"/>
              </w:rPr>
              <w:t>yes</w:t>
            </w:r>
          </w:p>
        </w:tc>
        <w:tc>
          <w:tcPr>
            <w:tcW w:type="dxa" w:w="1624"/>
          </w:tcPr>
          <w:p>
            <w:pPr>
              <w:spacing w:after="20"/>
            </w:pPr>
            <w:r/>
            <w:r>
              <w:rPr>
                <w:b/>
                <w:sz w:val="18"/>
              </w:rPr>
              <w:t>yes</w:t>
            </w:r>
          </w:p>
        </w:tc>
        <w:tc>
          <w:tcPr>
            <w:tcW w:type="dxa" w:w="1624"/>
          </w:tcPr>
          <w:p>
            <w:pPr>
              <w:spacing w:after="20"/>
            </w:pPr>
            <w:r/>
            <w:r>
              <w:rPr>
                <w:b/>
                <w:sz w:val="18"/>
              </w:rPr>
              <w:t>yes</w:t>
            </w:r>
          </w:p>
        </w:tc>
        <w:tc>
          <w:tcPr>
            <w:tcW w:type="dxa" w:w="1624"/>
          </w:tcPr>
          <w:p>
            <w:pPr>
              <w:spacing w:after="20"/>
            </w:pPr>
            <w:r/>
            <w:r>
              <w:rPr>
                <w:b/>
                <w:sz w:val="18"/>
              </w:rPr>
              <w:t>yes</w:t>
            </w:r>
          </w:p>
        </w:tc>
        <w:tc>
          <w:tcPr>
            <w:tcW w:type="dxa" w:w="1624"/>
          </w:tcPr>
          <w:p>
            <w:pPr>
              <w:spacing w:after="20"/>
            </w:pPr>
            <w:r/>
            <w:r>
              <w:rPr>
                <w:b/>
                <w:sz w:val="18"/>
              </w:rPr>
              <w:t>yes</w:t>
            </w:r>
          </w:p>
        </w:tc>
      </w:tr>
    </w:tbl>
    <w:p>
      <w:pPr>
        <w:spacing w:after="40"/>
      </w:pPr>
    </w:p>
    <w:p>
      <w:r>
        <w:t>This table is based on the papers' abstracts and what they describe; several full texts were paywalled, so confirm each cell against the full paper before submission. Published scores of [10] and [11] on Saliency4ASD were not retrieved and are not quoted: they use the challenge's own protocol and are not directly comparable with our cross-validation.</w:t>
      </w:r>
    </w:p>
    <w:p>
      <w:pPr>
        <w:pStyle w:val="Heading2"/>
      </w:pPr>
      <w:r>
        <w:t>4. System overview</w:t>
      </w:r>
    </w:p>
    <w:p>
      <w:r>
        <w:t>AURA is a mobile/web application (Expo/React Native client, FastAPI + SQLite backend) with three spaces: a child space (learning scenes, companion character, picture-communication board, calm corner, visual schedule), a parent space (progress, journal, goals, notes, therapist report) and an educator space (per-child evidence, arm locks, goals, notes). The decision engine is the production code that the research harness drives directly, so every study below is a claim about the shipped system.</w:t>
      </w:r>
    </w:p>
    <w:p>
      <w:pPr>
        <w:pStyle w:val="Heading2"/>
      </w:pPr>
      <w:r>
        <w:t>5. Methods</w:t>
      </w:r>
    </w:p>
    <w:p>
      <w:pPr>
        <w:pStyle w:val="Heading3"/>
      </w:pPr>
      <w:r>
        <w:t>5.1 Personalization engine (C1)</w:t>
      </w:r>
    </w:p>
    <w:p>
      <w:pPr>
        <w:pStyle w:val="ListBullet"/>
      </w:pPr>
      <w:r>
        <w:rPr>
          <w:b/>
        </w:rPr>
        <w:t>Axes and arms.</w:t>
      </w:r>
      <w:r>
        <w:t xml:space="preserve"> teaching method {errorless, try-then-correct}; response mode {tap, drag-and-drop}; interest theme {dinosaurs, space, ocean, cars}; and a conditional re-engagement axis {mini-game, favourite-thing, mode switch, break}.</w:t>
      </w:r>
    </w:p>
    <w:p>
      <w:pPr>
        <w:pStyle w:val="ListBullet"/>
      </w:pPr>
      <w:r>
        <w:rPr>
          <w:b/>
        </w:rPr>
        <w:t>Learning.</w:t>
      </w:r>
      <w:r>
        <w:t xml:space="preserve"> Each arm keeps a Beta posterior of the child's success; Thompson sampling draws one sample per arm and plays the highest. The prior is a fixed weakly informative Beta(2,2) (it is not learned across children, so we do not call it hierarchical).</w:t>
      </w:r>
    </w:p>
    <w:p>
      <w:pPr>
        <w:pStyle w:val="ListBullet"/>
      </w:pPr>
      <w:r>
        <w:rPr>
          <w:b/>
        </w:rPr>
        <w:t>Stopping rule.</w:t>
      </w:r>
      <w:r>
        <w:t xml:space="preserve"> An arm is confirmed for that child only after at least 8 trials and when its 95% credible interval no longer overlaps the runner-up. A confirmed winner is withdrawn if its last 5 outcomes fall more than 0.30 below its lifetime mean (drift re-testing).</w:t>
      </w:r>
    </w:p>
    <w:p>
      <w:pPr>
        <w:pStyle w:val="ListBullet"/>
      </w:pPr>
      <w:r>
        <w:rPr>
          <w:b/>
        </w:rPr>
        <w:t>Early predictor and retention.</w:t>
      </w:r>
      <w:r>
        <w:t xml:space="preserve"> Winners are judged on same-day correctness; 3- and 7-day retention probes (half-life regression, R(t) = 2^(−t/h)) check durability.</w:t>
      </w:r>
    </w:p>
    <w:p>
      <w:pPr>
        <w:pStyle w:val="ListBullet"/>
      </w:pPr>
      <w:r>
        <w:rPr>
          <w:b/>
        </w:rPr>
        <w:t>Safety.</w:t>
      </w:r>
      <w:r>
        <w:t xml:space="preserve"> Distress = 0.6 × abandonment + 0.4 × min(error streak, 5)/5; at ≥ 0.6 every axis uses the child's safe default. Since Phase 4 the child's own Break and "How do I feel?" presses also raise this level (the maximum of the behavioural and self-reported level; not exercised in simulation). Educators can block any arm (append-only locks).</w:t>
      </w:r>
    </w:p>
    <w:p>
      <w:pPr>
        <w:pStyle w:val="ListBullet"/>
      </w:pPr>
      <w:r>
        <w:rPr>
          <w:b/>
        </w:rPr>
        <w:t>Difficulty.</w:t>
      </w:r>
      <w:r>
        <w:t xml:space="preserve"> Levels 1–3 per topic, moved one level per activity from the child's last activity on that topic (accuracy ≥ 0.8 with fast responses steps up; accuracy &lt; 0.55 or slow or repeated attempts steps down). Active in the re-run studies below, but the simulated child's accuracy does not depend on difficulty, so its effect on learning is not measured.</w:t>
      </w:r>
    </w:p>
    <w:p>
      <w:pPr>
        <w:pStyle w:val="ListBullet"/>
      </w:pPr>
      <w:r>
        <w:rPr>
          <w:b/>
        </w:rPr>
        <w:t>Topic choice.</w:t>
      </w:r>
      <w:r>
        <w:t xml:space="preserve"> Educator assignment, then a due revision, then lowest mastery within parent goals, with interleaving (a topic from either of the last two lessons sits out) and spacing. This does not affect the studies, which are pinned to the counting topic.</w:t>
      </w:r>
    </w:p>
    <w:p>
      <w:pPr>
        <w:pStyle w:val="Heading3"/>
      </w:pPr>
      <w:r>
        <w:t>5.2 Attention model (C2)</w:t>
      </w:r>
    </w:p>
    <w:p>
      <w:pPr>
        <w:pStyle w:val="ListBullet"/>
      </w:pPr>
      <w:r>
        <w:rPr>
          <w:b/>
        </w:rPr>
        <w:t>Trunk.</w:t>
      </w:r>
      <w:r>
        <w:t xml:space="preserve"> ResNet-50 pretrained on ImageNet; features from three depths projected, fused at 1/8 resolution.</w:t>
      </w:r>
    </w:p>
    <w:p>
      <w:pPr>
        <w:pStyle w:val="ListBullet"/>
      </w:pPr>
      <w:r>
        <w:rPr>
          <w:b/>
        </w:rPr>
        <w:t>Heads.</w:t>
      </w:r>
      <w:r>
        <w:t xml:space="preserve"> </w:t>
      </w:r>
      <w:r>
        <w:rPr>
          <w:rFonts w:ascii="Consolas" w:hAnsi="Consolas"/>
          <w:sz w:val="20"/>
        </w:rPr>
        <w:t>DualSaliencyNet</w:t>
      </w:r>
      <w:r>
        <w:t>: a typical-attention (TD) head and a difference head; logits_ASD = logits_TD + logits_DIFF; each head adds eight learned Gaussian centre-bias maps. Outputs are log-probability maps over pixels.</w:t>
      </w:r>
    </w:p>
    <w:p>
      <w:pPr>
        <w:pStyle w:val="ListBullet"/>
      </w:pPr>
      <w:r>
        <w:rPr>
          <w:b/>
        </w:rPr>
        <w:t>Training.</w:t>
      </w:r>
      <w:r>
        <w:t xml:space="preserve"> Loss = KL divergence to the fixation density − CC − 0.1·NSS (plus 10⁻³ L1 on the difference map). Input 240×320, Adam, cosine schedule, horizontal-flip augmentation, flip-averaged test-time prediction, 24 epochs; baselines 20 epochs; mixed precision on CUDA.</w:t>
      </w:r>
    </w:p>
    <w:p>
      <w:pPr>
        <w:pStyle w:val="ListBullet"/>
      </w:pPr>
      <w:r>
        <w:rPr>
          <w:b/>
        </w:rPr>
        <w:t>Deployment.</w:t>
      </w:r>
      <w:r>
        <w:t xml:space="preserve"> Exported to ONNX (max relative difference to PyTorch 3.8×10⁻⁶; about 115 ms per image on a laptop CPU).</w:t>
      </w:r>
    </w:p>
    <w:p>
      <w:pPr>
        <w:pStyle w:val="Heading3"/>
      </w:pPr>
      <w:r>
        <w:t>5.3 Scoring and editing (C3)</w:t>
      </w:r>
    </w:p>
    <w:p>
      <w:r>
        <w:t>Target-attention score = share of predicted autistic attention inside the target region. Editing blurs and desaturates everything outside the target with a feathered mask at the smallest of four strengths (0.25–1.0) that the model predicts reaches the goal.</w:t>
      </w:r>
    </w:p>
    <w:p>
      <w:pPr>
        <w:pStyle w:val="Heading2"/>
      </w:pPr>
      <w:r>
        <w:t>6. Experiments for C1 (Section IV)</w:t>
      </w:r>
    </w:p>
    <w:p>
      <w:pPr>
        <w:pStyle w:val="Heading3"/>
      </w:pPr>
      <w:r>
        <w:t>6.1 IV-A Experimental setup</w:t>
      </w:r>
    </w:p>
    <w:p>
      <w:pPr>
        <w:pStyle w:val="ListBullet"/>
      </w:pPr>
      <w:r>
        <w:rPr>
          <w:b/>
        </w:rPr>
        <w:t>Software.</w:t>
      </w:r>
      <w:r>
        <w:t xml:space="preserve"> Python 3.11, FastAPI, SQLAlchemy 2, SQLite; app on Expo SDK 57 / React Native 0.86. 124 backend tests and 35 research tests pass.</w:t>
      </w:r>
    </w:p>
    <w:p>
      <w:pPr>
        <w:pStyle w:val="ListBullet"/>
      </w:pPr>
      <w:r>
        <w:rPr>
          <w:b/>
        </w:rPr>
        <w:t>Data.</w:t>
      </w:r>
      <w:r>
        <w:t xml:space="preserve"> No real children have used AURA. Learner data are (i) simulated children: each has a hidden best arm per axis, drawn at random so children differ; base ability 0.30–0.55, learning rate 0.25–0.45, method effect +0.08 to +0.30, mode effect +0.05 to +0.25, theme effect 0 to +0.20, distress proneness 0–1; distress lowers accuracy by up to 0.18 and can cause abandonment; and (ii) one real published single-case series (23 sessions) digitised from Öz-Alkoyak &amp; Vuran [6] and replayed.</w:t>
      </w:r>
    </w:p>
    <w:p>
      <w:pPr>
        <w:pStyle w:val="ListBullet"/>
      </w:pPr>
      <w:r>
        <w:rPr>
          <w:b/>
        </w:rPr>
        <w:t>Protocol.</w:t>
      </w:r>
      <w:r>
        <w:t xml:space="preserve"> Topic: counting 1–5; 5 items per activity, 3 activities per session, retention probes at 3 and 7 days. Each child faces every condition as an identical clone under common random numbers (paired design).</w:t>
      </w:r>
    </w:p>
    <w:p>
      <w:pPr>
        <w:pStyle w:val="ListBullet"/>
      </w:pPr>
      <w:r>
        <w:rPr>
          <w:b/>
        </w:rPr>
        <w:t>Studies.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4E9F2"/>
          </w:tcPr>
          <w:p>
            <w:pPr>
              <w:spacing w:after="20"/>
            </w:pPr>
            <w:r>
              <w:rPr>
                <w:b/>
              </w:rPr>
            </w:r>
            <w:r>
              <w:rPr>
                <w:b/>
                <w:sz w:val="18"/>
              </w:rPr>
              <w:t>Study</w:t>
            </w:r>
          </w:p>
        </w:tc>
        <w:tc>
          <w:tcPr>
            <w:tcW w:type="dxa" w:w="1949"/>
            <w:shd w:val="clear" w:color="auto" w:fill="E4E9F2"/>
          </w:tcPr>
          <w:p>
            <w:pPr>
              <w:spacing w:after="20"/>
            </w:pPr>
            <w:r>
              <w:rPr>
                <w:b/>
              </w:rPr>
            </w:r>
            <w:r>
              <w:rPr>
                <w:b/>
                <w:sz w:val="18"/>
              </w:rPr>
              <w:t>Children</w:t>
            </w:r>
          </w:p>
        </w:tc>
        <w:tc>
          <w:tcPr>
            <w:tcW w:type="dxa" w:w="1949"/>
            <w:shd w:val="clear" w:color="auto" w:fill="E4E9F2"/>
          </w:tcPr>
          <w:p>
            <w:pPr>
              <w:spacing w:after="20"/>
            </w:pPr>
            <w:r>
              <w:rPr>
                <w:b/>
              </w:rPr>
            </w:r>
            <w:r>
              <w:rPr>
                <w:b/>
                <w:sz w:val="18"/>
              </w:rPr>
              <w:t>Activities each</w:t>
            </w:r>
          </w:p>
        </w:tc>
        <w:tc>
          <w:tcPr>
            <w:tcW w:type="dxa" w:w="1949"/>
            <w:shd w:val="clear" w:color="auto" w:fill="E4E9F2"/>
          </w:tcPr>
          <w:p>
            <w:pPr>
              <w:spacing w:after="20"/>
            </w:pPr>
            <w:r>
              <w:rPr>
                <w:b/>
              </w:rPr>
            </w:r>
            <w:r>
              <w:rPr>
                <w:b/>
                <w:sz w:val="18"/>
              </w:rPr>
              <w:t>Conditions</w:t>
            </w:r>
          </w:p>
        </w:tc>
        <w:tc>
          <w:tcPr>
            <w:tcW w:type="dxa" w:w="1949"/>
            <w:shd w:val="clear" w:color="auto" w:fill="E4E9F2"/>
          </w:tcPr>
          <w:p>
            <w:pPr>
              <w:spacing w:after="20"/>
            </w:pPr>
            <w:r>
              <w:rPr>
                <w:b/>
              </w:rPr>
            </w:r>
            <w:r>
              <w:rPr>
                <w:b/>
                <w:sz w:val="18"/>
              </w:rPr>
              <w:t>Seed</w:t>
            </w:r>
          </w:p>
        </w:tc>
      </w:tr>
      <w:tr>
        <w:tc>
          <w:tcPr>
            <w:tcW w:type="dxa" w:w="1949"/>
          </w:tcPr>
          <w:p>
            <w:pPr>
              <w:spacing w:after="20"/>
            </w:pPr>
            <w:r/>
            <w:r>
              <w:rPr>
                <w:sz w:val="18"/>
              </w:rPr>
              <w:t>Comparative</w:t>
            </w:r>
          </w:p>
        </w:tc>
        <w:tc>
          <w:tcPr>
            <w:tcW w:type="dxa" w:w="1949"/>
          </w:tcPr>
          <w:p>
            <w:pPr>
              <w:spacing w:after="20"/>
            </w:pPr>
            <w:r/>
            <w:r>
              <w:rPr>
                <w:sz w:val="18"/>
              </w:rPr>
              <w:t>80</w:t>
            </w:r>
          </w:p>
        </w:tc>
        <w:tc>
          <w:tcPr>
            <w:tcW w:type="dxa" w:w="1949"/>
          </w:tcPr>
          <w:p>
            <w:pPr>
              <w:spacing w:after="20"/>
            </w:pPr>
            <w:r/>
            <w:r>
              <w:rPr>
                <w:sz w:val="18"/>
              </w:rPr>
              <w:t>40</w:t>
            </w:r>
          </w:p>
        </w:tc>
        <w:tc>
          <w:tcPr>
            <w:tcW w:type="dxa" w:w="1949"/>
          </w:tcPr>
          <w:p>
            <w:pPr>
              <w:spacing w:after="20"/>
            </w:pPr>
            <w:r/>
            <w:r>
              <w:rPr>
                <w:sz w:val="18"/>
              </w:rPr>
              <w:t>6</w:t>
            </w:r>
          </w:p>
        </w:tc>
        <w:tc>
          <w:tcPr>
            <w:tcW w:type="dxa" w:w="1949"/>
          </w:tcPr>
          <w:p>
            <w:pPr>
              <w:spacing w:after="20"/>
            </w:pPr>
            <w:r/>
            <w:r>
              <w:rPr>
                <w:sz w:val="18"/>
              </w:rPr>
              <w:t>42</w:t>
            </w:r>
          </w:p>
        </w:tc>
      </w:tr>
      <w:tr>
        <w:tc>
          <w:tcPr>
            <w:tcW w:type="dxa" w:w="1949"/>
          </w:tcPr>
          <w:p>
            <w:pPr>
              <w:spacing w:after="20"/>
            </w:pPr>
            <w:r/>
            <w:r>
              <w:rPr>
                <w:sz w:val="18"/>
              </w:rPr>
              <w:t>Component ablation</w:t>
            </w:r>
          </w:p>
        </w:tc>
        <w:tc>
          <w:tcPr>
            <w:tcW w:type="dxa" w:w="1949"/>
          </w:tcPr>
          <w:p>
            <w:pPr>
              <w:spacing w:after="20"/>
            </w:pPr>
            <w:r/>
            <w:r>
              <w:rPr>
                <w:sz w:val="18"/>
              </w:rPr>
              <w:t>48</w:t>
            </w:r>
          </w:p>
        </w:tc>
        <w:tc>
          <w:tcPr>
            <w:tcW w:type="dxa" w:w="1949"/>
          </w:tcPr>
          <w:p>
            <w:pPr>
              <w:spacing w:after="20"/>
            </w:pPr>
            <w:r/>
            <w:r>
              <w:rPr>
                <w:sz w:val="18"/>
              </w:rPr>
              <w:t>60</w:t>
            </w:r>
          </w:p>
        </w:tc>
        <w:tc>
          <w:tcPr>
            <w:tcW w:type="dxa" w:w="1949"/>
          </w:tcPr>
          <w:p>
            <w:pPr>
              <w:spacing w:after="20"/>
            </w:pPr>
            <w:r/>
            <w:r>
              <w:rPr>
                <w:sz w:val="18"/>
              </w:rPr>
              <w:t>5</w:t>
            </w:r>
          </w:p>
        </w:tc>
        <w:tc>
          <w:tcPr>
            <w:tcW w:type="dxa" w:w="1949"/>
          </w:tcPr>
          <w:p>
            <w:pPr>
              <w:spacing w:after="20"/>
            </w:pPr>
            <w:r/>
            <w:r>
              <w:rPr>
                <w:sz w:val="18"/>
              </w:rPr>
              <w:t>43</w:t>
            </w:r>
          </w:p>
        </w:tc>
      </w:tr>
      <w:tr>
        <w:tc>
          <w:tcPr>
            <w:tcW w:type="dxa" w:w="1949"/>
          </w:tcPr>
          <w:p>
            <w:pPr>
              <w:spacing w:after="20"/>
            </w:pPr>
            <w:r/>
            <w:r>
              <w:rPr>
                <w:sz w:val="18"/>
              </w:rPr>
              <w:t>Trace, learning outcomes, axis ablations</w:t>
            </w:r>
          </w:p>
        </w:tc>
        <w:tc>
          <w:tcPr>
            <w:tcW w:type="dxa" w:w="1949"/>
          </w:tcPr>
          <w:p>
            <w:pPr>
              <w:spacing w:after="20"/>
            </w:pPr>
            <w:r/>
            <w:r>
              <w:rPr>
                <w:sz w:val="18"/>
              </w:rPr>
              <w:t>80</w:t>
            </w:r>
          </w:p>
        </w:tc>
        <w:tc>
          <w:tcPr>
            <w:tcW w:type="dxa" w:w="1949"/>
          </w:tcPr>
          <w:p>
            <w:pPr>
              <w:spacing w:after="20"/>
            </w:pPr>
            <w:r/>
            <w:r>
              <w:rPr>
                <w:sz w:val="18"/>
              </w:rPr>
              <w:t>40</w:t>
            </w:r>
          </w:p>
        </w:tc>
        <w:tc>
          <w:tcPr>
            <w:tcW w:type="dxa" w:w="1949"/>
          </w:tcPr>
          <w:p>
            <w:pPr>
              <w:spacing w:after="20"/>
            </w:pPr>
            <w:r/>
            <w:r>
              <w:rPr>
                <w:sz w:val="18"/>
              </w:rPr>
              <w:t>AURA / six / three</w:t>
            </w:r>
          </w:p>
        </w:tc>
        <w:tc>
          <w:tcPr>
            <w:tcW w:type="dxa" w:w="1949"/>
          </w:tcPr>
          <w:p>
            <w:pPr>
              <w:spacing w:after="20"/>
            </w:pPr>
            <w:r/>
            <w:r>
              <w:rPr>
                <w:sz w:val="18"/>
              </w:rPr>
              <w:t>42</w:t>
            </w:r>
          </w:p>
        </w:tc>
      </w:tr>
      <w:tr>
        <w:tc>
          <w:tcPr>
            <w:tcW w:type="dxa" w:w="1949"/>
          </w:tcPr>
          <w:p>
            <w:pPr>
              <w:spacing w:after="20"/>
            </w:pPr>
            <w:r/>
            <w:r>
              <w:rPr>
                <w:sz w:val="18"/>
              </w:rPr>
              <w:t>Robustness (§6.8)</w:t>
            </w:r>
          </w:p>
        </w:tc>
        <w:tc>
          <w:tcPr>
            <w:tcW w:type="dxa" w:w="1949"/>
          </w:tcPr>
          <w:p>
            <w:pPr>
              <w:spacing w:after="20"/>
            </w:pPr>
            <w:r/>
            <w:r>
              <w:rPr>
                <w:sz w:val="18"/>
              </w:rPr>
              <w:t>40 per scenario</w:t>
            </w:r>
          </w:p>
        </w:tc>
        <w:tc>
          <w:tcPr>
            <w:tcW w:type="dxa" w:w="1949"/>
          </w:tcPr>
          <w:p>
            <w:pPr>
              <w:spacing w:after="20"/>
            </w:pPr>
            <w:r/>
            <w:r>
              <w:rPr>
                <w:sz w:val="18"/>
              </w:rPr>
              <w:t>40</w:t>
            </w:r>
          </w:p>
        </w:tc>
        <w:tc>
          <w:tcPr>
            <w:tcW w:type="dxa" w:w="1949"/>
          </w:tcPr>
          <w:p>
            <w:pPr>
              <w:spacing w:after="20"/>
            </w:pPr>
            <w:r/>
            <w:r>
              <w:rPr>
                <w:sz w:val="18"/>
              </w:rPr>
              <w:t>AURA, static, heuristic × 10 scenarios</w:t>
            </w:r>
          </w:p>
        </w:tc>
        <w:tc>
          <w:tcPr>
            <w:tcW w:type="dxa" w:w="1949"/>
          </w:tcPr>
          <w:p>
            <w:pPr>
              <w:spacing w:after="20"/>
            </w:pPr>
            <w:r/>
            <w:r>
              <w:rPr>
                <w:sz w:val="18"/>
              </w:rPr>
              <w:t>44</w:t>
            </w:r>
          </w:p>
        </w:tc>
      </w:tr>
      <w:tr>
        <w:tc>
          <w:tcPr>
            <w:tcW w:type="dxa" w:w="1949"/>
          </w:tcPr>
          <w:p>
            <w:pPr>
              <w:spacing w:after="20"/>
            </w:pPr>
            <w:r/>
            <w:r>
              <w:rPr>
                <w:sz w:val="18"/>
              </w:rPr>
              <w:t>Replay</w:t>
            </w:r>
          </w:p>
        </w:tc>
        <w:tc>
          <w:tcPr>
            <w:tcW w:type="dxa" w:w="1949"/>
          </w:tcPr>
          <w:p>
            <w:pPr>
              <w:spacing w:after="20"/>
            </w:pPr>
            <w:r/>
            <w:r>
              <w:rPr>
                <w:sz w:val="18"/>
              </w:rPr>
              <w:t>1 real series</w:t>
            </w:r>
          </w:p>
        </w:tc>
        <w:tc>
          <w:tcPr>
            <w:tcW w:type="dxa" w:w="1949"/>
          </w:tcPr>
          <w:p>
            <w:pPr>
              <w:spacing w:after="20"/>
            </w:pPr>
            <w:r/>
            <w:r>
              <w:rPr>
                <w:sz w:val="18"/>
              </w:rPr>
              <w:t>23 sessions</w:t>
            </w:r>
          </w:p>
        </w:tc>
        <w:tc>
          <w:tcPr>
            <w:tcW w:type="dxa" w:w="1949"/>
          </w:tcPr>
          <w:p>
            <w:pPr>
              <w:spacing w:after="20"/>
            </w:pPr>
            <w:r/>
            <w:r>
              <w:rPr>
                <w:sz w:val="18"/>
              </w:rPr>
              <w:t>1</w:t>
            </w:r>
          </w:p>
        </w:tc>
        <w:tc>
          <w:tcPr>
            <w:tcW w:type="dxa" w:w="1949"/>
          </w:tcPr>
          <w:p>
            <w:pPr>
              <w:spacing w:after="20"/>
            </w:pPr>
            <w:r/>
            <w:r>
              <w:rPr>
                <w:sz w:val="18"/>
              </w:rPr>
              <w:t>n/a</w:t>
            </w:r>
          </w:p>
        </w:tc>
      </w:tr>
    </w:tbl>
    <w:p>
      <w:pPr>
        <w:spacing w:after="40"/>
      </w:pPr>
    </w:p>
    <w:p>
      <w:pPr>
        <w:pStyle w:val="ListBullet"/>
      </w:pPr>
      <w:r>
        <w:rPr>
          <w:b/>
        </w:rPr>
        <w:t>Hardware.</w:t>
      </w:r>
      <w:r>
        <w:t xml:space="preserve"> Apple A18 Pro laptop, 8 GB, CPU only for the simulations; the attention model was trained on an RTX 3050 Laptop GPU (2.12 h for all folds and the final model).</w:t>
      </w:r>
    </w:p>
    <w:p>
      <w:pPr>
        <w:pStyle w:val="ListBullet"/>
      </w:pPr>
      <w:r>
        <w:rPr>
          <w:b/>
        </w:rPr>
        <w:t>ML models.</w:t>
      </w:r>
      <w:r>
        <w:t xml:space="preserve"> Thompson-sampling engine (Beta–Binomial), Bayesian mastery estimate, half-life retention model, rule-based engagement classifier, distress monitor, local Llama 3.2 for prompts with a deterministic template fallback and a safety validator (not evaluated; see §6.7).</w:t>
      </w:r>
    </w:p>
    <w:p>
      <w:pPr>
        <w:pStyle w:val="Heading3"/>
      </w:pPr>
      <w:r>
        <w:t>6.2 IV-B Evaluation metrics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9F2"/>
          </w:tcPr>
          <w:p>
            <w:pPr>
              <w:spacing w:after="20"/>
            </w:pPr>
            <w:r>
              <w:rPr>
                <w:b/>
              </w:rPr>
            </w:r>
            <w:r>
              <w:rPr>
                <w:b/>
                <w:sz w:val="18"/>
              </w:rPr>
              <w:t>Requested metric</w:t>
            </w:r>
          </w:p>
        </w:tc>
        <w:tc>
          <w:tcPr>
            <w:tcW w:type="dxa" w:w="3249"/>
            <w:shd w:val="clear" w:color="auto" w:fill="E4E9F2"/>
          </w:tcPr>
          <w:p>
            <w:pPr>
              <w:spacing w:after="20"/>
            </w:pPr>
            <w:r>
              <w:rPr>
                <w:b/>
              </w:rPr>
            </w:r>
            <w:r>
              <w:rPr>
                <w:b/>
                <w:sz w:val="18"/>
              </w:rPr>
              <w:t>How measured</w:t>
            </w:r>
          </w:p>
        </w:tc>
        <w:tc>
          <w:tcPr>
            <w:tcW w:type="dxa" w:w="3249"/>
            <w:shd w:val="clear" w:color="auto" w:fill="E4E9F2"/>
          </w:tcPr>
          <w:p>
            <w:pPr>
              <w:spacing w:after="20"/>
            </w:pPr>
            <w:r>
              <w:rPr>
                <w:b/>
              </w:rPr>
            </w:r>
            <w:r>
              <w:rPr>
                <w:b/>
                <w:sz w:val="18"/>
              </w:rPr>
              <w:t>Status</w:t>
            </w:r>
          </w:p>
        </w:tc>
      </w:tr>
      <w:tr>
        <w:tc>
          <w:tcPr>
            <w:tcW w:type="dxa" w:w="3249"/>
          </w:tcPr>
          <w:p>
            <w:pPr>
              <w:spacing w:after="20"/>
            </w:pPr>
            <w:r/>
            <w:r>
              <w:rPr>
                <w:sz w:val="18"/>
              </w:rPr>
              <w:t>Learning accuracy</w:t>
            </w:r>
          </w:p>
        </w:tc>
        <w:tc>
          <w:tcPr>
            <w:tcW w:type="dxa" w:w="3249"/>
          </w:tcPr>
          <w:p>
            <w:pPr>
              <w:spacing w:after="20"/>
            </w:pPr>
            <w:r/>
            <w:r>
              <w:rPr>
                <w:sz w:val="18"/>
              </w:rPr>
              <w:t>% of answered items correct</w:t>
            </w:r>
          </w:p>
        </w:tc>
        <w:tc>
          <w:tcPr>
            <w:tcW w:type="dxa" w:w="3249"/>
          </w:tcPr>
          <w:p>
            <w:pPr>
              <w:spacing w:after="20"/>
            </w:pPr>
            <w:r/>
            <w:r>
              <w:rPr>
                <w:sz w:val="18"/>
              </w:rPr>
              <w:t>measured</w:t>
            </w:r>
          </w:p>
        </w:tc>
      </w:tr>
      <w:tr>
        <w:tc>
          <w:tcPr>
            <w:tcW w:type="dxa" w:w="3249"/>
          </w:tcPr>
          <w:p>
            <w:pPr>
              <w:spacing w:after="20"/>
            </w:pPr>
            <w:r/>
            <w:r>
              <w:rPr>
                <w:sz w:val="18"/>
              </w:rPr>
              <w:t>Learning gain</w:t>
            </w:r>
          </w:p>
        </w:tc>
        <w:tc>
          <w:tcPr>
            <w:tcW w:type="dxa" w:w="3249"/>
          </w:tcPr>
          <w:p>
            <w:pPr>
              <w:spacing w:after="20"/>
            </w:pPr>
            <w:r/>
            <w:r>
              <w:rPr>
                <w:sz w:val="18"/>
              </w:rPr>
              <w:t>accuracy in last 10 activities − first 10 (percentage points)</w:t>
            </w:r>
          </w:p>
        </w:tc>
        <w:tc>
          <w:tcPr>
            <w:tcW w:type="dxa" w:w="3249"/>
          </w:tcPr>
          <w:p>
            <w:pPr>
              <w:spacing w:after="20"/>
            </w:pPr>
            <w:r/>
            <w:r>
              <w:rPr>
                <w:sz w:val="18"/>
              </w:rPr>
              <w:t>measured</w:t>
            </w:r>
          </w:p>
        </w:tc>
      </w:tr>
      <w:tr>
        <w:tc>
          <w:tcPr>
            <w:tcW w:type="dxa" w:w="3249"/>
          </w:tcPr>
          <w:p>
            <w:pPr>
              <w:spacing w:after="20"/>
            </w:pPr>
            <w:r/>
            <w:r>
              <w:rPr>
                <w:sz w:val="18"/>
              </w:rPr>
              <w:t>Completion rate</w:t>
            </w:r>
          </w:p>
        </w:tc>
        <w:tc>
          <w:tcPr>
            <w:tcW w:type="dxa" w:w="3249"/>
          </w:tcPr>
          <w:p>
            <w:pPr>
              <w:spacing w:after="20"/>
            </w:pPr>
            <w:r/>
            <w:r>
              <w:rPr>
                <w:sz w:val="18"/>
              </w:rPr>
              <w:t>% of lesson activities not abandoned</w:t>
            </w:r>
          </w:p>
        </w:tc>
        <w:tc>
          <w:tcPr>
            <w:tcW w:type="dxa" w:w="3249"/>
          </w:tcPr>
          <w:p>
            <w:pPr>
              <w:spacing w:after="20"/>
            </w:pPr>
            <w:r/>
            <w:r>
              <w:rPr>
                <w:sz w:val="18"/>
              </w:rPr>
              <w:t>measured</w:t>
            </w:r>
          </w:p>
        </w:tc>
      </w:tr>
      <w:tr>
        <w:tc>
          <w:tcPr>
            <w:tcW w:type="dxa" w:w="3249"/>
          </w:tcPr>
          <w:p>
            <w:pPr>
              <w:spacing w:after="20"/>
            </w:pPr>
            <w:r/>
            <w:r>
              <w:rPr>
                <w:sz w:val="18"/>
              </w:rPr>
              <w:t>Response time</w:t>
            </w:r>
          </w:p>
        </w:tc>
        <w:tc>
          <w:tcPr>
            <w:tcW w:type="dxa" w:w="3249"/>
          </w:tcPr>
          <w:p>
            <w:pPr>
              <w:spacing w:after="20"/>
            </w:pPr>
            <w:r/>
            <w:r>
              <w:rPr>
                <w:sz w:val="18"/>
              </w:rPr>
              <w:t>ms per item</w:t>
            </w:r>
          </w:p>
        </w:tc>
        <w:tc>
          <w:tcPr>
            <w:tcW w:type="dxa" w:w="3249"/>
          </w:tcPr>
          <w:p>
            <w:pPr>
              <w:spacing w:after="20"/>
            </w:pPr>
            <w:r/>
            <w:r>
              <w:rPr>
                <w:sz w:val="18"/>
              </w:rPr>
              <w:t>logged in the app; in simulation derived from P(correct), so not independent evidence; report from a pilot</w:t>
            </w:r>
          </w:p>
        </w:tc>
      </w:tr>
      <w:tr>
        <w:tc>
          <w:tcPr>
            <w:tcW w:type="dxa" w:w="3249"/>
          </w:tcPr>
          <w:p>
            <w:pPr>
              <w:spacing w:after="20"/>
            </w:pPr>
            <w:r/>
            <w:r>
              <w:rPr>
                <w:sz w:val="18"/>
              </w:rPr>
              <w:t>Engagement score</w:t>
            </w:r>
          </w:p>
        </w:tc>
        <w:tc>
          <w:tcPr>
            <w:tcW w:type="dxa" w:w="3249"/>
          </w:tcPr>
          <w:p>
            <w:pPr>
              <w:spacing w:after="20"/>
            </w:pPr>
            <w:r/>
            <w:r>
              <w:rPr>
                <w:sz w:val="18"/>
              </w:rPr>
              <w:t>distress events per child (rising crossings of 0.6) and recovery after an intervention</w:t>
            </w:r>
          </w:p>
        </w:tc>
        <w:tc>
          <w:tcPr>
            <w:tcW w:type="dxa" w:w="3249"/>
          </w:tcPr>
          <w:p>
            <w:pPr>
              <w:spacing w:after="20"/>
            </w:pPr>
            <w:r/>
            <w:r>
              <w:rPr>
                <w:sz w:val="18"/>
              </w:rPr>
              <w:t>measured</w:t>
            </w:r>
          </w:p>
        </w:tc>
      </w:tr>
      <w:tr>
        <w:tc>
          <w:tcPr>
            <w:tcW w:type="dxa" w:w="3249"/>
          </w:tcPr>
          <w:p>
            <w:pPr>
              <w:spacing w:after="20"/>
            </w:pPr>
            <w:r/>
            <w:r>
              <w:rPr>
                <w:sz w:val="18"/>
              </w:rPr>
              <w:t>Revision effectiveness</w:t>
            </w:r>
          </w:p>
        </w:tc>
        <w:tc>
          <w:tcPr>
            <w:tcW w:type="dxa" w:w="3249"/>
          </w:tcPr>
          <w:p>
            <w:pPr>
              <w:spacing w:after="20"/>
            </w:pPr>
            <w:r/>
            <w:r>
              <w:rPr>
                <w:sz w:val="18"/>
              </w:rPr>
              <w:t>7-day retention-probe accuracy</w:t>
            </w:r>
          </w:p>
        </w:tc>
        <w:tc>
          <w:tcPr>
            <w:tcW w:type="dxa" w:w="3249"/>
          </w:tcPr>
          <w:p>
            <w:pPr>
              <w:spacing w:after="20"/>
            </w:pPr>
            <w:r/>
            <w:r>
              <w:rPr>
                <w:sz w:val="18"/>
              </w:rPr>
              <w:t>measured</w:t>
            </w:r>
          </w:p>
        </w:tc>
      </w:tr>
      <w:tr>
        <w:tc>
          <w:tcPr>
            <w:tcW w:type="dxa" w:w="3249"/>
          </w:tcPr>
          <w:p>
            <w:pPr>
              <w:spacing w:after="20"/>
            </w:pPr>
            <w:r/>
            <w:r>
              <w:rPr>
                <w:sz w:val="18"/>
              </w:rPr>
              <w:t>Personalization accuracy</w:t>
            </w:r>
          </w:p>
        </w:tc>
        <w:tc>
          <w:tcPr>
            <w:tcW w:type="dxa" w:w="3249"/>
          </w:tcPr>
          <w:p>
            <w:pPr>
              <w:spacing w:after="20"/>
            </w:pPr>
            <w:r/>
            <w:r>
              <w:rPr>
                <w:sz w:val="18"/>
              </w:rPr>
              <w:t>final arm equals the child's true best arm</w:t>
            </w:r>
          </w:p>
        </w:tc>
        <w:tc>
          <w:tcPr>
            <w:tcW w:type="dxa" w:w="3249"/>
          </w:tcPr>
          <w:p>
            <w:pPr>
              <w:spacing w:after="20"/>
            </w:pPr>
            <w:r/>
            <w:r>
              <w:rPr>
                <w:sz w:val="18"/>
              </w:rPr>
              <w:t>measured</w:t>
            </w:r>
          </w:p>
        </w:tc>
      </w:tr>
      <w:tr>
        <w:tc>
          <w:tcPr>
            <w:tcW w:type="dxa" w:w="3249"/>
          </w:tcPr>
          <w:p>
            <w:pPr>
              <w:spacing w:after="20"/>
            </w:pPr>
            <w:r/>
            <w:r>
              <w:rPr>
                <w:sz w:val="18"/>
              </w:rPr>
              <w:t>Difficulty-adaptation effectiveness</w:t>
            </w:r>
          </w:p>
        </w:tc>
        <w:tc>
          <w:tcPr>
            <w:tcW w:type="dxa" w:w="3249"/>
          </w:tcPr>
          <w:p>
            <w:pPr>
              <w:spacing w:after="20"/>
            </w:pPr>
            <w:r/>
            <w:r>
              <w:rPr>
                <w:sz w:val="18"/>
              </w:rPr>
              <w:t>% of activities in a 70–90% accuracy band</w:t>
            </w:r>
          </w:p>
        </w:tc>
        <w:tc>
          <w:tcPr>
            <w:tcW w:type="dxa" w:w="3249"/>
          </w:tcPr>
          <w:p>
            <w:pPr>
              <w:spacing w:after="20"/>
            </w:pPr>
            <w:r/>
            <w:r>
              <w:rPr>
                <w:sz w:val="18"/>
              </w:rPr>
              <w:t>not measured: the simulated child does not model difficulty; measure in the pilot</w:t>
            </w:r>
          </w:p>
        </w:tc>
      </w:tr>
      <w:tr>
        <w:tc>
          <w:tcPr>
            <w:tcW w:type="dxa" w:w="3249"/>
          </w:tcPr>
          <w:p>
            <w:pPr>
              <w:spacing w:after="20"/>
            </w:pPr>
            <w:r/>
            <w:r>
              <w:rPr>
                <w:sz w:val="18"/>
              </w:rPr>
              <w:t>Primary metric</w:t>
            </w:r>
          </w:p>
        </w:tc>
        <w:tc>
          <w:tcPr>
            <w:tcW w:type="dxa" w:w="3249"/>
          </w:tcPr>
          <w:p>
            <w:pPr>
              <w:spacing w:after="20"/>
            </w:pPr>
            <w:r/>
            <w:r>
              <w:rPr>
                <w:sz w:val="18"/>
              </w:rPr>
              <w:t>cumulative regret = Σ[P(correct) under the child's best arms − P(correct) under arms used]</w:t>
            </w:r>
          </w:p>
        </w:tc>
        <w:tc>
          <w:tcPr>
            <w:tcW w:type="dxa" w:w="3249"/>
          </w:tcPr>
          <w:p>
            <w:pPr>
              <w:spacing w:after="20"/>
            </w:pPr>
            <w:r/>
            <w:r>
              <w:rPr>
                <w:sz w:val="18"/>
              </w:rPr>
              <w:t>measured</w:t>
            </w:r>
          </w:p>
        </w:tc>
      </w:tr>
    </w:tbl>
    <w:p>
      <w:pPr>
        <w:spacing w:after="40"/>
      </w:pPr>
    </w:p>
    <w:p>
      <w:r>
        <w:t>Statistics: paired t-test and Wilcoxon signed-rank for continuous metrics, exact McNemar for yes/no, Holm–Bonferroni correction within each metric's family, Cohen's d_z for effect size.</w:t>
      </w:r>
    </w:p>
    <w:p>
      <w:pPr>
        <w:pStyle w:val="Heading3"/>
      </w:pPr>
      <w:r>
        <w:t>6.3 IV-F (main) Comparative results, 80 children × 40 activities</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E4E9F2"/>
          </w:tcPr>
          <w:p>
            <w:pPr>
              <w:spacing w:after="20"/>
            </w:pPr>
            <w:r>
              <w:rPr>
                <w:b/>
              </w:rPr>
            </w:r>
            <w:r>
              <w:rPr>
                <w:b/>
                <w:sz w:val="18"/>
              </w:rPr>
              <w:t>System</w:t>
            </w:r>
          </w:p>
        </w:tc>
        <w:tc>
          <w:tcPr>
            <w:tcW w:type="dxa" w:w="1218"/>
            <w:shd w:val="clear" w:color="auto" w:fill="E4E9F2"/>
          </w:tcPr>
          <w:p>
            <w:pPr>
              <w:spacing w:after="20"/>
            </w:pPr>
            <w:r>
              <w:rPr>
                <w:b/>
              </w:rPr>
            </w:r>
            <w:r>
              <w:rPr>
                <w:b/>
                <w:sz w:val="18"/>
              </w:rPr>
              <w:t>Regret ↓</w:t>
            </w:r>
          </w:p>
        </w:tc>
        <w:tc>
          <w:tcPr>
            <w:tcW w:type="dxa" w:w="1218"/>
            <w:shd w:val="clear" w:color="auto" w:fill="E4E9F2"/>
          </w:tcPr>
          <w:p>
            <w:pPr>
              <w:spacing w:after="20"/>
            </w:pPr>
            <w:r>
              <w:rPr>
                <w:b/>
              </w:rPr>
            </w:r>
            <w:r>
              <w:rPr>
                <w:b/>
                <w:sz w:val="18"/>
              </w:rPr>
              <w:t>7-day retention % ↑</w:t>
            </w:r>
          </w:p>
        </w:tc>
        <w:tc>
          <w:tcPr>
            <w:tcW w:type="dxa" w:w="1218"/>
            <w:shd w:val="clear" w:color="auto" w:fill="E4E9F2"/>
          </w:tcPr>
          <w:p>
            <w:pPr>
              <w:spacing w:after="20"/>
            </w:pPr>
            <w:r>
              <w:rPr>
                <w:b/>
              </w:rPr>
            </w:r>
            <w:r>
              <w:rPr>
                <w:b/>
                <w:sz w:val="18"/>
              </w:rPr>
              <w:t>Distress events ↓</w:t>
            </w:r>
          </w:p>
        </w:tc>
        <w:tc>
          <w:tcPr>
            <w:tcW w:type="dxa" w:w="1218"/>
            <w:shd w:val="clear" w:color="auto" w:fill="E4E9F2"/>
          </w:tcPr>
          <w:p>
            <w:pPr>
              <w:spacing w:after="20"/>
            </w:pPr>
            <w:r>
              <w:rPr>
                <w:b/>
              </w:rPr>
            </w:r>
            <w:r>
              <w:rPr>
                <w:b/>
                <w:sz w:val="18"/>
              </w:rPr>
              <w:t>Accuracy % ↑</w:t>
            </w:r>
          </w:p>
        </w:tc>
        <w:tc>
          <w:tcPr>
            <w:tcW w:type="dxa" w:w="1218"/>
            <w:shd w:val="clear" w:color="auto" w:fill="E4E9F2"/>
          </w:tcPr>
          <w:p>
            <w:pPr>
              <w:spacing w:after="20"/>
            </w:pPr>
            <w:r>
              <w:rPr>
                <w:b/>
              </w:rPr>
            </w:r>
            <w:r>
              <w:rPr>
                <w:b/>
                <w:sz w:val="18"/>
              </w:rPr>
              <w:t>Learning gain (pp) ↑</w:t>
            </w:r>
          </w:p>
        </w:tc>
        <w:tc>
          <w:tcPr>
            <w:tcW w:type="dxa" w:w="1218"/>
            <w:shd w:val="clear" w:color="auto" w:fill="E4E9F2"/>
          </w:tcPr>
          <w:p>
            <w:pPr>
              <w:spacing w:after="20"/>
            </w:pPr>
            <w:r>
              <w:rPr>
                <w:b/>
              </w:rPr>
            </w:r>
            <w:r>
              <w:rPr>
                <w:b/>
                <w:sz w:val="18"/>
              </w:rPr>
              <w:t>Completion % ↑</w:t>
            </w:r>
          </w:p>
        </w:tc>
        <w:tc>
          <w:tcPr>
            <w:tcW w:type="dxa" w:w="1218"/>
            <w:shd w:val="clear" w:color="auto" w:fill="E4E9F2"/>
          </w:tcPr>
          <w:p>
            <w:pPr>
              <w:spacing w:after="20"/>
            </w:pPr>
            <w:r>
              <w:rPr>
                <w:b/>
              </w:rPr>
            </w:r>
            <w:r>
              <w:rPr>
                <w:b/>
                <w:sz w:val="18"/>
              </w:rPr>
              <w:t>Reached 80% mastery % ↑</w:t>
            </w:r>
          </w:p>
        </w:tc>
      </w:tr>
      <w:tr>
        <w:tc>
          <w:tcPr>
            <w:tcW w:type="dxa" w:w="1218"/>
          </w:tcPr>
          <w:p>
            <w:pPr>
              <w:spacing w:after="20"/>
            </w:pPr>
            <w:r/>
            <w:r>
              <w:rPr>
                <w:sz w:val="18"/>
              </w:rPr>
              <w:t>Static</w:t>
            </w:r>
          </w:p>
        </w:tc>
        <w:tc>
          <w:tcPr>
            <w:tcW w:type="dxa" w:w="1218"/>
          </w:tcPr>
          <w:p>
            <w:pPr>
              <w:spacing w:after="20"/>
            </w:pPr>
            <w:r/>
            <w:r>
              <w:rPr>
                <w:sz w:val="18"/>
              </w:rPr>
              <w:t>25.09</w:t>
            </w:r>
          </w:p>
        </w:tc>
        <w:tc>
          <w:tcPr>
            <w:tcW w:type="dxa" w:w="1218"/>
          </w:tcPr>
          <w:p>
            <w:pPr>
              <w:spacing w:after="20"/>
            </w:pPr>
            <w:r/>
            <w:r>
              <w:rPr>
                <w:sz w:val="18"/>
              </w:rPr>
              <w:t>71.8</w:t>
            </w:r>
          </w:p>
        </w:tc>
        <w:tc>
          <w:tcPr>
            <w:tcW w:type="dxa" w:w="1218"/>
          </w:tcPr>
          <w:p>
            <w:pPr>
              <w:spacing w:after="20"/>
            </w:pPr>
            <w:r/>
            <w:r>
              <w:rPr>
                <w:sz w:val="18"/>
              </w:rPr>
              <w:t>3.21</w:t>
            </w:r>
          </w:p>
        </w:tc>
        <w:tc>
          <w:tcPr>
            <w:tcW w:type="dxa" w:w="1218"/>
          </w:tcPr>
          <w:p>
            <w:pPr>
              <w:spacing w:after="20"/>
            </w:pPr>
            <w:r/>
            <w:r>
              <w:rPr>
                <w:sz w:val="18"/>
              </w:rPr>
              <w:t>78.5</w:t>
            </w:r>
          </w:p>
        </w:tc>
        <w:tc>
          <w:tcPr>
            <w:tcW w:type="dxa" w:w="1218"/>
          </w:tcPr>
          <w:p>
            <w:pPr>
              <w:spacing w:after="20"/>
            </w:pPr>
            <w:r/>
            <w:r>
              <w:rPr>
                <w:sz w:val="18"/>
              </w:rPr>
              <w:t>−0.1</w:t>
            </w:r>
          </w:p>
        </w:tc>
        <w:tc>
          <w:tcPr>
            <w:tcW w:type="dxa" w:w="1218"/>
          </w:tcPr>
          <w:p>
            <w:pPr>
              <w:spacing w:after="20"/>
            </w:pPr>
            <w:r/>
            <w:r>
              <w:rPr>
                <w:sz w:val="18"/>
              </w:rPr>
              <w:t>85.5</w:t>
            </w:r>
          </w:p>
        </w:tc>
        <w:tc>
          <w:tcPr>
            <w:tcW w:type="dxa" w:w="1218"/>
          </w:tcPr>
          <w:p>
            <w:pPr>
              <w:spacing w:after="20"/>
            </w:pPr>
            <w:r/>
            <w:r>
              <w:rPr>
                <w:sz w:val="18"/>
              </w:rPr>
              <w:t>62</w:t>
            </w:r>
          </w:p>
        </w:tc>
      </w:tr>
      <w:tr>
        <w:tc>
          <w:tcPr>
            <w:tcW w:type="dxa" w:w="1218"/>
          </w:tcPr>
          <w:p>
            <w:pPr>
              <w:spacing w:after="20"/>
            </w:pPr>
            <w:r/>
            <w:r>
              <w:rPr>
                <w:sz w:val="18"/>
              </w:rPr>
              <w:t>Correlational</w:t>
            </w:r>
          </w:p>
        </w:tc>
        <w:tc>
          <w:tcPr>
            <w:tcW w:type="dxa" w:w="1218"/>
          </w:tcPr>
          <w:p>
            <w:pPr>
              <w:spacing w:after="20"/>
            </w:pPr>
            <w:r/>
            <w:r>
              <w:rPr>
                <w:sz w:val="18"/>
              </w:rPr>
              <w:t>21.25</w:t>
            </w:r>
          </w:p>
        </w:tc>
        <w:tc>
          <w:tcPr>
            <w:tcW w:type="dxa" w:w="1218"/>
          </w:tcPr>
          <w:p>
            <w:pPr>
              <w:spacing w:after="20"/>
            </w:pPr>
            <w:r/>
            <w:r>
              <w:rPr>
                <w:sz w:val="18"/>
              </w:rPr>
              <w:t>75.8</w:t>
            </w:r>
          </w:p>
        </w:tc>
        <w:tc>
          <w:tcPr>
            <w:tcW w:type="dxa" w:w="1218"/>
          </w:tcPr>
          <w:p>
            <w:pPr>
              <w:spacing w:after="20"/>
            </w:pPr>
            <w:r/>
            <w:r>
              <w:rPr>
                <w:sz w:val="18"/>
              </w:rPr>
              <w:t>2.62</w:t>
            </w:r>
          </w:p>
        </w:tc>
        <w:tc>
          <w:tcPr>
            <w:tcW w:type="dxa" w:w="1218"/>
          </w:tcPr>
          <w:p>
            <w:pPr>
              <w:spacing w:after="20"/>
            </w:pPr>
            <w:r/>
            <w:r>
              <w:rPr>
                <w:sz w:val="18"/>
              </w:rPr>
              <w:t>80.5</w:t>
            </w:r>
          </w:p>
        </w:tc>
        <w:tc>
          <w:tcPr>
            <w:tcW w:type="dxa" w:w="1218"/>
          </w:tcPr>
          <w:p>
            <w:pPr>
              <w:spacing w:after="20"/>
            </w:pPr>
            <w:r/>
            <w:r>
              <w:rPr>
                <w:sz w:val="18"/>
              </w:rPr>
              <w:t>+1.8</w:t>
            </w:r>
          </w:p>
        </w:tc>
        <w:tc>
          <w:tcPr>
            <w:tcW w:type="dxa" w:w="1218"/>
          </w:tcPr>
          <w:p>
            <w:pPr>
              <w:spacing w:after="20"/>
            </w:pPr>
            <w:r/>
            <w:r>
              <w:rPr>
                <w:sz w:val="18"/>
              </w:rPr>
              <w:t>88.2</w:t>
            </w:r>
          </w:p>
        </w:tc>
        <w:tc>
          <w:tcPr>
            <w:tcW w:type="dxa" w:w="1218"/>
          </w:tcPr>
          <w:p>
            <w:pPr>
              <w:spacing w:after="20"/>
            </w:pPr>
            <w:r/>
            <w:r>
              <w:rPr>
                <w:sz w:val="18"/>
              </w:rPr>
              <w:t>71</w:t>
            </w:r>
          </w:p>
        </w:tc>
      </w:tr>
      <w:tr>
        <w:tc>
          <w:tcPr>
            <w:tcW w:type="dxa" w:w="1218"/>
          </w:tcPr>
          <w:p>
            <w:pPr>
              <w:spacing w:after="20"/>
            </w:pPr>
            <w:r/>
            <w:r>
              <w:rPr>
                <w:sz w:val="18"/>
              </w:rPr>
              <w:t>Population-level</w:t>
            </w:r>
          </w:p>
        </w:tc>
        <w:tc>
          <w:tcPr>
            <w:tcW w:type="dxa" w:w="1218"/>
          </w:tcPr>
          <w:p>
            <w:pPr>
              <w:spacing w:after="20"/>
            </w:pPr>
            <w:r/>
            <w:r>
              <w:rPr>
                <w:sz w:val="18"/>
              </w:rPr>
              <w:t>20.54</w:t>
            </w:r>
          </w:p>
        </w:tc>
        <w:tc>
          <w:tcPr>
            <w:tcW w:type="dxa" w:w="1218"/>
          </w:tcPr>
          <w:p>
            <w:pPr>
              <w:spacing w:after="20"/>
            </w:pPr>
            <w:r/>
            <w:r>
              <w:rPr>
                <w:sz w:val="18"/>
              </w:rPr>
              <w:t>79.7</w:t>
            </w:r>
          </w:p>
        </w:tc>
        <w:tc>
          <w:tcPr>
            <w:tcW w:type="dxa" w:w="1218"/>
          </w:tcPr>
          <w:p>
            <w:pPr>
              <w:spacing w:after="20"/>
            </w:pPr>
            <w:r/>
            <w:r>
              <w:rPr>
                <w:sz w:val="18"/>
              </w:rPr>
              <w:t>2.65</w:t>
            </w:r>
          </w:p>
        </w:tc>
        <w:tc>
          <w:tcPr>
            <w:tcW w:type="dxa" w:w="1218"/>
          </w:tcPr>
          <w:p>
            <w:pPr>
              <w:spacing w:after="20"/>
            </w:pPr>
            <w:r/>
            <w:r>
              <w:rPr>
                <w:sz w:val="18"/>
              </w:rPr>
              <w:t>81.0</w:t>
            </w:r>
          </w:p>
        </w:tc>
        <w:tc>
          <w:tcPr>
            <w:tcW w:type="dxa" w:w="1218"/>
          </w:tcPr>
          <w:p>
            <w:pPr>
              <w:spacing w:after="20"/>
            </w:pPr>
            <w:r/>
            <w:r>
              <w:rPr>
                <w:sz w:val="18"/>
              </w:rPr>
              <w:t>+2.2</w:t>
            </w:r>
          </w:p>
        </w:tc>
        <w:tc>
          <w:tcPr>
            <w:tcW w:type="dxa" w:w="1218"/>
          </w:tcPr>
          <w:p>
            <w:pPr>
              <w:spacing w:after="20"/>
            </w:pPr>
            <w:r/>
            <w:r>
              <w:rPr>
                <w:sz w:val="18"/>
              </w:rPr>
              <w:t>88.1</w:t>
            </w:r>
          </w:p>
        </w:tc>
        <w:tc>
          <w:tcPr>
            <w:tcW w:type="dxa" w:w="1218"/>
          </w:tcPr>
          <w:p>
            <w:pPr>
              <w:spacing w:after="20"/>
            </w:pPr>
            <w:r/>
            <w:r>
              <w:rPr>
                <w:sz w:val="18"/>
              </w:rPr>
              <w:t>70</w:t>
            </w:r>
          </w:p>
        </w:tc>
      </w:tr>
      <w:tr>
        <w:tc>
          <w:tcPr>
            <w:tcW w:type="dxa" w:w="1218"/>
          </w:tcPr>
          <w:p>
            <w:pPr>
              <w:spacing w:after="20"/>
            </w:pPr>
            <w:r/>
            <w:r>
              <w:rPr>
                <w:sz w:val="18"/>
              </w:rPr>
              <w:t>Expert/manual</w:t>
            </w:r>
          </w:p>
        </w:tc>
        <w:tc>
          <w:tcPr>
            <w:tcW w:type="dxa" w:w="1218"/>
          </w:tcPr>
          <w:p>
            <w:pPr>
              <w:spacing w:after="20"/>
            </w:pPr>
            <w:r/>
            <w:r>
              <w:rPr>
                <w:sz w:val="18"/>
              </w:rPr>
              <w:t>15.40</w:t>
            </w:r>
          </w:p>
        </w:tc>
        <w:tc>
          <w:tcPr>
            <w:tcW w:type="dxa" w:w="1218"/>
          </w:tcPr>
          <w:p>
            <w:pPr>
              <w:spacing w:after="20"/>
            </w:pPr>
            <w:r/>
            <w:r>
              <w:rPr>
                <w:sz w:val="18"/>
              </w:rPr>
              <w:t>80.6</w:t>
            </w:r>
          </w:p>
        </w:tc>
        <w:tc>
          <w:tcPr>
            <w:tcW w:type="dxa" w:w="1218"/>
          </w:tcPr>
          <w:p>
            <w:pPr>
              <w:spacing w:after="20"/>
            </w:pPr>
            <w:r/>
            <w:r>
              <w:rPr>
                <w:sz w:val="18"/>
              </w:rPr>
              <w:t>1.91</w:t>
            </w:r>
          </w:p>
        </w:tc>
        <w:tc>
          <w:tcPr>
            <w:tcW w:type="dxa" w:w="1218"/>
          </w:tcPr>
          <w:p>
            <w:pPr>
              <w:spacing w:after="20"/>
            </w:pPr>
            <w:r/>
            <w:r>
              <w:rPr>
                <w:sz w:val="18"/>
              </w:rPr>
              <w:t>85.3</w:t>
            </w:r>
          </w:p>
        </w:tc>
        <w:tc>
          <w:tcPr>
            <w:tcW w:type="dxa" w:w="1218"/>
          </w:tcPr>
          <w:p>
            <w:pPr>
              <w:spacing w:after="20"/>
            </w:pPr>
            <w:r/>
            <w:r>
              <w:rPr>
                <w:sz w:val="18"/>
              </w:rPr>
              <w:t>+2.0</w:t>
            </w:r>
          </w:p>
        </w:tc>
        <w:tc>
          <w:tcPr>
            <w:tcW w:type="dxa" w:w="1218"/>
          </w:tcPr>
          <w:p>
            <w:pPr>
              <w:spacing w:after="20"/>
            </w:pPr>
            <w:r/>
            <w:r>
              <w:rPr>
                <w:sz w:val="18"/>
              </w:rPr>
              <w:t>91.8</w:t>
            </w:r>
          </w:p>
        </w:tc>
        <w:tc>
          <w:tcPr>
            <w:tcW w:type="dxa" w:w="1218"/>
          </w:tcPr>
          <w:p>
            <w:pPr>
              <w:spacing w:after="20"/>
            </w:pPr>
            <w:r/>
            <w:r>
              <w:rPr>
                <w:sz w:val="18"/>
              </w:rPr>
              <w:t>84</w:t>
            </w:r>
          </w:p>
        </w:tc>
      </w:tr>
      <w:tr>
        <w:tc>
          <w:tcPr>
            <w:tcW w:type="dxa" w:w="1218"/>
          </w:tcPr>
          <w:p>
            <w:pPr>
              <w:spacing w:after="20"/>
            </w:pPr>
            <w:r/>
            <w:r>
              <w:rPr>
                <w:sz w:val="18"/>
              </w:rPr>
              <w:t>Heuristic adaptive</w:t>
            </w:r>
          </w:p>
        </w:tc>
        <w:tc>
          <w:tcPr>
            <w:tcW w:type="dxa" w:w="1218"/>
          </w:tcPr>
          <w:p>
            <w:pPr>
              <w:spacing w:after="20"/>
            </w:pPr>
            <w:r/>
            <w:r>
              <w:rPr>
                <w:sz w:val="18"/>
              </w:rPr>
              <w:t>11.70</w:t>
            </w:r>
          </w:p>
        </w:tc>
        <w:tc>
          <w:tcPr>
            <w:tcW w:type="dxa" w:w="1218"/>
          </w:tcPr>
          <w:p>
            <w:pPr>
              <w:spacing w:after="20"/>
            </w:pPr>
            <w:r/>
            <w:r>
              <w:rPr>
                <w:sz w:val="18"/>
              </w:rPr>
              <w:t>88.5</w:t>
            </w:r>
          </w:p>
        </w:tc>
        <w:tc>
          <w:tcPr>
            <w:tcW w:type="dxa" w:w="1218"/>
          </w:tcPr>
          <w:p>
            <w:pPr>
              <w:spacing w:after="20"/>
            </w:pPr>
            <w:r/>
            <w:r>
              <w:rPr>
                <w:sz w:val="18"/>
              </w:rPr>
              <w:t>0.88</w:t>
            </w:r>
          </w:p>
        </w:tc>
        <w:tc>
          <w:tcPr>
            <w:tcW w:type="dxa" w:w="1218"/>
          </w:tcPr>
          <w:p>
            <w:pPr>
              <w:spacing w:after="20"/>
            </w:pPr>
            <w:r/>
            <w:r>
              <w:rPr>
                <w:sz w:val="18"/>
              </w:rPr>
              <w:t>88.9</w:t>
            </w:r>
          </w:p>
        </w:tc>
        <w:tc>
          <w:tcPr>
            <w:tcW w:type="dxa" w:w="1218"/>
          </w:tcPr>
          <w:p>
            <w:pPr>
              <w:spacing w:after="20"/>
            </w:pPr>
            <w:r/>
            <w:r>
              <w:rPr>
                <w:sz w:val="18"/>
              </w:rPr>
              <w:t>+6.3</w:t>
            </w:r>
          </w:p>
        </w:tc>
        <w:tc>
          <w:tcPr>
            <w:tcW w:type="dxa" w:w="1218"/>
          </w:tcPr>
          <w:p>
            <w:pPr>
              <w:spacing w:after="20"/>
            </w:pPr>
            <w:r/>
            <w:r>
              <w:rPr>
                <w:sz w:val="18"/>
              </w:rPr>
              <w:t>94.8</w:t>
            </w:r>
          </w:p>
        </w:tc>
        <w:tc>
          <w:tcPr>
            <w:tcW w:type="dxa" w:w="1218"/>
          </w:tcPr>
          <w:p>
            <w:pPr>
              <w:spacing w:after="20"/>
            </w:pPr>
            <w:r/>
            <w:r>
              <w:rPr>
                <w:sz w:val="18"/>
              </w:rPr>
              <w:t>88</w:t>
            </w:r>
          </w:p>
        </w:tc>
      </w:tr>
      <w:tr>
        <w:tc>
          <w:tcPr>
            <w:tcW w:type="dxa" w:w="1218"/>
          </w:tcPr>
          <w:p>
            <w:pPr>
              <w:spacing w:after="20"/>
            </w:pPr>
            <w:r/>
            <w:r>
              <w:rPr>
                <w:b/>
                <w:sz w:val="18"/>
              </w:rPr>
              <w:t>AURA</w:t>
            </w:r>
          </w:p>
        </w:tc>
        <w:tc>
          <w:tcPr>
            <w:tcW w:type="dxa" w:w="1218"/>
          </w:tcPr>
          <w:p>
            <w:pPr>
              <w:spacing w:after="20"/>
            </w:pPr>
            <w:r/>
            <w:r>
              <w:rPr>
                <w:b/>
                <w:sz w:val="18"/>
              </w:rPr>
              <w:t>7.13 ± 8.28</w:t>
            </w:r>
          </w:p>
        </w:tc>
        <w:tc>
          <w:tcPr>
            <w:tcW w:type="dxa" w:w="1218"/>
          </w:tcPr>
          <w:p>
            <w:pPr>
              <w:spacing w:after="20"/>
            </w:pPr>
            <w:r/>
            <w:r>
              <w:rPr>
                <w:sz w:val="18"/>
              </w:rPr>
              <w:t>87.0</w:t>
            </w:r>
          </w:p>
        </w:tc>
        <w:tc>
          <w:tcPr>
            <w:tcW w:type="dxa" w:w="1218"/>
          </w:tcPr>
          <w:p>
            <w:pPr>
              <w:spacing w:after="20"/>
            </w:pPr>
            <w:r/>
            <w:r>
              <w:rPr>
                <w:b/>
                <w:sz w:val="18"/>
              </w:rPr>
              <w:t>0.51</w:t>
            </w:r>
          </w:p>
        </w:tc>
        <w:tc>
          <w:tcPr>
            <w:tcW w:type="dxa" w:w="1218"/>
          </w:tcPr>
          <w:p>
            <w:pPr>
              <w:spacing w:after="20"/>
            </w:pPr>
            <w:r/>
            <w:r>
              <w:rPr>
                <w:b/>
                <w:sz w:val="18"/>
              </w:rPr>
              <w:t>92.0</w:t>
            </w:r>
          </w:p>
        </w:tc>
        <w:tc>
          <w:tcPr>
            <w:tcW w:type="dxa" w:w="1218"/>
          </w:tcPr>
          <w:p>
            <w:pPr>
              <w:spacing w:after="20"/>
            </w:pPr>
            <w:r/>
            <w:r>
              <w:rPr>
                <w:b/>
                <w:sz w:val="18"/>
              </w:rPr>
              <w:t>+7.9</w:t>
            </w:r>
          </w:p>
        </w:tc>
        <w:tc>
          <w:tcPr>
            <w:tcW w:type="dxa" w:w="1218"/>
          </w:tcPr>
          <w:p>
            <w:pPr>
              <w:spacing w:after="20"/>
            </w:pPr>
            <w:r/>
            <w:r>
              <w:rPr>
                <w:b/>
                <w:sz w:val="18"/>
              </w:rPr>
              <w:t>98.0</w:t>
            </w:r>
          </w:p>
        </w:tc>
        <w:tc>
          <w:tcPr>
            <w:tcW w:type="dxa" w:w="1218"/>
          </w:tcPr>
          <w:p>
            <w:pPr>
              <w:spacing w:after="20"/>
            </w:pPr>
            <w:r/>
            <w:r>
              <w:rPr>
                <w:b/>
                <w:sz w:val="18"/>
              </w:rPr>
              <w:t>94</w:t>
            </w:r>
          </w:p>
        </w:tc>
      </w:tr>
    </w:tbl>
    <w:p>
      <w:pPr>
        <w:spacing w:after="40"/>
      </w:pPr>
    </w:p>
    <w:p>
      <w:r>
        <w:t>Significance (paired, Holm-adjusted):</w:t>
      </w:r>
    </w:p>
    <w:p>
      <w:pPr>
        <w:pStyle w:val="ListBullet"/>
      </w:pPr>
      <w:r>
        <w:rPr>
          <w:b/>
        </w:rPr>
        <w:t>Regret:</w:t>
      </w:r>
      <w:r>
        <w:t xml:space="preserve"> AURA is significantly better than all five baselines (d_z −0.72 vs static, −0.64 correlational, −0.56 population, −0.48 expert, −0.37 heuristic; all Holm p ≤ 0.0014).</w:t>
      </w:r>
    </w:p>
    <w:p>
      <w:pPr>
        <w:pStyle w:val="ListBullet"/>
      </w:pPr>
      <w:r>
        <w:rPr>
          <w:b/>
        </w:rPr>
        <w:t>Accuracy and completion:</w:t>
      </w:r>
      <w:r>
        <w:t xml:space="preserve"> significantly better than all five.</w:t>
      </w:r>
    </w:p>
    <w:p>
      <w:pPr>
        <w:pStyle w:val="ListBullet"/>
      </w:pPr>
      <w:r>
        <w:rPr>
          <w:b/>
        </w:rPr>
        <w:t>Distress events, learning gain, reaching mastery:</w:t>
      </w:r>
      <w:r>
        <w:t xml:space="preserve"> significantly better than four of five; not significantly different from the heuristic baseline (p = 0.088, 0.34, 0.125).</w:t>
      </w:r>
    </w:p>
    <w:p>
      <w:pPr>
        <w:pStyle w:val="ListBullet"/>
      </w:pPr>
      <w:r>
        <w:rPr>
          <w:b/>
        </w:rPr>
        <w:t>7-day retention:</w:t>
      </w:r>
      <w:r>
        <w:t xml:space="preserve"> significantly higher than static (+15.3 pp) and correlational (+11.2 pp) only. Not significant against population-level (p = 0.086) or expert (p = 0.076), and AURA is 1.5 pp </w:t>
      </w:r>
      <w:r>
        <w:rPr>
          <w:i/>
        </w:rPr>
        <w:t>below</w:t>
      </w:r>
      <w:r>
        <w:t xml:space="preserve"> the heuristic baseline (p = 0.54). We therefore do not claim a retention advantage over the stronger baselines.</w:t>
      </w:r>
    </w:p>
    <w:p>
      <w:pPr>
        <w:pStyle w:val="ListBullet"/>
      </w:pPr>
      <w:r>
        <w:rPr>
          <w:b/>
        </w:rPr>
        <w:t>Reaching and keeping the child's true best decision:</w:t>
      </w:r>
      <w:r>
        <w:t xml:space="preserve"> AURA 24% vs 1% (static) and 6% (each other baseline), significantly better than all five.</w:t>
      </w:r>
    </w:p>
    <w:p>
      <w:r>
        <w:rPr>
          <w:i/>
        </w:rPr>
        <w:t>Note on an earlier draft.</w:t>
      </w:r>
      <w:r>
        <w:t xml:space="preserve"> These figures supersede a first run made before a sampling fix in the engine (the population prior had been counted twice). The fix lowered regret (8.30 → 7.13) and raised personalization accuracy (below), but lowered 7-day retention (91.1% → 87.0%), which is why the retention claim above is narrower than in the draft.</w:t>
      </w:r>
    </w:p>
    <w:p>
      <w:pPr>
        <w:pStyle w:val="Heading3"/>
      </w:pPr>
      <w:r>
        <w:t>6.4 IV-C Adaptive learning analysis</w:t>
      </w:r>
    </w:p>
    <w:p>
      <w:pPr>
        <w:pStyle w:val="ListBullet"/>
      </w:pPr>
      <w:r>
        <w:t>Across 80 children, accuracy rose from 86.7% (first 10 activities) to 94.6% (last 10) under AURA (learning gain +7.9 pp, against −0.1 pp for the static system) and final mastery reached 0.91 (static 0.78).</w:t>
      </w:r>
    </w:p>
    <w:p>
      <w:pPr>
        <w:pStyle w:val="ListBullet"/>
      </w:pPr>
      <w:r>
        <w:rPr>
          <w:b/>
        </w:rPr>
        <w:t>Explore, then commit.</w:t>
      </w:r>
      <w:r>
        <w:t xml:space="preserve"> Share of decisions made on a confirmed per-child winner, by block of five activities: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4E9F2"/>
          </w:tcPr>
          <w:p>
            <w:pPr>
              <w:spacing w:after="20"/>
            </w:pPr>
            <w:r>
              <w:rPr>
                <w:b/>
              </w:rPr>
            </w:r>
            <w:r>
              <w:rPr>
                <w:b/>
                <w:sz w:val="18"/>
              </w:rPr>
              <w:t>Activities</w:t>
            </w:r>
          </w:p>
        </w:tc>
        <w:tc>
          <w:tcPr>
            <w:tcW w:type="dxa" w:w="2436"/>
            <w:shd w:val="clear" w:color="auto" w:fill="E4E9F2"/>
          </w:tcPr>
          <w:p>
            <w:pPr>
              <w:spacing w:after="20"/>
            </w:pPr>
            <w:r>
              <w:rPr>
                <w:b/>
              </w:rPr>
            </w:r>
            <w:r>
              <w:rPr>
                <w:b/>
                <w:sz w:val="18"/>
              </w:rPr>
              <w:t>Teaching method</w:t>
            </w:r>
          </w:p>
        </w:tc>
        <w:tc>
          <w:tcPr>
            <w:tcW w:type="dxa" w:w="2436"/>
            <w:shd w:val="clear" w:color="auto" w:fill="E4E9F2"/>
          </w:tcPr>
          <w:p>
            <w:pPr>
              <w:spacing w:after="20"/>
            </w:pPr>
            <w:r>
              <w:rPr>
                <w:b/>
              </w:rPr>
            </w:r>
            <w:r>
              <w:rPr>
                <w:b/>
                <w:sz w:val="18"/>
              </w:rPr>
              <w:t>Response mode</w:t>
            </w:r>
          </w:p>
        </w:tc>
        <w:tc>
          <w:tcPr>
            <w:tcW w:type="dxa" w:w="2436"/>
            <w:shd w:val="clear" w:color="auto" w:fill="E4E9F2"/>
          </w:tcPr>
          <w:p>
            <w:pPr>
              <w:spacing w:after="20"/>
            </w:pPr>
            <w:r>
              <w:rPr>
                <w:b/>
              </w:rPr>
            </w:r>
            <w:r>
              <w:rPr>
                <w:b/>
                <w:sz w:val="18"/>
              </w:rPr>
              <w:t>Theme</w:t>
            </w:r>
          </w:p>
        </w:tc>
      </w:tr>
      <w:tr>
        <w:tc>
          <w:tcPr>
            <w:tcW w:type="dxa" w:w="2436"/>
          </w:tcPr>
          <w:p>
            <w:pPr>
              <w:spacing w:after="20"/>
            </w:pPr>
            <w:r/>
            <w:r>
              <w:rPr>
                <w:sz w:val="18"/>
              </w:rPr>
              <w:t>1–5</w:t>
            </w:r>
          </w:p>
        </w:tc>
        <w:tc>
          <w:tcPr>
            <w:tcW w:type="dxa" w:w="2436"/>
          </w:tcPr>
          <w:p>
            <w:pPr>
              <w:spacing w:after="20"/>
            </w:pPr>
            <w:r/>
            <w:r>
              <w:rPr>
                <w:sz w:val="18"/>
              </w:rPr>
              <w:t>1.3%</w:t>
            </w:r>
          </w:p>
        </w:tc>
        <w:tc>
          <w:tcPr>
            <w:tcW w:type="dxa" w:w="2436"/>
          </w:tcPr>
          <w:p>
            <w:pPr>
              <w:spacing w:after="20"/>
            </w:pPr>
            <w:r/>
            <w:r>
              <w:rPr>
                <w:sz w:val="18"/>
              </w:rPr>
              <w:t>1.0%</w:t>
            </w:r>
          </w:p>
        </w:tc>
        <w:tc>
          <w:tcPr>
            <w:tcW w:type="dxa" w:w="2436"/>
          </w:tcPr>
          <w:p>
            <w:pPr>
              <w:spacing w:after="20"/>
            </w:pPr>
            <w:r/>
            <w:r>
              <w:rPr>
                <w:sz w:val="18"/>
              </w:rPr>
              <w:t>0.0%</w:t>
            </w:r>
          </w:p>
        </w:tc>
      </w:tr>
      <w:tr>
        <w:tc>
          <w:tcPr>
            <w:tcW w:type="dxa" w:w="2436"/>
          </w:tcPr>
          <w:p>
            <w:pPr>
              <w:spacing w:after="20"/>
            </w:pPr>
            <w:r/>
            <w:r>
              <w:rPr>
                <w:sz w:val="18"/>
              </w:rPr>
              <w:t>11–15</w:t>
            </w:r>
          </w:p>
        </w:tc>
        <w:tc>
          <w:tcPr>
            <w:tcW w:type="dxa" w:w="2436"/>
          </w:tcPr>
          <w:p>
            <w:pPr>
              <w:spacing w:after="20"/>
            </w:pPr>
            <w:r/>
            <w:r>
              <w:rPr>
                <w:sz w:val="18"/>
              </w:rPr>
              <w:t>14.9%</w:t>
            </w:r>
          </w:p>
        </w:tc>
        <w:tc>
          <w:tcPr>
            <w:tcW w:type="dxa" w:w="2436"/>
          </w:tcPr>
          <w:p>
            <w:pPr>
              <w:spacing w:after="20"/>
            </w:pPr>
            <w:r/>
            <w:r>
              <w:rPr>
                <w:sz w:val="18"/>
              </w:rPr>
              <w:t>12.1%</w:t>
            </w:r>
          </w:p>
        </w:tc>
        <w:tc>
          <w:tcPr>
            <w:tcW w:type="dxa" w:w="2436"/>
          </w:tcPr>
          <w:p>
            <w:pPr>
              <w:spacing w:after="20"/>
            </w:pPr>
            <w:r/>
            <w:r>
              <w:rPr>
                <w:sz w:val="18"/>
              </w:rPr>
              <w:t>1.5%</w:t>
            </w:r>
          </w:p>
        </w:tc>
      </w:tr>
      <w:tr>
        <w:tc>
          <w:tcPr>
            <w:tcW w:type="dxa" w:w="2436"/>
          </w:tcPr>
          <w:p>
            <w:pPr>
              <w:spacing w:after="20"/>
            </w:pPr>
            <w:r/>
            <w:r>
              <w:rPr>
                <w:sz w:val="18"/>
              </w:rPr>
              <w:t>21–25</w:t>
            </w:r>
          </w:p>
        </w:tc>
        <w:tc>
          <w:tcPr>
            <w:tcW w:type="dxa" w:w="2436"/>
          </w:tcPr>
          <w:p>
            <w:pPr>
              <w:spacing w:after="20"/>
            </w:pPr>
            <w:r/>
            <w:r>
              <w:rPr>
                <w:sz w:val="18"/>
              </w:rPr>
              <w:t>30.2%</w:t>
            </w:r>
          </w:p>
        </w:tc>
        <w:tc>
          <w:tcPr>
            <w:tcW w:type="dxa" w:w="2436"/>
          </w:tcPr>
          <w:p>
            <w:pPr>
              <w:spacing w:after="20"/>
            </w:pPr>
            <w:r/>
            <w:r>
              <w:rPr>
                <w:sz w:val="18"/>
              </w:rPr>
              <w:t>28.7%</w:t>
            </w:r>
          </w:p>
        </w:tc>
        <w:tc>
          <w:tcPr>
            <w:tcW w:type="dxa" w:w="2436"/>
          </w:tcPr>
          <w:p>
            <w:pPr>
              <w:spacing w:after="20"/>
            </w:pPr>
            <w:r/>
            <w:r>
              <w:rPr>
                <w:sz w:val="18"/>
              </w:rPr>
              <w:t>6.8%</w:t>
            </w:r>
          </w:p>
        </w:tc>
      </w:tr>
      <w:tr>
        <w:tc>
          <w:tcPr>
            <w:tcW w:type="dxa" w:w="2436"/>
          </w:tcPr>
          <w:p>
            <w:pPr>
              <w:spacing w:after="20"/>
            </w:pPr>
            <w:r/>
            <w:r>
              <w:rPr>
                <w:sz w:val="18"/>
              </w:rPr>
              <w:t>36–40</w:t>
            </w:r>
          </w:p>
        </w:tc>
        <w:tc>
          <w:tcPr>
            <w:tcW w:type="dxa" w:w="2436"/>
          </w:tcPr>
          <w:p>
            <w:pPr>
              <w:spacing w:after="20"/>
            </w:pPr>
            <w:r/>
            <w:r>
              <w:rPr>
                <w:sz w:val="18"/>
              </w:rPr>
              <w:t>49.6%</w:t>
            </w:r>
          </w:p>
        </w:tc>
        <w:tc>
          <w:tcPr>
            <w:tcW w:type="dxa" w:w="2436"/>
          </w:tcPr>
          <w:p>
            <w:pPr>
              <w:spacing w:after="20"/>
            </w:pPr>
            <w:r/>
            <w:r>
              <w:rPr>
                <w:sz w:val="18"/>
              </w:rPr>
              <w:t>42.1%</w:t>
            </w:r>
          </w:p>
        </w:tc>
        <w:tc>
          <w:tcPr>
            <w:tcW w:type="dxa" w:w="2436"/>
          </w:tcPr>
          <w:p>
            <w:pPr>
              <w:spacing w:after="20"/>
            </w:pPr>
            <w:r/>
            <w:r>
              <w:rPr>
                <w:sz w:val="18"/>
              </w:rPr>
              <w:t>15.5%</w:t>
            </w:r>
          </w:p>
        </w:tc>
      </w:tr>
    </w:tbl>
    <w:p>
      <w:pPr>
        <w:spacing w:after="40"/>
      </w:pPr>
    </w:p>
    <w:p>
      <w:r>
        <w:t>The engine commits fastest where effects are largest and slowest on theme (effects 0–0.20), refusing to confirm what the data cannot support.</w:t>
      </w:r>
    </w:p>
    <w:p>
      <w:pPr>
        <w:pStyle w:val="ListBullet"/>
      </w:pPr>
      <w:r>
        <w:rPr>
          <w:b/>
        </w:rPr>
        <w:t>Difficulty.</w:t>
      </w:r>
      <w:r>
        <w:t xml:space="preserve"> The difficulty rule (§5.1) is active in these runs: lessons were served at level 1 (224), level 2 (186) and level 3 (2,761). It reaches level 3 for most lessons because the simulated child's accuracy and speed do not depend on the level. The simulator has no difficulty model, so the effect of adaptive difficulty on learning is </w:t>
      </w:r>
      <w:r>
        <w:rPr>
          <w:i/>
        </w:rPr>
        <w:t>not</w:t>
      </w:r>
      <w:r>
        <w:t xml:space="preserve"> measured here, and a fixed-versus-adaptive difficulty comparison is left to the pilot (where response time and the share of activities in a 70–90% accuracy band can be measured on real children).</w:t>
      </w:r>
    </w:p>
    <w:p>
      <w:pPr>
        <w:pStyle w:val="Heading3"/>
      </w:pPr>
      <w:r>
        <w:t>6.5 IV-D Interest and interaction personalization</w:t>
      </w:r>
    </w:p>
    <w:p>
      <w:r>
        <w:t>Share of activities using the child's true best arm, first vs last ten activities: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4E9F2"/>
          </w:tcPr>
          <w:p>
            <w:pPr>
              <w:spacing w:after="20"/>
            </w:pPr>
            <w:r>
              <w:rPr>
                <w:b/>
              </w:rPr>
            </w:r>
            <w:r>
              <w:rPr>
                <w:b/>
                <w:sz w:val="18"/>
              </w:rPr>
              <w:t>Axis (arms)</w:t>
            </w:r>
          </w:p>
        </w:tc>
        <w:tc>
          <w:tcPr>
            <w:tcW w:type="dxa" w:w="1949"/>
            <w:shd w:val="clear" w:color="auto" w:fill="E4E9F2"/>
          </w:tcPr>
          <w:p>
            <w:pPr>
              <w:spacing w:after="20"/>
            </w:pPr>
            <w:r>
              <w:rPr>
                <w:b/>
              </w:rPr>
            </w:r>
            <w:r>
              <w:rPr>
                <w:b/>
                <w:sz w:val="18"/>
              </w:rPr>
              <w:t>Chance</w:t>
            </w:r>
          </w:p>
        </w:tc>
        <w:tc>
          <w:tcPr>
            <w:tcW w:type="dxa" w:w="1949"/>
            <w:shd w:val="clear" w:color="auto" w:fill="E4E9F2"/>
          </w:tcPr>
          <w:p>
            <w:pPr>
              <w:spacing w:after="20"/>
            </w:pPr>
            <w:r>
              <w:rPr>
                <w:b/>
              </w:rPr>
            </w:r>
            <w:r>
              <w:rPr>
                <w:b/>
                <w:sz w:val="18"/>
              </w:rPr>
              <w:t>First 10</w:t>
            </w:r>
          </w:p>
        </w:tc>
        <w:tc>
          <w:tcPr>
            <w:tcW w:type="dxa" w:w="1949"/>
            <w:shd w:val="clear" w:color="auto" w:fill="E4E9F2"/>
          </w:tcPr>
          <w:p>
            <w:pPr>
              <w:spacing w:after="20"/>
            </w:pPr>
            <w:r>
              <w:rPr>
                <w:b/>
              </w:rPr>
            </w:r>
            <w:r>
              <w:rPr>
                <w:b/>
                <w:sz w:val="18"/>
              </w:rPr>
              <w:t>Last 10</w:t>
            </w:r>
          </w:p>
        </w:tc>
        <w:tc>
          <w:tcPr>
            <w:tcW w:type="dxa" w:w="1949"/>
            <w:shd w:val="clear" w:color="auto" w:fill="E4E9F2"/>
          </w:tcPr>
          <w:p>
            <w:pPr>
              <w:spacing w:after="20"/>
            </w:pPr>
            <w:r>
              <w:rPr>
                <w:b/>
              </w:rPr>
            </w:r>
            <w:r>
              <w:rPr>
                <w:b/>
                <w:sz w:val="18"/>
              </w:rPr>
              <w:t>Final choice correct</w:t>
            </w:r>
          </w:p>
        </w:tc>
      </w:tr>
      <w:tr>
        <w:tc>
          <w:tcPr>
            <w:tcW w:type="dxa" w:w="1949"/>
          </w:tcPr>
          <w:p>
            <w:pPr>
              <w:spacing w:after="20"/>
            </w:pPr>
            <w:r/>
            <w:r>
              <w:rPr>
                <w:sz w:val="18"/>
              </w:rPr>
              <w:t>Teaching method (2)</w:t>
            </w:r>
          </w:p>
        </w:tc>
        <w:tc>
          <w:tcPr>
            <w:tcW w:type="dxa" w:w="1949"/>
          </w:tcPr>
          <w:p>
            <w:pPr>
              <w:spacing w:after="20"/>
            </w:pPr>
            <w:r/>
            <w:r>
              <w:rPr>
                <w:sz w:val="18"/>
              </w:rPr>
              <w:t>50%</w:t>
            </w:r>
          </w:p>
        </w:tc>
        <w:tc>
          <w:tcPr>
            <w:tcW w:type="dxa" w:w="1949"/>
          </w:tcPr>
          <w:p>
            <w:pPr>
              <w:spacing w:after="20"/>
            </w:pPr>
            <w:r/>
            <w:r>
              <w:rPr>
                <w:sz w:val="18"/>
              </w:rPr>
              <w:t>69.2%</w:t>
            </w:r>
          </w:p>
        </w:tc>
        <w:tc>
          <w:tcPr>
            <w:tcW w:type="dxa" w:w="1949"/>
          </w:tcPr>
          <w:p>
            <w:pPr>
              <w:spacing w:after="20"/>
            </w:pPr>
            <w:r/>
            <w:r>
              <w:rPr>
                <w:sz w:val="18"/>
              </w:rPr>
              <w:t>87.9%</w:t>
            </w:r>
          </w:p>
        </w:tc>
        <w:tc>
          <w:tcPr>
            <w:tcW w:type="dxa" w:w="1949"/>
          </w:tcPr>
          <w:p>
            <w:pPr>
              <w:spacing w:after="20"/>
            </w:pPr>
            <w:r/>
            <w:r>
              <w:rPr>
                <w:sz w:val="18"/>
              </w:rPr>
              <w:t>88.8% (71/80)</w:t>
            </w:r>
          </w:p>
        </w:tc>
      </w:tr>
      <w:tr>
        <w:tc>
          <w:tcPr>
            <w:tcW w:type="dxa" w:w="1949"/>
          </w:tcPr>
          <w:p>
            <w:pPr>
              <w:spacing w:after="20"/>
            </w:pPr>
            <w:r/>
            <w:r>
              <w:rPr>
                <w:sz w:val="18"/>
              </w:rPr>
              <w:t>Response mode (2)</w:t>
            </w:r>
          </w:p>
        </w:tc>
        <w:tc>
          <w:tcPr>
            <w:tcW w:type="dxa" w:w="1949"/>
          </w:tcPr>
          <w:p>
            <w:pPr>
              <w:spacing w:after="20"/>
            </w:pPr>
            <w:r/>
            <w:r>
              <w:rPr>
                <w:sz w:val="18"/>
              </w:rPr>
              <w:t>50%</w:t>
            </w:r>
          </w:p>
        </w:tc>
        <w:tc>
          <w:tcPr>
            <w:tcW w:type="dxa" w:w="1949"/>
          </w:tcPr>
          <w:p>
            <w:pPr>
              <w:spacing w:after="20"/>
            </w:pPr>
            <w:r/>
            <w:r>
              <w:rPr>
                <w:sz w:val="18"/>
              </w:rPr>
              <w:t>60.4%</w:t>
            </w:r>
          </w:p>
        </w:tc>
        <w:tc>
          <w:tcPr>
            <w:tcW w:type="dxa" w:w="1949"/>
          </w:tcPr>
          <w:p>
            <w:pPr>
              <w:spacing w:after="20"/>
            </w:pPr>
            <w:r/>
            <w:r>
              <w:rPr>
                <w:sz w:val="18"/>
              </w:rPr>
              <w:t>79.5%</w:t>
            </w:r>
          </w:p>
        </w:tc>
        <w:tc>
          <w:tcPr>
            <w:tcW w:type="dxa" w:w="1949"/>
          </w:tcPr>
          <w:p>
            <w:pPr>
              <w:spacing w:after="20"/>
            </w:pPr>
            <w:r/>
            <w:r>
              <w:rPr>
                <w:sz w:val="18"/>
              </w:rPr>
              <w:t>81.2% (65/80)</w:t>
            </w:r>
          </w:p>
        </w:tc>
      </w:tr>
      <w:tr>
        <w:tc>
          <w:tcPr>
            <w:tcW w:type="dxa" w:w="1949"/>
          </w:tcPr>
          <w:p>
            <w:pPr>
              <w:spacing w:after="20"/>
            </w:pPr>
            <w:r/>
            <w:r>
              <w:rPr>
                <w:sz w:val="18"/>
              </w:rPr>
              <w:t>Interest theme (4)</w:t>
            </w:r>
          </w:p>
        </w:tc>
        <w:tc>
          <w:tcPr>
            <w:tcW w:type="dxa" w:w="1949"/>
          </w:tcPr>
          <w:p>
            <w:pPr>
              <w:spacing w:after="20"/>
            </w:pPr>
            <w:r/>
            <w:r>
              <w:rPr>
                <w:sz w:val="18"/>
              </w:rPr>
              <w:t>25%</w:t>
            </w:r>
          </w:p>
        </w:tc>
        <w:tc>
          <w:tcPr>
            <w:tcW w:type="dxa" w:w="1949"/>
          </w:tcPr>
          <w:p>
            <w:pPr>
              <w:spacing w:after="20"/>
            </w:pPr>
            <w:r/>
            <w:r>
              <w:rPr>
                <w:sz w:val="18"/>
              </w:rPr>
              <w:t>28.5%</w:t>
            </w:r>
          </w:p>
        </w:tc>
        <w:tc>
          <w:tcPr>
            <w:tcW w:type="dxa" w:w="1949"/>
          </w:tcPr>
          <w:p>
            <w:pPr>
              <w:spacing w:after="20"/>
            </w:pPr>
            <w:r/>
            <w:r>
              <w:rPr>
                <w:sz w:val="18"/>
              </w:rPr>
              <w:t>39.8%</w:t>
            </w:r>
          </w:p>
        </w:tc>
        <w:tc>
          <w:tcPr>
            <w:tcW w:type="dxa" w:w="1949"/>
          </w:tcPr>
          <w:p>
            <w:pPr>
              <w:spacing w:after="20"/>
            </w:pPr>
            <w:r/>
            <w:r>
              <w:rPr>
                <w:sz w:val="18"/>
              </w:rPr>
              <w:t>42.5% (34/80)</w:t>
            </w:r>
          </w:p>
        </w:tc>
      </w:tr>
    </w:tbl>
    <w:p>
      <w:pPr>
        <w:spacing w:after="40"/>
      </w:pPr>
    </w:p>
    <w:p>
      <w:r>
        <w:t>Theme is the weakest: four arms and the smallest simulated effects leave about ten trials per arm in 40 activities. In the real app the parent's interest choices seed the theme prior, which the simulation does not use, so these theme numbers are a lower bound.</w:t>
      </w:r>
    </w:p>
    <w:p>
      <w:pPr>
        <w:pStyle w:val="Heading3"/>
      </w:pPr>
      <w:r>
        <w:t>6.6 IV-E Engagement and intervention analysis</w:t>
      </w:r>
    </w:p>
    <w:p>
      <w:pPr>
        <w:pStyle w:val="ListBullet"/>
      </w:pPr>
      <w:r>
        <w:t>Mean simulated distress over all lessons: 0.033 (AURA) vs 0.187 (static); distress events per child 0.51 vs 3.21 (significantly lower than four of five baselines; heuristic p = 0.088).</w:t>
      </w:r>
    </w:p>
    <w:p>
      <w:pPr>
        <w:pStyle w:val="ListBullet"/>
      </w:pPr>
      <w:r>
        <w:t>29 of 3,200 traced activities (0.9%) were interventions. Of six episodes that started above the distress threshold, four recovered (67%). Recovery in the other studies: 67% (n = 6 children with episodes, main study) and 100% (n = 4, ablation); these denominators are small.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9F2"/>
          </w:tcPr>
          <w:p>
            <w:pPr>
              <w:spacing w:after="20"/>
            </w:pPr>
            <w:r>
              <w:rPr>
                <w:b/>
              </w:rPr>
            </w:r>
            <w:r>
              <w:rPr>
                <w:b/>
                <w:sz w:val="18"/>
              </w:rPr>
              <w:t>Intervention</w:t>
            </w:r>
          </w:p>
        </w:tc>
        <w:tc>
          <w:tcPr>
            <w:tcW w:type="dxa" w:w="3249"/>
            <w:shd w:val="clear" w:color="auto" w:fill="E4E9F2"/>
          </w:tcPr>
          <w:p>
            <w:pPr>
              <w:spacing w:after="20"/>
            </w:pPr>
            <w:r>
              <w:rPr>
                <w:b/>
              </w:rPr>
            </w:r>
            <w:r>
              <w:rPr>
                <w:b/>
                <w:sz w:val="18"/>
              </w:rPr>
              <w:t>Chosen</w:t>
            </w:r>
          </w:p>
        </w:tc>
        <w:tc>
          <w:tcPr>
            <w:tcW w:type="dxa" w:w="3249"/>
            <w:shd w:val="clear" w:color="auto" w:fill="E4E9F2"/>
          </w:tcPr>
          <w:p>
            <w:pPr>
              <w:spacing w:after="20"/>
            </w:pPr>
            <w:r>
              <w:rPr>
                <w:b/>
              </w:rPr>
            </w:r>
            <w:r>
              <w:rPr>
                <w:b/>
                <w:sz w:val="18"/>
              </w:rPr>
              <w:t>Distress before → after</w:t>
            </w:r>
          </w:p>
        </w:tc>
      </w:tr>
      <w:tr>
        <w:tc>
          <w:tcPr>
            <w:tcW w:type="dxa" w:w="3249"/>
          </w:tcPr>
          <w:p>
            <w:pPr>
              <w:spacing w:after="20"/>
            </w:pPr>
            <w:r/>
            <w:r>
              <w:rPr>
                <w:sz w:val="18"/>
              </w:rPr>
              <w:t>Favourite thing</w:t>
            </w:r>
          </w:p>
        </w:tc>
        <w:tc>
          <w:tcPr>
            <w:tcW w:type="dxa" w:w="3249"/>
          </w:tcPr>
          <w:p>
            <w:pPr>
              <w:spacing w:after="20"/>
            </w:pPr>
            <w:r/>
            <w:r>
              <w:rPr>
                <w:sz w:val="18"/>
              </w:rPr>
              <w:t>6</w:t>
            </w:r>
          </w:p>
        </w:tc>
        <w:tc>
          <w:tcPr>
            <w:tcW w:type="dxa" w:w="3249"/>
          </w:tcPr>
          <w:p>
            <w:pPr>
              <w:spacing w:after="20"/>
            </w:pPr>
            <w:r/>
            <w:r>
              <w:rPr>
                <w:sz w:val="18"/>
              </w:rPr>
              <w:t>0.39 → 0.24</w:t>
            </w:r>
          </w:p>
        </w:tc>
      </w:tr>
      <w:tr>
        <w:tc>
          <w:tcPr>
            <w:tcW w:type="dxa" w:w="3249"/>
          </w:tcPr>
          <w:p>
            <w:pPr>
              <w:spacing w:after="20"/>
            </w:pPr>
            <w:r/>
            <w:r>
              <w:rPr>
                <w:sz w:val="18"/>
              </w:rPr>
              <w:t>Break</w:t>
            </w:r>
          </w:p>
        </w:tc>
        <w:tc>
          <w:tcPr>
            <w:tcW w:type="dxa" w:w="3249"/>
          </w:tcPr>
          <w:p>
            <w:pPr>
              <w:spacing w:after="20"/>
            </w:pPr>
            <w:r/>
            <w:r>
              <w:rPr>
                <w:sz w:val="18"/>
              </w:rPr>
              <w:t>4</w:t>
            </w:r>
          </w:p>
        </w:tc>
        <w:tc>
          <w:tcPr>
            <w:tcW w:type="dxa" w:w="3249"/>
          </w:tcPr>
          <w:p>
            <w:pPr>
              <w:spacing w:after="20"/>
            </w:pPr>
            <w:r/>
            <w:r>
              <w:rPr>
                <w:sz w:val="18"/>
              </w:rPr>
              <w:t>0.37 → 0.22</w:t>
            </w:r>
          </w:p>
        </w:tc>
      </w:tr>
      <w:tr>
        <w:tc>
          <w:tcPr>
            <w:tcW w:type="dxa" w:w="3249"/>
          </w:tcPr>
          <w:p>
            <w:pPr>
              <w:spacing w:after="20"/>
            </w:pPr>
            <w:r/>
            <w:r>
              <w:rPr>
                <w:sz w:val="18"/>
              </w:rPr>
              <w:t>Mode switch</w:t>
            </w:r>
          </w:p>
        </w:tc>
        <w:tc>
          <w:tcPr>
            <w:tcW w:type="dxa" w:w="3249"/>
          </w:tcPr>
          <w:p>
            <w:pPr>
              <w:spacing w:after="20"/>
            </w:pPr>
            <w:r/>
            <w:r>
              <w:rPr>
                <w:sz w:val="18"/>
              </w:rPr>
              <w:t>12</w:t>
            </w:r>
          </w:p>
        </w:tc>
        <w:tc>
          <w:tcPr>
            <w:tcW w:type="dxa" w:w="3249"/>
          </w:tcPr>
          <w:p>
            <w:pPr>
              <w:spacing w:after="20"/>
            </w:pPr>
            <w:r/>
            <w:r>
              <w:rPr>
                <w:sz w:val="18"/>
              </w:rPr>
              <w:t>0.33 → 0.22</w:t>
            </w:r>
          </w:p>
        </w:tc>
      </w:tr>
      <w:tr>
        <w:tc>
          <w:tcPr>
            <w:tcW w:type="dxa" w:w="3249"/>
          </w:tcPr>
          <w:p>
            <w:pPr>
              <w:spacing w:after="20"/>
            </w:pPr>
            <w:r/>
            <w:r>
              <w:rPr>
                <w:sz w:val="18"/>
              </w:rPr>
              <w:t>Mini-game</w:t>
            </w:r>
          </w:p>
        </w:tc>
        <w:tc>
          <w:tcPr>
            <w:tcW w:type="dxa" w:w="3249"/>
          </w:tcPr>
          <w:p>
            <w:pPr>
              <w:spacing w:after="20"/>
            </w:pPr>
            <w:r/>
            <w:r>
              <w:rPr>
                <w:sz w:val="18"/>
              </w:rPr>
              <w:t>7</w:t>
            </w:r>
          </w:p>
        </w:tc>
        <w:tc>
          <w:tcPr>
            <w:tcW w:type="dxa" w:w="3249"/>
          </w:tcPr>
          <w:p>
            <w:pPr>
              <w:spacing w:after="20"/>
            </w:pPr>
            <w:r/>
            <w:r>
              <w:rPr>
                <w:sz w:val="18"/>
              </w:rPr>
              <w:t>0.47 → 0.36</w:t>
            </w:r>
          </w:p>
        </w:tc>
      </w:tr>
    </w:tbl>
    <w:p>
      <w:pPr>
        <w:spacing w:after="40"/>
      </w:pPr>
    </w:p>
    <w:p>
      <w:r>
        <w:t>Two honest findings: with about 0.4 interventions per child the engine cannot gather enough trials to personalize them (the child's best intervention was chosen 5 of 29 times, 17%, no better than the 25% expected by chance); and the distress safety layer never triggered in simulation (its ablation was identical to full AURA), so its benefit is untested.</w:t>
      </w:r>
    </w:p>
    <w:p>
      <w:pPr>
        <w:pStyle w:val="Heading3"/>
      </w:pPr>
      <w:r>
        <w:t>6.7 IV-F ablations and the four requested comparisons</w:t>
      </w:r>
    </w:p>
    <w:p>
      <w:r>
        <w:t>Component ablation (48 children × 60 activities):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9F2"/>
          </w:tcPr>
          <w:p>
            <w:pPr>
              <w:spacing w:after="20"/>
            </w:pPr>
            <w:r>
              <w:rPr>
                <w:b/>
              </w:rPr>
            </w:r>
            <w:r>
              <w:rPr>
                <w:b/>
                <w:sz w:val="18"/>
              </w:rPr>
              <w:t>Condition</w:t>
            </w:r>
          </w:p>
        </w:tc>
        <w:tc>
          <w:tcPr>
            <w:tcW w:type="dxa" w:w="3249"/>
            <w:shd w:val="clear" w:color="auto" w:fill="E4E9F2"/>
          </w:tcPr>
          <w:p>
            <w:pPr>
              <w:spacing w:after="20"/>
            </w:pPr>
            <w:r>
              <w:rPr>
                <w:b/>
              </w:rPr>
            </w:r>
            <w:r>
              <w:rPr>
                <w:b/>
                <w:sz w:val="18"/>
              </w:rPr>
              <w:t>Regret ↓</w:t>
            </w:r>
          </w:p>
        </w:tc>
        <w:tc>
          <w:tcPr>
            <w:tcW w:type="dxa" w:w="3249"/>
            <w:shd w:val="clear" w:color="auto" w:fill="E4E9F2"/>
          </w:tcPr>
          <w:p>
            <w:pPr>
              <w:spacing w:after="20"/>
            </w:pPr>
            <w:r>
              <w:rPr>
                <w:b/>
              </w:rPr>
            </w:r>
            <w:r>
              <w:rPr>
                <w:b/>
                <w:sz w:val="18"/>
              </w:rPr>
              <w:t>Significant vs full?</w:t>
            </w:r>
          </w:p>
        </w:tc>
      </w:tr>
      <w:tr>
        <w:tc>
          <w:tcPr>
            <w:tcW w:type="dxa" w:w="3249"/>
          </w:tcPr>
          <w:p>
            <w:pPr>
              <w:spacing w:after="20"/>
            </w:pPr>
            <w:r/>
            <w:r>
              <w:rPr>
                <w:sz w:val="18"/>
              </w:rPr>
              <w:t>Full AURA</w:t>
            </w:r>
          </w:p>
        </w:tc>
        <w:tc>
          <w:tcPr>
            <w:tcW w:type="dxa" w:w="3249"/>
          </w:tcPr>
          <w:p>
            <w:pPr>
              <w:spacing w:after="20"/>
            </w:pPr>
            <w:r/>
            <w:r>
              <w:rPr>
                <w:sz w:val="18"/>
              </w:rPr>
              <w:t>7.80</w:t>
            </w:r>
          </w:p>
        </w:tc>
        <w:tc>
          <w:tcPr>
            <w:tcW w:type="dxa" w:w="3249"/>
          </w:tcPr>
          <w:p>
            <w:pPr>
              <w:spacing w:after="20"/>
            </w:pPr>
            <w:r/>
            <w:r>
              <w:rPr>
                <w:sz w:val="18"/>
              </w:rPr>
              <w:t>n/a</w:t>
            </w:r>
          </w:p>
        </w:tc>
      </w:tr>
      <w:tr>
        <w:tc>
          <w:tcPr>
            <w:tcW w:type="dxa" w:w="3249"/>
          </w:tcPr>
          <w:p>
            <w:pPr>
              <w:spacing w:after="20"/>
            </w:pPr>
            <w:r/>
            <w:r>
              <w:rPr>
                <w:sz w:val="18"/>
              </w:rPr>
              <w:t>No early predictor</w:t>
            </w:r>
          </w:p>
        </w:tc>
        <w:tc>
          <w:tcPr>
            <w:tcW w:type="dxa" w:w="3249"/>
          </w:tcPr>
          <w:p>
            <w:pPr>
              <w:spacing w:after="20"/>
            </w:pPr>
            <w:r/>
            <w:r>
              <w:rPr>
                <w:sz w:val="18"/>
              </w:rPr>
              <w:t>31.35</w:t>
            </w:r>
          </w:p>
        </w:tc>
        <w:tc>
          <w:tcPr>
            <w:tcW w:type="dxa" w:w="3249"/>
          </w:tcPr>
          <w:p>
            <w:pPr>
              <w:spacing w:after="20"/>
            </w:pPr>
            <w:r/>
            <w:r>
              <w:rPr>
                <w:sz w:val="18"/>
              </w:rPr>
              <w:t>yes (d_z = −1.32)</w:t>
            </w:r>
          </w:p>
        </w:tc>
      </w:tr>
      <w:tr>
        <w:tc>
          <w:tcPr>
            <w:tcW w:type="dxa" w:w="3249"/>
          </w:tcPr>
          <w:p>
            <w:pPr>
              <w:spacing w:after="20"/>
            </w:pPr>
            <w:r/>
            <w:r>
              <w:rPr>
                <w:sz w:val="18"/>
              </w:rPr>
              <w:t>No randomization (greedy)</w:t>
            </w:r>
          </w:p>
        </w:tc>
        <w:tc>
          <w:tcPr>
            <w:tcW w:type="dxa" w:w="3249"/>
          </w:tcPr>
          <w:p>
            <w:pPr>
              <w:spacing w:after="20"/>
            </w:pPr>
            <w:r/>
            <w:r>
              <w:rPr>
                <w:sz w:val="18"/>
              </w:rPr>
              <w:t>21.69</w:t>
            </w:r>
          </w:p>
        </w:tc>
        <w:tc>
          <w:tcPr>
            <w:tcW w:type="dxa" w:w="3249"/>
          </w:tcPr>
          <w:p>
            <w:pPr>
              <w:spacing w:after="20"/>
            </w:pPr>
            <w:r/>
            <w:r>
              <w:rPr>
                <w:sz w:val="18"/>
              </w:rPr>
              <w:t>yes (d_z = −0.57, Holm p = 0.0005)</w:t>
            </w:r>
          </w:p>
        </w:tc>
      </w:tr>
      <w:tr>
        <w:tc>
          <w:tcPr>
            <w:tcW w:type="dxa" w:w="3249"/>
          </w:tcPr>
          <w:p>
            <w:pPr>
              <w:spacing w:after="20"/>
            </w:pPr>
            <w:r/>
            <w:r>
              <w:rPr>
                <w:sz w:val="18"/>
              </w:rPr>
              <w:t>No prior</w:t>
            </w:r>
          </w:p>
        </w:tc>
        <w:tc>
          <w:tcPr>
            <w:tcW w:type="dxa" w:w="3249"/>
          </w:tcPr>
          <w:p>
            <w:pPr>
              <w:spacing w:after="20"/>
            </w:pPr>
            <w:r/>
            <w:r>
              <w:rPr>
                <w:sz w:val="18"/>
              </w:rPr>
              <w:t>9.18</w:t>
            </w:r>
          </w:p>
        </w:tc>
        <w:tc>
          <w:tcPr>
            <w:tcW w:type="dxa" w:w="3249"/>
          </w:tcPr>
          <w:p>
            <w:pPr>
              <w:spacing w:after="20"/>
            </w:pPr>
            <w:r/>
            <w:r>
              <w:rPr>
                <w:sz w:val="18"/>
              </w:rPr>
              <w:t>no (p = 0.34)</w:t>
            </w:r>
          </w:p>
        </w:tc>
      </w:tr>
      <w:tr>
        <w:tc>
          <w:tcPr>
            <w:tcW w:type="dxa" w:w="3249"/>
          </w:tcPr>
          <w:p>
            <w:pPr>
              <w:spacing w:after="20"/>
            </w:pPr>
            <w:r/>
            <w:r>
              <w:rPr>
                <w:sz w:val="18"/>
              </w:rPr>
              <w:t>No safety layer</w:t>
            </w:r>
          </w:p>
        </w:tc>
        <w:tc>
          <w:tcPr>
            <w:tcW w:type="dxa" w:w="3249"/>
          </w:tcPr>
          <w:p>
            <w:pPr>
              <w:spacing w:after="20"/>
            </w:pPr>
            <w:r/>
            <w:r>
              <w:rPr>
                <w:sz w:val="18"/>
              </w:rPr>
              <w:t>7.80</w:t>
            </w:r>
          </w:p>
        </w:tc>
        <w:tc>
          <w:tcPr>
            <w:tcW w:type="dxa" w:w="3249"/>
          </w:tcPr>
          <w:p>
            <w:pPr>
              <w:spacing w:after="20"/>
            </w:pPr>
            <w:r/>
            <w:r>
              <w:rPr>
                <w:sz w:val="18"/>
              </w:rPr>
              <w:t>identical (never triggered)</w:t>
            </w:r>
          </w:p>
        </w:tc>
      </w:tr>
    </w:tbl>
    <w:p>
      <w:pPr>
        <w:spacing w:after="40"/>
      </w:pP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9F2"/>
          </w:tcPr>
          <w:p>
            <w:pPr>
              <w:spacing w:after="20"/>
            </w:pPr>
            <w:r>
              <w:rPr>
                <w:b/>
              </w:rPr>
            </w:r>
            <w:r>
              <w:rPr>
                <w:b/>
                <w:sz w:val="18"/>
              </w:rPr>
              <w:t>Requested comparison</w:t>
            </w:r>
          </w:p>
        </w:tc>
        <w:tc>
          <w:tcPr>
            <w:tcW w:type="dxa" w:w="3249"/>
            <w:shd w:val="clear" w:color="auto" w:fill="E4E9F2"/>
          </w:tcPr>
          <w:p>
            <w:pPr>
              <w:spacing w:after="20"/>
            </w:pPr>
            <w:r>
              <w:rPr>
                <w:b/>
              </w:rPr>
            </w:r>
            <w:r>
              <w:rPr>
                <w:b/>
                <w:sz w:val="18"/>
              </w:rPr>
              <w:t>Result</w:t>
            </w:r>
          </w:p>
        </w:tc>
        <w:tc>
          <w:tcPr>
            <w:tcW w:type="dxa" w:w="3249"/>
            <w:shd w:val="clear" w:color="auto" w:fill="E4E9F2"/>
          </w:tcPr>
          <w:p>
            <w:pPr>
              <w:spacing w:after="20"/>
            </w:pPr>
            <w:r>
              <w:rPr>
                <w:b/>
              </w:rPr>
            </w:r>
            <w:r>
              <w:rPr>
                <w:b/>
                <w:sz w:val="18"/>
              </w:rPr>
              <w:t>Status</w:t>
            </w:r>
          </w:p>
        </w:tc>
      </w:tr>
      <w:tr>
        <w:tc>
          <w:tcPr>
            <w:tcW w:type="dxa" w:w="3249"/>
          </w:tcPr>
          <w:p>
            <w:pPr>
              <w:spacing w:after="20"/>
            </w:pPr>
            <w:r/>
            <w:r>
              <w:rPr>
                <w:sz w:val="18"/>
              </w:rPr>
              <w:t>Fixed vs adaptive difficulty</w:t>
            </w:r>
          </w:p>
        </w:tc>
        <w:tc>
          <w:tcPr>
            <w:tcW w:type="dxa" w:w="3249"/>
          </w:tcPr>
          <w:p>
            <w:pPr>
              <w:spacing w:after="20"/>
            </w:pPr>
            <w:r/>
            <w:r>
              <w:rPr>
                <w:sz w:val="18"/>
              </w:rPr>
              <w:t>not measured (simulator has no difficulty model, §6.4)</w:t>
            </w:r>
          </w:p>
        </w:tc>
        <w:tc>
          <w:tcPr>
            <w:tcW w:type="dxa" w:w="3249"/>
          </w:tcPr>
          <w:p>
            <w:pPr>
              <w:spacing w:after="20"/>
            </w:pPr>
            <w:r/>
            <w:r>
              <w:rPr>
                <w:sz w:val="18"/>
              </w:rPr>
              <w:t>measure in the pilot</w:t>
            </w:r>
          </w:p>
        </w:tc>
      </w:tr>
      <w:tr>
        <w:tc>
          <w:tcPr>
            <w:tcW w:type="dxa" w:w="3249"/>
          </w:tcPr>
          <w:p>
            <w:pPr>
              <w:spacing w:after="20"/>
            </w:pPr>
            <w:r/>
            <w:r>
              <w:rPr>
                <w:sz w:val="18"/>
              </w:rPr>
              <w:t>Fixed vs dynamic interests</w:t>
            </w:r>
          </w:p>
        </w:tc>
        <w:tc>
          <w:tcPr>
            <w:tcW w:type="dxa" w:w="3249"/>
          </w:tcPr>
          <w:p>
            <w:pPr>
              <w:spacing w:after="20"/>
            </w:pPr>
            <w:r/>
            <w:r>
              <w:rPr>
                <w:sz w:val="18"/>
              </w:rPr>
              <w:t>pinning theme to "dino": regret 7.13 → 9.30 (Holm p = 0.071), 7-day retention 87.0 → 85.0; not significant</w:t>
            </w:r>
          </w:p>
        </w:tc>
        <w:tc>
          <w:tcPr>
            <w:tcW w:type="dxa" w:w="3249"/>
          </w:tcPr>
          <w:p>
            <w:pPr>
              <w:spacing w:after="20"/>
            </w:pPr>
            <w:r/>
            <w:r>
              <w:rPr>
                <w:sz w:val="18"/>
              </w:rPr>
              <w:t>measured</w:t>
            </w:r>
          </w:p>
        </w:tc>
      </w:tr>
      <w:tr>
        <w:tc>
          <w:tcPr>
            <w:tcW w:type="dxa" w:w="3249"/>
          </w:tcPr>
          <w:p>
            <w:pPr>
              <w:spacing w:after="20"/>
            </w:pPr>
            <w:r/>
            <w:r>
              <w:rPr>
                <w:sz w:val="18"/>
              </w:rPr>
              <w:t>Fixed vs adaptive interaction mode</w:t>
            </w:r>
          </w:p>
        </w:tc>
        <w:tc>
          <w:tcPr>
            <w:tcW w:type="dxa" w:w="3249"/>
          </w:tcPr>
          <w:p>
            <w:pPr>
              <w:spacing w:after="20"/>
            </w:pPr>
            <w:r/>
            <w:r>
              <w:rPr>
                <w:sz w:val="18"/>
              </w:rPr>
              <w:t>pinning mode to "tap": regret 7.13 → 10.83 (+3.70, d_z 0.27, Holm p = 0.033, significant); retention (87.6 vs 87.0) and distress events (0.79 vs 0.51, p = 0.45) not significantly different</w:t>
            </w:r>
          </w:p>
        </w:tc>
        <w:tc>
          <w:tcPr>
            <w:tcW w:type="dxa" w:w="3249"/>
          </w:tcPr>
          <w:p>
            <w:pPr>
              <w:spacing w:after="20"/>
            </w:pPr>
            <w:r/>
            <w:r>
              <w:rPr>
                <w:sz w:val="18"/>
              </w:rPr>
              <w:t>measured</w:t>
            </w:r>
          </w:p>
        </w:tc>
      </w:tr>
      <w:tr>
        <w:tc>
          <w:tcPr>
            <w:tcW w:type="dxa" w:w="3249"/>
          </w:tcPr>
          <w:p>
            <w:pPr>
              <w:spacing w:after="20"/>
            </w:pPr>
            <w:r/>
            <w:r>
              <w:rPr>
                <w:sz w:val="18"/>
              </w:rPr>
              <w:t>Without vs with GenAI</w:t>
            </w:r>
          </w:p>
        </w:tc>
        <w:tc>
          <w:tcPr>
            <w:tcW w:type="dxa" w:w="3249"/>
          </w:tcPr>
          <w:p>
            <w:pPr>
              <w:spacing w:after="20"/>
            </w:pPr>
            <w:r/>
            <w:r>
              <w:rPr>
                <w:sz w:val="18"/>
              </w:rPr>
              <w:t>not run: simulated children do not read text, so simulation cannot measure it</w:t>
            </w:r>
          </w:p>
        </w:tc>
        <w:tc>
          <w:tcPr>
            <w:tcW w:type="dxa" w:w="3249"/>
          </w:tcPr>
          <w:p>
            <w:pPr>
              <w:spacing w:after="20"/>
            </w:pPr>
            <w:r/>
            <w:r>
              <w:rPr>
                <w:sz w:val="18"/>
              </w:rPr>
              <w:t>proposed: educators blind-rate GenAI vs template prompts for clarity, autism-appropriateness and safety, and report the validator's rejection rate</w:t>
            </w:r>
          </w:p>
        </w:tc>
      </w:tr>
    </w:tbl>
    <w:p>
      <w:pPr>
        <w:spacing w:after="40"/>
      </w:pPr>
    </w:p>
    <w:p>
      <w:r>
        <w:t>Replay: on the published single-case study [6] (23 sessions), AURA's stopping rule matched the authors' verdict at session 18, five sessions (22%) earlier.</w:t>
      </w:r>
    </w:p>
    <w:p>
      <w:pPr>
        <w:pStyle w:val="Heading3"/>
      </w:pPr>
      <w:r>
        <w:t>6.8 Robustness to how the simulated children are built</w:t>
      </w:r>
    </w:p>
    <w:p>
      <w:r>
        <w:t xml:space="preserve">Does AURA's advantage depend on our choice of simulated children? We re-ran the comparison (40 children per scenario, 40 activities, seed 44, paired) with preference strengths halved and doubled, distress doubled, five named synthetic archetypes, and a mixed population of them. The archetypes are illustrative parameter settings written by us from commonly described patterns; they are </w:t>
      </w:r>
      <w:r>
        <w:rPr>
          <w:i/>
        </w:rPr>
        <w:t>not</w:t>
      </w:r>
      <w:r>
        <w:t xml:space="preserve"> derived from data on real children and are not evidence about real autistic children. They only show the result does not hinge on one kind of simulated child.</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E4E9F2"/>
          </w:tcPr>
          <w:p>
            <w:pPr>
              <w:spacing w:after="20"/>
            </w:pPr>
            <w:r>
              <w:rPr>
                <w:b/>
              </w:rPr>
            </w:r>
            <w:r>
              <w:rPr>
                <w:b/>
                <w:sz w:val="18"/>
              </w:rPr>
              <w:t>Scenario</w:t>
            </w:r>
          </w:p>
        </w:tc>
        <w:tc>
          <w:tcPr>
            <w:tcW w:type="dxa" w:w="1624"/>
            <w:shd w:val="clear" w:color="auto" w:fill="E4E9F2"/>
          </w:tcPr>
          <w:p>
            <w:pPr>
              <w:spacing w:after="20"/>
            </w:pPr>
            <w:r>
              <w:rPr>
                <w:b/>
              </w:rPr>
            </w:r>
            <w:r>
              <w:rPr>
                <w:b/>
                <w:sz w:val="18"/>
              </w:rPr>
              <w:t>AURA regret</w:t>
            </w:r>
          </w:p>
        </w:tc>
        <w:tc>
          <w:tcPr>
            <w:tcW w:type="dxa" w:w="1624"/>
            <w:shd w:val="clear" w:color="auto" w:fill="E4E9F2"/>
          </w:tcPr>
          <w:p>
            <w:pPr>
              <w:spacing w:after="20"/>
            </w:pPr>
            <w:r>
              <w:rPr>
                <w:b/>
              </w:rPr>
            </w:r>
            <w:r>
              <w:rPr>
                <w:b/>
                <w:sz w:val="18"/>
              </w:rPr>
              <w:t>Static (p)</w:t>
            </w:r>
          </w:p>
        </w:tc>
        <w:tc>
          <w:tcPr>
            <w:tcW w:type="dxa" w:w="1624"/>
            <w:shd w:val="clear" w:color="auto" w:fill="E4E9F2"/>
          </w:tcPr>
          <w:p>
            <w:pPr>
              <w:spacing w:after="20"/>
            </w:pPr>
            <w:r>
              <w:rPr>
                <w:b/>
              </w:rPr>
            </w:r>
            <w:r>
              <w:rPr>
                <w:b/>
                <w:sz w:val="18"/>
              </w:rPr>
              <w:t>Heuristic (p)</w:t>
            </w:r>
          </w:p>
        </w:tc>
        <w:tc>
          <w:tcPr>
            <w:tcW w:type="dxa" w:w="1624"/>
            <w:shd w:val="clear" w:color="auto" w:fill="E4E9F2"/>
          </w:tcPr>
          <w:p>
            <w:pPr>
              <w:spacing w:after="20"/>
            </w:pPr>
            <w:r>
              <w:rPr>
                <w:b/>
              </w:rPr>
            </w:r>
            <w:r>
              <w:rPr>
                <w:b/>
                <w:sz w:val="18"/>
              </w:rPr>
              <w:t>AURA retention %</w:t>
            </w:r>
          </w:p>
        </w:tc>
        <w:tc>
          <w:tcPr>
            <w:tcW w:type="dxa" w:w="1624"/>
            <w:shd w:val="clear" w:color="auto" w:fill="E4E9F2"/>
          </w:tcPr>
          <w:p>
            <w:pPr>
              <w:spacing w:after="20"/>
            </w:pPr>
            <w:r>
              <w:rPr>
                <w:b/>
              </w:rPr>
            </w:r>
            <w:r>
              <w:rPr>
                <w:b/>
                <w:sz w:val="18"/>
              </w:rPr>
              <w:t>Heuristic retention %</w:t>
            </w:r>
          </w:p>
        </w:tc>
      </w:tr>
      <w:tr>
        <w:tc>
          <w:tcPr>
            <w:tcW w:type="dxa" w:w="1624"/>
          </w:tcPr>
          <w:p>
            <w:pPr>
              <w:spacing w:after="20"/>
            </w:pPr>
            <w:r/>
            <w:r>
              <w:rPr>
                <w:sz w:val="18"/>
              </w:rPr>
              <w:t>Weak preferences (×0.5)</w:t>
            </w:r>
          </w:p>
        </w:tc>
        <w:tc>
          <w:tcPr>
            <w:tcW w:type="dxa" w:w="1624"/>
          </w:tcPr>
          <w:p>
            <w:pPr>
              <w:spacing w:after="20"/>
            </w:pPr>
            <w:r/>
            <w:r>
              <w:rPr>
                <w:sz w:val="18"/>
              </w:rPr>
              <w:t>13.12</w:t>
            </w:r>
          </w:p>
        </w:tc>
        <w:tc>
          <w:tcPr>
            <w:tcW w:type="dxa" w:w="1624"/>
          </w:tcPr>
          <w:p>
            <w:pPr>
              <w:spacing w:after="20"/>
            </w:pPr>
            <w:r/>
            <w:r>
              <w:rPr>
                <w:sz w:val="18"/>
              </w:rPr>
              <w:t>19.19 (0.003)</w:t>
            </w:r>
          </w:p>
        </w:tc>
        <w:tc>
          <w:tcPr>
            <w:tcW w:type="dxa" w:w="1624"/>
          </w:tcPr>
          <w:p>
            <w:pPr>
              <w:spacing w:after="20"/>
            </w:pPr>
            <w:r/>
            <w:r>
              <w:rPr>
                <w:sz w:val="18"/>
              </w:rPr>
              <w:t>15.13 (0.17)</w:t>
            </w:r>
          </w:p>
        </w:tc>
        <w:tc>
          <w:tcPr>
            <w:tcW w:type="dxa" w:w="1624"/>
          </w:tcPr>
          <w:p>
            <w:pPr>
              <w:spacing w:after="20"/>
            </w:pPr>
            <w:r/>
            <w:r>
              <w:rPr>
                <w:sz w:val="18"/>
              </w:rPr>
              <w:t>60.9</w:t>
            </w:r>
          </w:p>
        </w:tc>
        <w:tc>
          <w:tcPr>
            <w:tcW w:type="dxa" w:w="1624"/>
          </w:tcPr>
          <w:p>
            <w:pPr>
              <w:spacing w:after="20"/>
            </w:pPr>
            <w:r/>
            <w:r>
              <w:rPr>
                <w:sz w:val="18"/>
              </w:rPr>
              <w:t>52.2</w:t>
            </w:r>
          </w:p>
        </w:tc>
      </w:tr>
      <w:tr>
        <w:tc>
          <w:tcPr>
            <w:tcW w:type="dxa" w:w="1624"/>
          </w:tcPr>
          <w:p>
            <w:pPr>
              <w:spacing w:after="20"/>
            </w:pPr>
            <w:r/>
            <w:r>
              <w:rPr>
                <w:sz w:val="18"/>
              </w:rPr>
              <w:t>As in main study</w:t>
            </w:r>
          </w:p>
        </w:tc>
        <w:tc>
          <w:tcPr>
            <w:tcW w:type="dxa" w:w="1624"/>
          </w:tcPr>
          <w:p>
            <w:pPr>
              <w:spacing w:after="20"/>
            </w:pPr>
            <w:r/>
            <w:r>
              <w:rPr>
                <w:sz w:val="18"/>
              </w:rPr>
              <w:t>11.50</w:t>
            </w:r>
          </w:p>
        </w:tc>
        <w:tc>
          <w:tcPr>
            <w:tcW w:type="dxa" w:w="1624"/>
          </w:tcPr>
          <w:p>
            <w:pPr>
              <w:spacing w:after="20"/>
            </w:pPr>
            <w:r/>
            <w:r>
              <w:rPr>
                <w:sz w:val="18"/>
              </w:rPr>
              <w:t>28.39 (&lt;0.001)</w:t>
            </w:r>
          </w:p>
        </w:tc>
        <w:tc>
          <w:tcPr>
            <w:tcW w:type="dxa" w:w="1624"/>
          </w:tcPr>
          <w:p>
            <w:pPr>
              <w:spacing w:after="20"/>
            </w:pPr>
            <w:r/>
            <w:r>
              <w:rPr>
                <w:sz w:val="18"/>
              </w:rPr>
              <w:t>14.48 (0.033)</w:t>
            </w:r>
          </w:p>
        </w:tc>
        <w:tc>
          <w:tcPr>
            <w:tcW w:type="dxa" w:w="1624"/>
          </w:tcPr>
          <w:p>
            <w:pPr>
              <w:spacing w:after="20"/>
            </w:pPr>
            <w:r/>
            <w:r>
              <w:rPr>
                <w:sz w:val="18"/>
              </w:rPr>
              <w:t>84.9</w:t>
            </w:r>
          </w:p>
        </w:tc>
        <w:tc>
          <w:tcPr>
            <w:tcW w:type="dxa" w:w="1624"/>
          </w:tcPr>
          <w:p>
            <w:pPr>
              <w:spacing w:after="20"/>
            </w:pPr>
            <w:r/>
            <w:r>
              <w:rPr>
                <w:sz w:val="18"/>
              </w:rPr>
              <w:t>83.6</w:t>
            </w:r>
          </w:p>
        </w:tc>
      </w:tr>
      <w:tr>
        <w:tc>
          <w:tcPr>
            <w:tcW w:type="dxa" w:w="1624"/>
          </w:tcPr>
          <w:p>
            <w:pPr>
              <w:spacing w:after="20"/>
            </w:pPr>
            <w:r/>
            <w:r>
              <w:rPr>
                <w:sz w:val="18"/>
              </w:rPr>
              <w:t>Strong preferences (×2)</w:t>
            </w:r>
          </w:p>
        </w:tc>
        <w:tc>
          <w:tcPr>
            <w:tcW w:type="dxa" w:w="1624"/>
          </w:tcPr>
          <w:p>
            <w:pPr>
              <w:spacing w:after="20"/>
            </w:pPr>
            <w:r/>
            <w:r>
              <w:rPr>
                <w:sz w:val="18"/>
              </w:rPr>
              <w:t>3.47</w:t>
            </w:r>
          </w:p>
        </w:tc>
        <w:tc>
          <w:tcPr>
            <w:tcW w:type="dxa" w:w="1624"/>
          </w:tcPr>
          <w:p>
            <w:pPr>
              <w:spacing w:after="20"/>
            </w:pPr>
            <w:r/>
            <w:r>
              <w:rPr>
                <w:sz w:val="18"/>
              </w:rPr>
              <w:t>21.89 (0.032)</w:t>
            </w:r>
          </w:p>
        </w:tc>
        <w:tc>
          <w:tcPr>
            <w:tcW w:type="dxa" w:w="1624"/>
          </w:tcPr>
          <w:p>
            <w:pPr>
              <w:spacing w:after="20"/>
            </w:pPr>
            <w:r/>
            <w:r>
              <w:rPr>
                <w:sz w:val="18"/>
              </w:rPr>
              <w:t>6.35 (0.24)</w:t>
            </w:r>
          </w:p>
        </w:tc>
        <w:tc>
          <w:tcPr>
            <w:tcW w:type="dxa" w:w="1624"/>
          </w:tcPr>
          <w:p>
            <w:pPr>
              <w:spacing w:after="20"/>
            </w:pPr>
            <w:r/>
            <w:r>
              <w:rPr>
                <w:sz w:val="18"/>
              </w:rPr>
              <w:t>91.3</w:t>
            </w:r>
          </w:p>
        </w:tc>
        <w:tc>
          <w:tcPr>
            <w:tcW w:type="dxa" w:w="1624"/>
          </w:tcPr>
          <w:p>
            <w:pPr>
              <w:spacing w:after="20"/>
            </w:pPr>
            <w:r/>
            <w:r>
              <w:rPr>
                <w:sz w:val="18"/>
              </w:rPr>
              <w:t>93.0</w:t>
            </w:r>
          </w:p>
        </w:tc>
      </w:tr>
      <w:tr>
        <w:tc>
          <w:tcPr>
            <w:tcW w:type="dxa" w:w="1624"/>
          </w:tcPr>
          <w:p>
            <w:pPr>
              <w:spacing w:after="20"/>
            </w:pPr>
            <w:r/>
            <w:r>
              <w:rPr>
                <w:sz w:val="18"/>
              </w:rPr>
              <w:t>Distress ×2</w:t>
            </w:r>
          </w:p>
        </w:tc>
        <w:tc>
          <w:tcPr>
            <w:tcW w:type="dxa" w:w="1624"/>
          </w:tcPr>
          <w:p>
            <w:pPr>
              <w:spacing w:after="20"/>
            </w:pPr>
            <w:r/>
            <w:r>
              <w:rPr>
                <w:sz w:val="18"/>
              </w:rPr>
              <w:t>11.17</w:t>
            </w:r>
          </w:p>
        </w:tc>
        <w:tc>
          <w:tcPr>
            <w:tcW w:type="dxa" w:w="1624"/>
          </w:tcPr>
          <w:p>
            <w:pPr>
              <w:spacing w:after="20"/>
            </w:pPr>
            <w:r/>
            <w:r>
              <w:rPr>
                <w:sz w:val="18"/>
              </w:rPr>
              <w:t>27.83 (&lt;0.001)</w:t>
            </w:r>
          </w:p>
        </w:tc>
        <w:tc>
          <w:tcPr>
            <w:tcW w:type="dxa" w:w="1624"/>
          </w:tcPr>
          <w:p>
            <w:pPr>
              <w:spacing w:after="20"/>
            </w:pPr>
            <w:r/>
            <w:r>
              <w:rPr>
                <w:sz w:val="18"/>
              </w:rPr>
              <w:t>14.84 (0.023)</w:t>
            </w:r>
          </w:p>
        </w:tc>
        <w:tc>
          <w:tcPr>
            <w:tcW w:type="dxa" w:w="1624"/>
          </w:tcPr>
          <w:p>
            <w:pPr>
              <w:spacing w:after="20"/>
            </w:pPr>
            <w:r/>
            <w:r>
              <w:rPr>
                <w:sz w:val="18"/>
              </w:rPr>
              <w:t>81.2</w:t>
            </w:r>
          </w:p>
        </w:tc>
        <w:tc>
          <w:tcPr>
            <w:tcW w:type="dxa" w:w="1624"/>
          </w:tcPr>
          <w:p>
            <w:pPr>
              <w:spacing w:after="20"/>
            </w:pPr>
            <w:r/>
            <w:r>
              <w:rPr>
                <w:sz w:val="18"/>
              </w:rPr>
              <w:t>79.9</w:t>
            </w:r>
          </w:p>
        </w:tc>
      </w:tr>
      <w:tr>
        <w:tc>
          <w:tcPr>
            <w:tcW w:type="dxa" w:w="1624"/>
          </w:tcPr>
          <w:p>
            <w:pPr>
              <w:spacing w:after="20"/>
            </w:pPr>
            <w:r/>
            <w:r>
              <w:rPr>
                <w:sz w:val="18"/>
              </w:rPr>
              <w:t>Finds mistakes upsetting</w:t>
            </w:r>
          </w:p>
        </w:tc>
        <w:tc>
          <w:tcPr>
            <w:tcW w:type="dxa" w:w="1624"/>
          </w:tcPr>
          <w:p>
            <w:pPr>
              <w:spacing w:after="20"/>
            </w:pPr>
            <w:r/>
            <w:r>
              <w:rPr>
                <w:sz w:val="18"/>
              </w:rPr>
              <w:t>12.52</w:t>
            </w:r>
          </w:p>
        </w:tc>
        <w:tc>
          <w:tcPr>
            <w:tcW w:type="dxa" w:w="1624"/>
          </w:tcPr>
          <w:p>
            <w:pPr>
              <w:spacing w:after="20"/>
            </w:pPr>
            <w:r/>
            <w:r>
              <w:rPr>
                <w:sz w:val="18"/>
              </w:rPr>
              <w:t>30.53 (&lt;0.001)</w:t>
            </w:r>
          </w:p>
        </w:tc>
        <w:tc>
          <w:tcPr>
            <w:tcW w:type="dxa" w:w="1624"/>
          </w:tcPr>
          <w:p>
            <w:pPr>
              <w:spacing w:after="20"/>
            </w:pPr>
            <w:r/>
            <w:r>
              <w:rPr>
                <w:sz w:val="18"/>
              </w:rPr>
              <w:t>18.69 (0.016)</w:t>
            </w:r>
          </w:p>
        </w:tc>
        <w:tc>
          <w:tcPr>
            <w:tcW w:type="dxa" w:w="1624"/>
          </w:tcPr>
          <w:p>
            <w:pPr>
              <w:spacing w:after="20"/>
            </w:pPr>
            <w:r/>
            <w:r>
              <w:rPr>
                <w:sz w:val="18"/>
              </w:rPr>
              <w:t>77.8</w:t>
            </w:r>
          </w:p>
        </w:tc>
        <w:tc>
          <w:tcPr>
            <w:tcW w:type="dxa" w:w="1624"/>
          </w:tcPr>
          <w:p>
            <w:pPr>
              <w:spacing w:after="20"/>
            </w:pPr>
            <w:r/>
            <w:r>
              <w:rPr>
                <w:sz w:val="18"/>
              </w:rPr>
              <w:t>75.4</w:t>
            </w:r>
          </w:p>
        </w:tc>
      </w:tr>
      <w:tr>
        <w:tc>
          <w:tcPr>
            <w:tcW w:type="dxa" w:w="1624"/>
          </w:tcPr>
          <w:p>
            <w:pPr>
              <w:spacing w:after="20"/>
            </w:pPr>
            <w:r/>
            <w:r>
              <w:rPr>
                <w:sz w:val="18"/>
              </w:rPr>
              <w:t>Slow, steady learner</w:t>
            </w:r>
          </w:p>
        </w:tc>
        <w:tc>
          <w:tcPr>
            <w:tcW w:type="dxa" w:w="1624"/>
          </w:tcPr>
          <w:p>
            <w:pPr>
              <w:spacing w:after="20"/>
            </w:pPr>
            <w:r/>
            <w:r>
              <w:rPr>
                <w:sz w:val="18"/>
              </w:rPr>
              <w:t>19.01</w:t>
            </w:r>
          </w:p>
        </w:tc>
        <w:tc>
          <w:tcPr>
            <w:tcW w:type="dxa" w:w="1624"/>
          </w:tcPr>
          <w:p>
            <w:pPr>
              <w:spacing w:after="20"/>
            </w:pPr>
            <w:r/>
            <w:r>
              <w:rPr>
                <w:sz w:val="18"/>
              </w:rPr>
              <w:t>35.86 (&lt;0.001)</w:t>
            </w:r>
          </w:p>
        </w:tc>
        <w:tc>
          <w:tcPr>
            <w:tcW w:type="dxa" w:w="1624"/>
          </w:tcPr>
          <w:p>
            <w:pPr>
              <w:spacing w:after="20"/>
            </w:pPr>
            <w:r/>
            <w:r>
              <w:rPr>
                <w:sz w:val="18"/>
              </w:rPr>
              <w:t>26.01 (0.005)</w:t>
            </w:r>
          </w:p>
        </w:tc>
        <w:tc>
          <w:tcPr>
            <w:tcW w:type="dxa" w:w="1624"/>
          </w:tcPr>
          <w:p>
            <w:pPr>
              <w:spacing w:after="20"/>
            </w:pPr>
            <w:r/>
            <w:r>
              <w:rPr>
                <w:sz w:val="18"/>
              </w:rPr>
              <w:t>66.0</w:t>
            </w:r>
          </w:p>
        </w:tc>
        <w:tc>
          <w:tcPr>
            <w:tcW w:type="dxa" w:w="1624"/>
          </w:tcPr>
          <w:p>
            <w:pPr>
              <w:spacing w:after="20"/>
            </w:pPr>
            <w:r/>
            <w:r>
              <w:rPr>
                <w:sz w:val="18"/>
              </w:rPr>
              <w:t>49.3</w:t>
            </w:r>
          </w:p>
        </w:tc>
      </w:tr>
      <w:tr>
        <w:tc>
          <w:tcPr>
            <w:tcW w:type="dxa" w:w="1624"/>
          </w:tcPr>
          <w:p>
            <w:pPr>
              <w:spacing w:after="20"/>
            </w:pPr>
            <w:r/>
            <w:r>
              <w:rPr>
                <w:sz w:val="18"/>
              </w:rPr>
              <w:t>One strongly preferred way of working</w:t>
            </w:r>
          </w:p>
        </w:tc>
        <w:tc>
          <w:tcPr>
            <w:tcW w:type="dxa" w:w="1624"/>
          </w:tcPr>
          <w:p>
            <w:pPr>
              <w:spacing w:after="20"/>
            </w:pPr>
            <w:r/>
            <w:r>
              <w:rPr>
                <w:sz w:val="18"/>
              </w:rPr>
              <w:t>3.95</w:t>
            </w:r>
          </w:p>
        </w:tc>
        <w:tc>
          <w:tcPr>
            <w:tcW w:type="dxa" w:w="1624"/>
          </w:tcPr>
          <w:p>
            <w:pPr>
              <w:spacing w:after="20"/>
            </w:pPr>
            <w:r/>
            <w:r>
              <w:rPr>
                <w:sz w:val="18"/>
              </w:rPr>
              <w:t>24.52 (0.025)</w:t>
            </w:r>
          </w:p>
        </w:tc>
        <w:tc>
          <w:tcPr>
            <w:tcW w:type="dxa" w:w="1624"/>
          </w:tcPr>
          <w:p>
            <w:pPr>
              <w:spacing w:after="20"/>
            </w:pPr>
            <w:r/>
            <w:r>
              <w:rPr>
                <w:sz w:val="18"/>
              </w:rPr>
              <w:t>6.96 (0.155)</w:t>
            </w:r>
          </w:p>
        </w:tc>
        <w:tc>
          <w:tcPr>
            <w:tcW w:type="dxa" w:w="1624"/>
          </w:tcPr>
          <w:p>
            <w:pPr>
              <w:spacing w:after="20"/>
            </w:pPr>
            <w:r/>
            <w:r>
              <w:rPr>
                <w:sz w:val="18"/>
              </w:rPr>
              <w:t>90.9</w:t>
            </w:r>
          </w:p>
        </w:tc>
        <w:tc>
          <w:tcPr>
            <w:tcW w:type="dxa" w:w="1624"/>
          </w:tcPr>
          <w:p>
            <w:pPr>
              <w:spacing w:after="20"/>
            </w:pPr>
            <w:r/>
            <w:r>
              <w:rPr>
                <w:sz w:val="18"/>
              </w:rPr>
              <w:t>88.6</w:t>
            </w:r>
          </w:p>
        </w:tc>
      </w:tr>
      <w:tr>
        <w:tc>
          <w:tcPr>
            <w:tcW w:type="dxa" w:w="1624"/>
          </w:tcPr>
          <w:p>
            <w:pPr>
              <w:spacing w:after="20"/>
            </w:pPr>
            <w:r/>
            <w:r>
              <w:rPr>
                <w:sz w:val="18"/>
              </w:rPr>
              <w:t>No clear preferences</w:t>
            </w:r>
          </w:p>
        </w:tc>
        <w:tc>
          <w:tcPr>
            <w:tcW w:type="dxa" w:w="1624"/>
          </w:tcPr>
          <w:p>
            <w:pPr>
              <w:spacing w:after="20"/>
            </w:pPr>
            <w:r/>
            <w:r>
              <w:rPr>
                <w:sz w:val="18"/>
              </w:rPr>
              <w:t>8.05</w:t>
            </w:r>
          </w:p>
        </w:tc>
        <w:tc>
          <w:tcPr>
            <w:tcW w:type="dxa" w:w="1624"/>
          </w:tcPr>
          <w:p>
            <w:pPr>
              <w:spacing w:after="20"/>
            </w:pPr>
            <w:r/>
            <w:r>
              <w:rPr>
                <w:sz w:val="18"/>
              </w:rPr>
              <w:t>9.47 (0.17)</w:t>
            </w:r>
          </w:p>
        </w:tc>
        <w:tc>
          <w:tcPr>
            <w:tcW w:type="dxa" w:w="1624"/>
          </w:tcPr>
          <w:p>
            <w:pPr>
              <w:spacing w:after="20"/>
            </w:pPr>
            <w:r/>
            <w:r>
              <w:rPr>
                <w:sz w:val="18"/>
              </w:rPr>
              <w:t>8.31 (0.35)</w:t>
            </w:r>
          </w:p>
        </w:tc>
        <w:tc>
          <w:tcPr>
            <w:tcW w:type="dxa" w:w="1624"/>
          </w:tcPr>
          <w:p>
            <w:pPr>
              <w:spacing w:after="20"/>
            </w:pPr>
            <w:r/>
            <w:r>
              <w:rPr>
                <w:sz w:val="18"/>
              </w:rPr>
              <w:t>48.9</w:t>
            </w:r>
          </w:p>
        </w:tc>
        <w:tc>
          <w:tcPr>
            <w:tcW w:type="dxa" w:w="1624"/>
          </w:tcPr>
          <w:p>
            <w:pPr>
              <w:spacing w:after="20"/>
            </w:pPr>
            <w:r/>
            <w:r>
              <w:rPr>
                <w:sz w:val="18"/>
              </w:rPr>
              <w:t>34.8</w:t>
            </w:r>
          </w:p>
        </w:tc>
      </w:tr>
      <w:tr>
        <w:tc>
          <w:tcPr>
            <w:tcW w:type="dxa" w:w="1624"/>
          </w:tcPr>
          <w:p>
            <w:pPr>
              <w:spacing w:after="20"/>
            </w:pPr>
            <w:r/>
            <w:r>
              <w:rPr>
                <w:sz w:val="18"/>
              </w:rPr>
              <w:t>Capable but easily overloaded</w:t>
            </w:r>
          </w:p>
        </w:tc>
        <w:tc>
          <w:tcPr>
            <w:tcW w:type="dxa" w:w="1624"/>
          </w:tcPr>
          <w:p>
            <w:pPr>
              <w:spacing w:after="20"/>
            </w:pPr>
            <w:r/>
            <w:r>
              <w:rPr>
                <w:sz w:val="18"/>
              </w:rPr>
              <w:t>7.27</w:t>
            </w:r>
          </w:p>
        </w:tc>
        <w:tc>
          <w:tcPr>
            <w:tcW w:type="dxa" w:w="1624"/>
          </w:tcPr>
          <w:p>
            <w:pPr>
              <w:spacing w:after="20"/>
            </w:pPr>
            <w:r/>
            <w:r>
              <w:rPr>
                <w:sz w:val="18"/>
              </w:rPr>
              <w:t>22.82 (&lt;0.001)</w:t>
            </w:r>
          </w:p>
        </w:tc>
        <w:tc>
          <w:tcPr>
            <w:tcW w:type="dxa" w:w="1624"/>
          </w:tcPr>
          <w:p>
            <w:pPr>
              <w:spacing w:after="20"/>
            </w:pPr>
            <w:r/>
            <w:r>
              <w:rPr>
                <w:sz w:val="18"/>
              </w:rPr>
              <w:t>12.30 (0.012)</w:t>
            </w:r>
          </w:p>
        </w:tc>
        <w:tc>
          <w:tcPr>
            <w:tcW w:type="dxa" w:w="1624"/>
          </w:tcPr>
          <w:p>
            <w:pPr>
              <w:spacing w:after="20"/>
            </w:pPr>
            <w:r/>
            <w:r>
              <w:rPr>
                <w:sz w:val="18"/>
              </w:rPr>
              <w:t>91.1</w:t>
            </w:r>
          </w:p>
        </w:tc>
        <w:tc>
          <w:tcPr>
            <w:tcW w:type="dxa" w:w="1624"/>
          </w:tcPr>
          <w:p>
            <w:pPr>
              <w:spacing w:after="20"/>
            </w:pPr>
            <w:r/>
            <w:r>
              <w:rPr>
                <w:sz w:val="18"/>
              </w:rPr>
              <w:t>85.7</w:t>
            </w:r>
          </w:p>
        </w:tc>
      </w:tr>
      <w:tr>
        <w:tc>
          <w:tcPr>
            <w:tcW w:type="dxa" w:w="1624"/>
          </w:tcPr>
          <w:p>
            <w:pPr>
              <w:spacing w:after="20"/>
            </w:pPr>
            <w:r/>
            <w:r>
              <w:rPr>
                <w:sz w:val="18"/>
              </w:rPr>
              <w:t>Mixed population of the five</w:t>
            </w:r>
          </w:p>
        </w:tc>
        <w:tc>
          <w:tcPr>
            <w:tcW w:type="dxa" w:w="1624"/>
          </w:tcPr>
          <w:p>
            <w:pPr>
              <w:spacing w:after="20"/>
            </w:pPr>
            <w:r/>
            <w:r>
              <w:rPr>
                <w:sz w:val="18"/>
              </w:rPr>
              <w:t>9.47</w:t>
            </w:r>
          </w:p>
        </w:tc>
        <w:tc>
          <w:tcPr>
            <w:tcW w:type="dxa" w:w="1624"/>
          </w:tcPr>
          <w:p>
            <w:pPr>
              <w:spacing w:after="20"/>
            </w:pPr>
            <w:r/>
            <w:r>
              <w:rPr>
                <w:sz w:val="18"/>
              </w:rPr>
              <w:t>28.88 (0.002)</w:t>
            </w:r>
          </w:p>
        </w:tc>
        <w:tc>
          <w:tcPr>
            <w:tcW w:type="dxa" w:w="1624"/>
          </w:tcPr>
          <w:p>
            <w:pPr>
              <w:spacing w:after="20"/>
            </w:pPr>
            <w:r/>
            <w:r>
              <w:rPr>
                <w:sz w:val="18"/>
              </w:rPr>
              <w:t>14.06 (0.033)</w:t>
            </w:r>
          </w:p>
        </w:tc>
        <w:tc>
          <w:tcPr>
            <w:tcW w:type="dxa" w:w="1624"/>
          </w:tcPr>
          <w:p>
            <w:pPr>
              <w:spacing w:after="20"/>
            </w:pPr>
            <w:r/>
            <w:r>
              <w:rPr>
                <w:sz w:val="18"/>
              </w:rPr>
              <w:t>82.0</w:t>
            </w:r>
          </w:p>
        </w:tc>
        <w:tc>
          <w:tcPr>
            <w:tcW w:type="dxa" w:w="1624"/>
          </w:tcPr>
          <w:p>
            <w:pPr>
              <w:spacing w:after="20"/>
            </w:pPr>
            <w:r/>
            <w:r>
              <w:rPr>
                <w:sz w:val="18"/>
              </w:rPr>
              <w:t>69.9</w:t>
            </w:r>
          </w:p>
        </w:tc>
      </w:tr>
    </w:tbl>
    <w:p>
      <w:pPr>
        <w:spacing w:after="40"/>
      </w:pPr>
    </w:p>
    <w:p>
      <w:r>
        <w:t>AURA had the lowest regret in all ten scenarios. It was significantly better than the static app in nine of ten (not when children have no clear preferences, where there is little to find) and than the heuristic baseline in six of ten (not when preferences are weak, very strong or absent). p-values are raw paired Wilcoxon tests, not corrected for the ten scenarios. AURA's retention was higher than the heuristic baseline's in nine of ten scenarios but lower when preferences are strong (91.3 vs 93.0), so a retention advantage over the heuristic is not claimed.</w:t>
      </w:r>
    </w:p>
    <w:p>
      <w:pPr>
        <w:pStyle w:val="Heading2"/>
      </w:pPr>
      <w:r>
        <w:t>7. Experiments for C2 and C3</w:t>
      </w:r>
    </w:p>
    <w:p>
      <w:pPr>
        <w:pStyle w:val="Heading3"/>
      </w:pPr>
      <w:r>
        <w:t>7.1 Data and protocol</w:t>
      </w:r>
    </w:p>
    <w:p>
      <w:r>
        <w:t>Saliency4ASD [8, 9]: 300 images (from MIT1003), each viewed for 3 s by 14 autistic and 14 typically developing children aged 5–12 (Tobii T120), with fixation points, fixation density maps and 924 object boxes (face, people, animal, object, hand, building, car, text, food…). Five-fold cross-validation with fixed seeds: each fold trains on 240 images and tests on 60 never seen in training; all 300 are tested. Models compared on identical folds: centre bias (mean training fixation map), spectral residual (a classic bottom-up saliency model), TD-only, ASD-only and Dual (ours). Metrics: AUC-Judd, shuffled AUC, NSS, CC, SIM, KLD (Bylinskii et al.), computed at original resolution against each group's real gaze.</w:t>
      </w:r>
    </w:p>
    <w:p>
      <w:pPr>
        <w:pStyle w:val="Heading3"/>
      </w:pPr>
      <w:r>
        <w:t>7.2 Predicting autistic children's gaze (held-out images)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4E9F2"/>
          </w:tcPr>
          <w:p>
            <w:pPr>
              <w:spacing w:after="20"/>
            </w:pPr>
            <w:r>
              <w:rPr>
                <w:b/>
              </w:rPr>
            </w:r>
            <w:r>
              <w:rPr>
                <w:b/>
                <w:sz w:val="18"/>
              </w:rPr>
              <w:t>Model</w:t>
            </w:r>
          </w:p>
        </w:tc>
        <w:tc>
          <w:tcPr>
            <w:tcW w:type="dxa" w:w="1392"/>
            <w:shd w:val="clear" w:color="auto" w:fill="E4E9F2"/>
          </w:tcPr>
          <w:p>
            <w:pPr>
              <w:spacing w:after="20"/>
            </w:pPr>
            <w:r>
              <w:rPr>
                <w:b/>
              </w:rPr>
            </w:r>
            <w:r>
              <w:rPr>
                <w:b/>
                <w:sz w:val="18"/>
              </w:rPr>
              <w:t>AUC-J ↑</w:t>
            </w:r>
          </w:p>
        </w:tc>
        <w:tc>
          <w:tcPr>
            <w:tcW w:type="dxa" w:w="1392"/>
            <w:shd w:val="clear" w:color="auto" w:fill="E4E9F2"/>
          </w:tcPr>
          <w:p>
            <w:pPr>
              <w:spacing w:after="20"/>
            </w:pPr>
            <w:r>
              <w:rPr>
                <w:b/>
              </w:rPr>
            </w:r>
            <w:r>
              <w:rPr>
                <w:b/>
                <w:sz w:val="18"/>
              </w:rPr>
              <w:t>sAUC ↑</w:t>
            </w:r>
          </w:p>
        </w:tc>
        <w:tc>
          <w:tcPr>
            <w:tcW w:type="dxa" w:w="1392"/>
            <w:shd w:val="clear" w:color="auto" w:fill="E4E9F2"/>
          </w:tcPr>
          <w:p>
            <w:pPr>
              <w:spacing w:after="20"/>
            </w:pPr>
            <w:r>
              <w:rPr>
                <w:b/>
              </w:rPr>
            </w:r>
            <w:r>
              <w:rPr>
                <w:b/>
                <w:sz w:val="18"/>
              </w:rPr>
              <w:t>NSS ↑</w:t>
            </w:r>
          </w:p>
        </w:tc>
        <w:tc>
          <w:tcPr>
            <w:tcW w:type="dxa" w:w="1392"/>
            <w:shd w:val="clear" w:color="auto" w:fill="E4E9F2"/>
          </w:tcPr>
          <w:p>
            <w:pPr>
              <w:spacing w:after="20"/>
            </w:pPr>
            <w:r>
              <w:rPr>
                <w:b/>
              </w:rPr>
            </w:r>
            <w:r>
              <w:rPr>
                <w:b/>
                <w:sz w:val="18"/>
              </w:rPr>
              <w:t>CC ↑</w:t>
            </w:r>
          </w:p>
        </w:tc>
        <w:tc>
          <w:tcPr>
            <w:tcW w:type="dxa" w:w="1392"/>
            <w:shd w:val="clear" w:color="auto" w:fill="E4E9F2"/>
          </w:tcPr>
          <w:p>
            <w:pPr>
              <w:spacing w:after="20"/>
            </w:pPr>
            <w:r>
              <w:rPr>
                <w:b/>
              </w:rPr>
            </w:r>
            <w:r>
              <w:rPr>
                <w:b/>
                <w:sz w:val="18"/>
              </w:rPr>
              <w:t>SIM ↑</w:t>
            </w:r>
          </w:p>
        </w:tc>
        <w:tc>
          <w:tcPr>
            <w:tcW w:type="dxa" w:w="1392"/>
            <w:shd w:val="clear" w:color="auto" w:fill="E4E9F2"/>
          </w:tcPr>
          <w:p>
            <w:pPr>
              <w:spacing w:after="20"/>
            </w:pPr>
            <w:r>
              <w:rPr>
                <w:b/>
              </w:rPr>
            </w:r>
            <w:r>
              <w:rPr>
                <w:b/>
                <w:sz w:val="18"/>
              </w:rPr>
              <w:t>KLD ↓</w:t>
            </w:r>
          </w:p>
        </w:tc>
      </w:tr>
      <w:tr>
        <w:tc>
          <w:tcPr>
            <w:tcW w:type="dxa" w:w="1392"/>
          </w:tcPr>
          <w:p>
            <w:pPr>
              <w:spacing w:after="20"/>
            </w:pPr>
            <w:r/>
            <w:r>
              <w:rPr>
                <w:sz w:val="18"/>
              </w:rPr>
              <w:t>Centre bias</w:t>
            </w:r>
          </w:p>
        </w:tc>
        <w:tc>
          <w:tcPr>
            <w:tcW w:type="dxa" w:w="1392"/>
          </w:tcPr>
          <w:p>
            <w:pPr>
              <w:spacing w:after="20"/>
            </w:pPr>
            <w:r/>
            <w:r>
              <w:rPr>
                <w:sz w:val="18"/>
              </w:rPr>
              <w:t>0.787</w:t>
            </w:r>
          </w:p>
        </w:tc>
        <w:tc>
          <w:tcPr>
            <w:tcW w:type="dxa" w:w="1392"/>
          </w:tcPr>
          <w:p>
            <w:pPr>
              <w:spacing w:after="20"/>
            </w:pPr>
            <w:r/>
            <w:r>
              <w:rPr>
                <w:sz w:val="18"/>
              </w:rPr>
              <w:t>0.509</w:t>
            </w:r>
          </w:p>
        </w:tc>
        <w:tc>
          <w:tcPr>
            <w:tcW w:type="dxa" w:w="1392"/>
          </w:tcPr>
          <w:p>
            <w:pPr>
              <w:spacing w:after="20"/>
            </w:pPr>
            <w:r/>
            <w:r>
              <w:rPr>
                <w:sz w:val="18"/>
              </w:rPr>
              <w:t>1.166</w:t>
            </w:r>
          </w:p>
        </w:tc>
        <w:tc>
          <w:tcPr>
            <w:tcW w:type="dxa" w:w="1392"/>
          </w:tcPr>
          <w:p>
            <w:pPr>
              <w:spacing w:after="20"/>
            </w:pPr>
            <w:r/>
            <w:r>
              <w:rPr>
                <w:sz w:val="18"/>
              </w:rPr>
              <w:t>0.634</w:t>
            </w:r>
          </w:p>
        </w:tc>
        <w:tc>
          <w:tcPr>
            <w:tcW w:type="dxa" w:w="1392"/>
          </w:tcPr>
          <w:p>
            <w:pPr>
              <w:spacing w:after="20"/>
            </w:pPr>
            <w:r/>
            <w:r>
              <w:rPr>
                <w:sz w:val="18"/>
              </w:rPr>
              <w:t>0.620</w:t>
            </w:r>
          </w:p>
        </w:tc>
        <w:tc>
          <w:tcPr>
            <w:tcW w:type="dxa" w:w="1392"/>
          </w:tcPr>
          <w:p>
            <w:pPr>
              <w:spacing w:after="20"/>
            </w:pPr>
            <w:r/>
            <w:r>
              <w:rPr>
                <w:sz w:val="18"/>
              </w:rPr>
              <w:t>0.508</w:t>
            </w:r>
          </w:p>
        </w:tc>
      </w:tr>
      <w:tr>
        <w:tc>
          <w:tcPr>
            <w:tcW w:type="dxa" w:w="1392"/>
          </w:tcPr>
          <w:p>
            <w:pPr>
              <w:spacing w:after="20"/>
            </w:pPr>
            <w:r/>
            <w:r>
              <w:rPr>
                <w:sz w:val="18"/>
              </w:rPr>
              <w:t>Spectral residual</w:t>
            </w:r>
          </w:p>
        </w:tc>
        <w:tc>
          <w:tcPr>
            <w:tcW w:type="dxa" w:w="1392"/>
          </w:tcPr>
          <w:p>
            <w:pPr>
              <w:spacing w:after="20"/>
            </w:pPr>
            <w:r/>
            <w:r>
              <w:rPr>
                <w:sz w:val="18"/>
              </w:rPr>
              <w:t>0.667</w:t>
            </w:r>
          </w:p>
        </w:tc>
        <w:tc>
          <w:tcPr>
            <w:tcW w:type="dxa" w:w="1392"/>
          </w:tcPr>
          <w:p>
            <w:pPr>
              <w:spacing w:after="20"/>
            </w:pPr>
            <w:r/>
            <w:r>
              <w:rPr>
                <w:sz w:val="18"/>
              </w:rPr>
              <w:t>0.605</w:t>
            </w:r>
          </w:p>
        </w:tc>
        <w:tc>
          <w:tcPr>
            <w:tcW w:type="dxa" w:w="1392"/>
          </w:tcPr>
          <w:p>
            <w:pPr>
              <w:spacing w:after="20"/>
            </w:pPr>
            <w:r/>
            <w:r>
              <w:rPr>
                <w:sz w:val="18"/>
              </w:rPr>
              <w:t>0.608</w:t>
            </w:r>
          </w:p>
        </w:tc>
        <w:tc>
          <w:tcPr>
            <w:tcW w:type="dxa" w:w="1392"/>
          </w:tcPr>
          <w:p>
            <w:pPr>
              <w:spacing w:after="20"/>
            </w:pPr>
            <w:r/>
            <w:r>
              <w:rPr>
                <w:sz w:val="18"/>
              </w:rPr>
              <w:t>0.285</w:t>
            </w:r>
          </w:p>
        </w:tc>
        <w:tc>
          <w:tcPr>
            <w:tcW w:type="dxa" w:w="1392"/>
          </w:tcPr>
          <w:p>
            <w:pPr>
              <w:spacing w:after="20"/>
            </w:pPr>
            <w:r/>
            <w:r>
              <w:rPr>
                <w:sz w:val="18"/>
              </w:rPr>
              <w:t>0.470</w:t>
            </w:r>
          </w:p>
        </w:tc>
        <w:tc>
          <w:tcPr>
            <w:tcW w:type="dxa" w:w="1392"/>
          </w:tcPr>
          <w:p>
            <w:pPr>
              <w:spacing w:after="20"/>
            </w:pPr>
            <w:r/>
            <w:r>
              <w:rPr>
                <w:sz w:val="18"/>
              </w:rPr>
              <w:t>0.939</w:t>
            </w:r>
          </w:p>
        </w:tc>
      </w:tr>
      <w:tr>
        <w:tc>
          <w:tcPr>
            <w:tcW w:type="dxa" w:w="1392"/>
          </w:tcPr>
          <w:p>
            <w:pPr>
              <w:spacing w:after="20"/>
            </w:pPr>
            <w:r/>
            <w:r>
              <w:rPr>
                <w:sz w:val="18"/>
              </w:rPr>
              <w:t>TD-only</w:t>
            </w:r>
          </w:p>
        </w:tc>
        <w:tc>
          <w:tcPr>
            <w:tcW w:type="dxa" w:w="1392"/>
          </w:tcPr>
          <w:p>
            <w:pPr>
              <w:spacing w:after="20"/>
            </w:pPr>
            <w:r/>
            <w:r>
              <w:rPr>
                <w:sz w:val="18"/>
              </w:rPr>
              <w:t>0.826</w:t>
            </w:r>
          </w:p>
        </w:tc>
        <w:tc>
          <w:tcPr>
            <w:tcW w:type="dxa" w:w="1392"/>
          </w:tcPr>
          <w:p>
            <w:pPr>
              <w:spacing w:after="20"/>
            </w:pPr>
            <w:r/>
            <w:r>
              <w:rPr>
                <w:sz w:val="18"/>
              </w:rPr>
              <w:t>0.631</w:t>
            </w:r>
          </w:p>
        </w:tc>
        <w:tc>
          <w:tcPr>
            <w:tcW w:type="dxa" w:w="1392"/>
          </w:tcPr>
          <w:p>
            <w:pPr>
              <w:spacing w:after="20"/>
            </w:pPr>
            <w:r/>
            <w:r>
              <w:rPr>
                <w:sz w:val="18"/>
              </w:rPr>
              <w:t>1.791</w:t>
            </w:r>
          </w:p>
        </w:tc>
        <w:tc>
          <w:tcPr>
            <w:tcW w:type="dxa" w:w="1392"/>
          </w:tcPr>
          <w:p>
            <w:pPr>
              <w:spacing w:after="20"/>
            </w:pPr>
            <w:r/>
            <w:r>
              <w:rPr>
                <w:sz w:val="18"/>
              </w:rPr>
              <w:t>0.808</w:t>
            </w:r>
          </w:p>
        </w:tc>
        <w:tc>
          <w:tcPr>
            <w:tcW w:type="dxa" w:w="1392"/>
          </w:tcPr>
          <w:p>
            <w:pPr>
              <w:spacing w:after="20"/>
            </w:pPr>
            <w:r/>
            <w:r>
              <w:rPr>
                <w:sz w:val="18"/>
              </w:rPr>
              <w:t>0.704</w:t>
            </w:r>
          </w:p>
        </w:tc>
        <w:tc>
          <w:tcPr>
            <w:tcW w:type="dxa" w:w="1392"/>
          </w:tcPr>
          <w:p>
            <w:pPr>
              <w:spacing w:after="20"/>
            </w:pPr>
            <w:r/>
            <w:r>
              <w:rPr>
                <w:sz w:val="18"/>
              </w:rPr>
              <w:t>0.381</w:t>
            </w:r>
          </w:p>
        </w:tc>
      </w:tr>
      <w:tr>
        <w:tc>
          <w:tcPr>
            <w:tcW w:type="dxa" w:w="1392"/>
          </w:tcPr>
          <w:p>
            <w:pPr>
              <w:spacing w:after="20"/>
            </w:pPr>
            <w:r/>
            <w:r>
              <w:rPr>
                <w:sz w:val="18"/>
              </w:rPr>
              <w:t>ASD-only</w:t>
            </w:r>
          </w:p>
        </w:tc>
        <w:tc>
          <w:tcPr>
            <w:tcW w:type="dxa" w:w="1392"/>
          </w:tcPr>
          <w:p>
            <w:pPr>
              <w:spacing w:after="20"/>
            </w:pPr>
            <w:r/>
            <w:r>
              <w:rPr>
                <w:sz w:val="18"/>
              </w:rPr>
              <w:t>0.829</w:t>
            </w:r>
          </w:p>
        </w:tc>
        <w:tc>
          <w:tcPr>
            <w:tcW w:type="dxa" w:w="1392"/>
          </w:tcPr>
          <w:p>
            <w:pPr>
              <w:spacing w:after="20"/>
            </w:pPr>
            <w:r/>
            <w:r>
              <w:rPr>
                <w:sz w:val="18"/>
              </w:rPr>
              <w:t>0.644</w:t>
            </w:r>
          </w:p>
        </w:tc>
        <w:tc>
          <w:tcPr>
            <w:tcW w:type="dxa" w:w="1392"/>
          </w:tcPr>
          <w:p>
            <w:pPr>
              <w:spacing w:after="20"/>
            </w:pPr>
            <w:r/>
            <w:r>
              <w:rPr>
                <w:sz w:val="18"/>
              </w:rPr>
              <w:t>1.758</w:t>
            </w:r>
          </w:p>
        </w:tc>
        <w:tc>
          <w:tcPr>
            <w:tcW w:type="dxa" w:w="1392"/>
          </w:tcPr>
          <w:p>
            <w:pPr>
              <w:spacing w:after="20"/>
            </w:pPr>
            <w:r/>
            <w:r>
              <w:rPr>
                <w:sz w:val="18"/>
              </w:rPr>
              <w:t>0.816</w:t>
            </w:r>
          </w:p>
        </w:tc>
        <w:tc>
          <w:tcPr>
            <w:tcW w:type="dxa" w:w="1392"/>
          </w:tcPr>
          <w:p>
            <w:pPr>
              <w:spacing w:after="20"/>
            </w:pPr>
            <w:r/>
            <w:r>
              <w:rPr>
                <w:sz w:val="18"/>
              </w:rPr>
              <w:t>0.717</w:t>
            </w:r>
          </w:p>
        </w:tc>
        <w:tc>
          <w:tcPr>
            <w:tcW w:type="dxa" w:w="1392"/>
          </w:tcPr>
          <w:p>
            <w:pPr>
              <w:spacing w:after="20"/>
            </w:pPr>
            <w:r/>
            <w:r>
              <w:rPr>
                <w:sz w:val="18"/>
              </w:rPr>
              <w:t>0.329</w:t>
            </w:r>
          </w:p>
        </w:tc>
      </w:tr>
      <w:tr>
        <w:tc>
          <w:tcPr>
            <w:tcW w:type="dxa" w:w="1392"/>
          </w:tcPr>
          <w:p>
            <w:pPr>
              <w:spacing w:after="20"/>
            </w:pPr>
            <w:r/>
            <w:r>
              <w:rPr>
                <w:b/>
                <w:sz w:val="18"/>
              </w:rPr>
              <w:t>Dual, ASD head</w:t>
            </w:r>
          </w:p>
        </w:tc>
        <w:tc>
          <w:tcPr>
            <w:tcW w:type="dxa" w:w="1392"/>
          </w:tcPr>
          <w:p>
            <w:pPr>
              <w:spacing w:after="20"/>
            </w:pPr>
            <w:r/>
            <w:r>
              <w:rPr>
                <w:b/>
                <w:sz w:val="18"/>
              </w:rPr>
              <w:t>0.831</w:t>
            </w:r>
          </w:p>
        </w:tc>
        <w:tc>
          <w:tcPr>
            <w:tcW w:type="dxa" w:w="1392"/>
          </w:tcPr>
          <w:p>
            <w:pPr>
              <w:spacing w:after="20"/>
            </w:pPr>
            <w:r/>
            <w:r>
              <w:rPr>
                <w:sz w:val="18"/>
              </w:rPr>
              <w:t>0.642</w:t>
            </w:r>
          </w:p>
        </w:tc>
        <w:tc>
          <w:tcPr>
            <w:tcW w:type="dxa" w:w="1392"/>
          </w:tcPr>
          <w:p>
            <w:pPr>
              <w:spacing w:after="20"/>
            </w:pPr>
            <w:r/>
            <w:r>
              <w:rPr>
                <w:sz w:val="18"/>
              </w:rPr>
              <w:t>1.773</w:t>
            </w:r>
          </w:p>
        </w:tc>
        <w:tc>
          <w:tcPr>
            <w:tcW w:type="dxa" w:w="1392"/>
          </w:tcPr>
          <w:p>
            <w:pPr>
              <w:spacing w:after="20"/>
            </w:pPr>
            <w:r/>
            <w:r>
              <w:rPr>
                <w:b/>
                <w:sz w:val="18"/>
              </w:rPr>
              <w:t>0.824</w:t>
            </w:r>
          </w:p>
        </w:tc>
        <w:tc>
          <w:tcPr>
            <w:tcW w:type="dxa" w:w="1392"/>
          </w:tcPr>
          <w:p>
            <w:pPr>
              <w:spacing w:after="20"/>
            </w:pPr>
            <w:r/>
            <w:r>
              <w:rPr>
                <w:b/>
                <w:sz w:val="18"/>
              </w:rPr>
              <w:t>0.721</w:t>
            </w:r>
          </w:p>
        </w:tc>
        <w:tc>
          <w:tcPr>
            <w:tcW w:type="dxa" w:w="1392"/>
          </w:tcPr>
          <w:p>
            <w:pPr>
              <w:spacing w:after="20"/>
            </w:pPr>
            <w:r/>
            <w:r>
              <w:rPr>
                <w:b/>
                <w:sz w:val="18"/>
              </w:rPr>
              <w:t>0.315</w:t>
            </w:r>
          </w:p>
        </w:tc>
      </w:tr>
    </w:tbl>
    <w:p>
      <w:pPr>
        <w:spacing w:after="40"/>
      </w:pPr>
    </w:p>
    <w:p>
      <w:r>
        <w:t>Paired Wilcoxon tests on per-image scores (Holm-corrected, mean difference [95% bootstrap CI]):</w:t>
      </w:r>
    </w:p>
    <w:p>
      <w:pPr>
        <w:pStyle w:val="ListBullet"/>
      </w:pPr>
      <w:r>
        <w:rPr>
          <w:b/>
        </w:rPr>
        <w:t>Dual vs TD-only:</w:t>
      </w:r>
      <w:r>
        <w:t xml:space="preserve"> significantly better on AUC-J (+0.005 [+0.002, +0.007]), sAUC (+0.012 [+0.008, +0.015]), CC (+0.016 [+0.007, +0.026]), SIM (+0.017 [+0.010, +0.023]) and KLD (−0.066 [−0.082, −0.051]), all p &lt; 0.001. On NSS the TD-only model is marginally better (Dual −0.018 [−0.040, +0.005], Holm p = 0.048).</w:t>
      </w:r>
    </w:p>
    <w:p>
      <w:pPr>
        <w:pStyle w:val="ListBullet"/>
      </w:pPr>
      <w:r>
        <w:rPr>
          <w:b/>
        </w:rPr>
        <w:t>Dual vs ASD-only:</w:t>
      </w:r>
      <w:r>
        <w:t xml:space="preserve"> no significant difference on AUC-J, NSS, CC, SIM or KLD; ASD-only is marginally better on sAUC (Dual −0.002 [−0.004, +0.001], Holm p = 0.024). We do not claim an advantage over training on autistic gaze alone.</w:t>
      </w:r>
    </w:p>
    <w:p>
      <w:pPr>
        <w:pStyle w:val="ListBullet"/>
      </w:pPr>
      <w:r>
        <w:rPr>
          <w:b/>
        </w:rPr>
        <w:t>Dual vs centre bias and spectral residual:</w:t>
      </w:r>
      <w:r>
        <w:t xml:space="preserve"> significantly better on every metric (p &lt; 0.001).</w:t>
      </w:r>
    </w:p>
    <w:p>
      <w:pPr>
        <w:pStyle w:val="ListBullet"/>
      </w:pPr>
      <w:r>
        <w:rPr>
          <w:b/>
        </w:rPr>
        <w:t>Cost of sharing the network:</w:t>
      </w:r>
      <w:r>
        <w:t xml:space="preserve"> on typical children's gaze, Dual's TD head is equal to the TD-only network on sAUC, NSS, CC, SIM and KLD (best case KLD −0.010, Holm p = 0.077) and marginally better on AUC-J (+0.002 [+0.000, +0.003], Holm p = 0.029), so sharing one network costs nothing. Each model's best target is its own group (the TD-only model leads on typical gaze, the autism-trained models on autistic gaze), supporting that attention differs between groups [7].</w:t>
      </w:r>
    </w:p>
    <w:p>
      <w:pPr>
        <w:pStyle w:val="Heading3"/>
      </w:pPr>
      <w:r>
        <w:t>7.3 Object-level target attention (real gaze)</w:t>
      </w:r>
    </w:p>
    <w:p>
      <w:r>
        <w:t>Spearman correlation between a model's predicted share of attention inside an object box and the real share of autistic gaze, over 924 held-out objects: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9F2"/>
          </w:tcPr>
          <w:p>
            <w:pPr>
              <w:spacing w:after="20"/>
            </w:pPr>
            <w:r>
              <w:rPr>
                <w:b/>
              </w:rPr>
            </w:r>
            <w:r>
              <w:rPr>
                <w:b/>
                <w:sz w:val="18"/>
              </w:rPr>
              <w:t>Model</w:t>
            </w:r>
          </w:p>
        </w:tc>
        <w:tc>
          <w:tcPr>
            <w:tcW w:type="dxa" w:w="3249"/>
            <w:shd w:val="clear" w:color="auto" w:fill="E4E9F2"/>
          </w:tcPr>
          <w:p>
            <w:pPr>
              <w:spacing w:after="20"/>
            </w:pPr>
            <w:r>
              <w:rPr>
                <w:b/>
              </w:rPr>
            </w:r>
            <w:r>
              <w:rPr>
                <w:b/>
                <w:sz w:val="18"/>
              </w:rPr>
              <w:t>Spearman ρ</w:t>
            </w:r>
          </w:p>
        </w:tc>
        <w:tc>
          <w:tcPr>
            <w:tcW w:type="dxa" w:w="3249"/>
            <w:shd w:val="clear" w:color="auto" w:fill="E4E9F2"/>
          </w:tcPr>
          <w:p>
            <w:pPr>
              <w:spacing w:after="20"/>
            </w:pPr>
            <w:r>
              <w:rPr>
                <w:b/>
              </w:rPr>
            </w:r>
            <w:r>
              <w:rPr>
                <w:b/>
                <w:sz w:val="18"/>
              </w:rPr>
              <w:t>Mean absolute error</w:t>
            </w:r>
          </w:p>
        </w:tc>
      </w:tr>
      <w:tr>
        <w:tc>
          <w:tcPr>
            <w:tcW w:type="dxa" w:w="3249"/>
          </w:tcPr>
          <w:p>
            <w:pPr>
              <w:spacing w:after="20"/>
            </w:pPr>
            <w:r/>
            <w:r>
              <w:rPr>
                <w:sz w:val="18"/>
              </w:rPr>
              <w:t>Centre bias</w:t>
            </w:r>
          </w:p>
        </w:tc>
        <w:tc>
          <w:tcPr>
            <w:tcW w:type="dxa" w:w="3249"/>
          </w:tcPr>
          <w:p>
            <w:pPr>
              <w:spacing w:after="20"/>
            </w:pPr>
            <w:r/>
            <w:r>
              <w:rPr>
                <w:sz w:val="18"/>
              </w:rPr>
              <w:t>0.771</w:t>
            </w:r>
          </w:p>
        </w:tc>
        <w:tc>
          <w:tcPr>
            <w:tcW w:type="dxa" w:w="3249"/>
          </w:tcPr>
          <w:p>
            <w:pPr>
              <w:spacing w:after="20"/>
            </w:pPr>
            <w:r/>
            <w:r>
              <w:rPr>
                <w:sz w:val="18"/>
              </w:rPr>
              <w:t>0.017</w:t>
            </w:r>
          </w:p>
        </w:tc>
      </w:tr>
      <w:tr>
        <w:tc>
          <w:tcPr>
            <w:tcW w:type="dxa" w:w="3249"/>
          </w:tcPr>
          <w:p>
            <w:pPr>
              <w:spacing w:after="20"/>
            </w:pPr>
            <w:r/>
            <w:r>
              <w:rPr>
                <w:sz w:val="18"/>
              </w:rPr>
              <w:t>TD-only</w:t>
            </w:r>
          </w:p>
        </w:tc>
        <w:tc>
          <w:tcPr>
            <w:tcW w:type="dxa" w:w="3249"/>
          </w:tcPr>
          <w:p>
            <w:pPr>
              <w:spacing w:after="20"/>
            </w:pPr>
            <w:r/>
            <w:r>
              <w:rPr>
                <w:sz w:val="18"/>
              </w:rPr>
              <w:t>0.835</w:t>
            </w:r>
          </w:p>
        </w:tc>
        <w:tc>
          <w:tcPr>
            <w:tcW w:type="dxa" w:w="3249"/>
          </w:tcPr>
          <w:p>
            <w:pPr>
              <w:spacing w:after="20"/>
            </w:pPr>
            <w:r/>
            <w:r>
              <w:rPr>
                <w:sz w:val="18"/>
              </w:rPr>
              <w:t>0.013</w:t>
            </w:r>
          </w:p>
        </w:tc>
      </w:tr>
      <w:tr>
        <w:tc>
          <w:tcPr>
            <w:tcW w:type="dxa" w:w="3249"/>
          </w:tcPr>
          <w:p>
            <w:pPr>
              <w:spacing w:after="20"/>
            </w:pPr>
            <w:r/>
            <w:r>
              <w:rPr>
                <w:sz w:val="18"/>
              </w:rPr>
              <w:t>ASD-only</w:t>
            </w:r>
          </w:p>
        </w:tc>
        <w:tc>
          <w:tcPr>
            <w:tcW w:type="dxa" w:w="3249"/>
          </w:tcPr>
          <w:p>
            <w:pPr>
              <w:spacing w:after="20"/>
            </w:pPr>
            <w:r/>
            <w:r>
              <w:rPr>
                <w:sz w:val="18"/>
              </w:rPr>
              <w:t>0.855</w:t>
            </w:r>
          </w:p>
        </w:tc>
        <w:tc>
          <w:tcPr>
            <w:tcW w:type="dxa" w:w="3249"/>
          </w:tcPr>
          <w:p>
            <w:pPr>
              <w:spacing w:after="20"/>
            </w:pPr>
            <w:r/>
            <w:r>
              <w:rPr>
                <w:sz w:val="18"/>
              </w:rPr>
              <w:t>0.012</w:t>
            </w:r>
          </w:p>
        </w:tc>
      </w:tr>
      <w:tr>
        <w:tc>
          <w:tcPr>
            <w:tcW w:type="dxa" w:w="3249"/>
          </w:tcPr>
          <w:p>
            <w:pPr>
              <w:spacing w:after="20"/>
            </w:pPr>
            <w:r/>
            <w:r>
              <w:rPr>
                <w:sz w:val="18"/>
              </w:rPr>
              <w:t>Dual (ASD head)</w:t>
            </w:r>
          </w:p>
        </w:tc>
        <w:tc>
          <w:tcPr>
            <w:tcW w:type="dxa" w:w="3249"/>
          </w:tcPr>
          <w:p>
            <w:pPr>
              <w:spacing w:after="20"/>
            </w:pPr>
            <w:r/>
            <w:r>
              <w:rPr>
                <w:sz w:val="18"/>
              </w:rPr>
              <w:t>0.850</w:t>
            </w:r>
          </w:p>
        </w:tc>
        <w:tc>
          <w:tcPr>
            <w:tcW w:type="dxa" w:w="3249"/>
          </w:tcPr>
          <w:p>
            <w:pPr>
              <w:spacing w:after="20"/>
            </w:pPr>
            <w:r/>
            <w:r>
              <w:rPr>
                <w:sz w:val="18"/>
              </w:rPr>
              <w:t>0.012</w:t>
            </w:r>
          </w:p>
        </w:tc>
      </w:tr>
    </w:tbl>
    <w:p>
      <w:pPr>
        <w:spacing w:after="40"/>
      </w:pPr>
    </w:p>
    <w:p>
      <w:r>
        <w:t>Dual minus TD-only: ρ difference 95% CI [+0.003, +0.029], i.e. a small but significant improvement.</w:t>
      </w:r>
    </w:p>
    <w:p>
      <w:r>
        <w:rPr>
          <w:b/>
        </w:rPr>
        <w:t>Negative result (not a contribution).</w:t>
      </w:r>
      <w:r>
        <w:t xml:space="preserve"> The difference head was meant to predict where autistic and typical attention diverge. Against the real per-object gap, Dual's ASD-minus-TD prediction gave ρ = 0.180 versus 0.245 for two separately trained networks (difference CI [−0.127, −0.002]); the explicit difference head is therefore not better than the simpler approach. Its practical value is only that one network serves both groups. Per-object share comparisons between groups should not be read as "autistic children look more at faces": autistic gaze is more dispersed overall, which inflates their share on small objects.</w:t>
      </w:r>
    </w:p>
    <w:p>
      <w:pPr>
        <w:pStyle w:val="Heading3"/>
      </w:pPr>
      <w:r>
        <w:t>7.4 Editing (C3)</w:t>
      </w:r>
    </w:p>
    <w:p>
      <w:r>
        <w:t>On 272 held-out non-human target objects (animal, object, car, food, plant, vehicle), edits were chosen with the fold's Dual model and scored by an independent judge, the same fold's ASD-only network, which never saw the image and was not used to make the edit. Predicted share of autistic attention on the target: 0.030 before → 0.066 after (mean gain 95% CI [+0.029, +0.043], Wilcoxon p &lt; 0.001); 90% of targets gained. Strengths used: 0.25 (5), 0.5 (31), 0.75 (99), 1.0 (137). This is a model's prediction on edited images; it is not eye-tracking evidence.</w:t>
      </w:r>
    </w:p>
    <w:p>
      <w:pPr>
        <w:pStyle w:val="Heading2"/>
      </w:pPr>
      <w:r>
        <w:t>8. Putting it together, and the claim we can make</w:t>
      </w:r>
    </w:p>
    <w:p>
      <w:r>
        <w:t>The ONNX model (97 MB) predicts an attention map for any picture in about 115 ms on a laptop CPU and needs no camera: it sees only the picture, never the child. It can be used in the backend to rank candidate interest photos by target-attention score and to soften distracting backgrounds, with C1 then testing per child, from the child's own answers, whether the edited or original picture helps. That last step is designed but not yet integrated or piloted.</w:t>
      </w:r>
    </w:p>
    <w:p>
      <w:r>
        <w:rPr>
          <w:b/>
        </w:rPr>
        <w:t>Claim supported by the data:</w:t>
      </w:r>
      <w:r>
        <w:t xml:space="preserve"> an autism-specific attention model, validated on real held-out autistic gaze, outperforms a general children's-attention model and can be used to alter learning images to concentrate predicted attention on the teaching target; and an engine that randomizes and tests options inside each child's own sessions finds each child's best options more reliably and calmly than adaptive baselines in simulation.</w:t>
      </w:r>
    </w:p>
    <w:p>
      <w:pPr>
        <w:pStyle w:val="Heading2"/>
      </w:pPr>
      <w:r>
        <w:t>9. Limitations and threats to validity</w:t>
      </w:r>
    </w:p>
    <w:p>
      <w:pPr>
        <w:pStyle w:val="ListNumber"/>
      </w:pPr>
      <w:r>
        <w:t>C1 evidence is from simulated children (hidden ground truth) and one replayed published case; no real-child data yet. Effect-size ranges in the simulator are plausible, not fitted; a sensitivity analysis (halving and doubling effects) should be added.</w:t>
      </w:r>
    </w:p>
    <w:p>
      <w:pPr>
        <w:pStyle w:val="ListNumber"/>
      </w:pPr>
      <w:r>
        <w:t>The editing result is a model prediction. Confirmation needs eye-tracking or learning outcomes with children (pilot, ethics approval).</w:t>
      </w:r>
    </w:p>
    <w:p>
      <w:pPr>
        <w:pStyle w:val="ListNumber"/>
      </w:pPr>
      <w:r>
        <w:t>The attention model predicts the average autistic child (14 children), not an individual; the dataset is small (300 images).</w:t>
      </w:r>
    </w:p>
    <w:p>
      <w:pPr>
        <w:pStyle w:val="ListNumber"/>
      </w:pPr>
      <w:r>
        <w:t>The 'hierarchical prior' is a fixed Beta(2,2); removing it changed nothing (p = 0.34), so it is described as weakly informative.</w:t>
      </w:r>
    </w:p>
    <w:p>
      <w:pPr>
        <w:pStyle w:val="ListNumber"/>
      </w:pPr>
      <w:r>
        <w:t>The distress safety layer never triggered in simulation; stress-test with a high-distress population before claiming it adds safety.</w:t>
      </w:r>
    </w:p>
    <w:p>
      <w:pPr>
        <w:pStyle w:val="ListNumber"/>
      </w:pPr>
      <w:r>
        <w:t>The engine's Thompson-sampling step previously counted the prior twice; this was fixed and every simulation study was re-run, so all §6 numbers come from the corrected engine.</w:t>
      </w:r>
    </w:p>
    <w:p>
      <w:pPr>
        <w:pStyle w:val="ListNumber"/>
      </w:pPr>
      <w:r>
        <w:t>Adaptive difficulty is active in the engine but its effect on learning is not measured, because the simulated child does not model difficulty; GenAI assistance has not been evaluated (§6.4, §6.7). No retention advantage over the heuristic adaptive baseline is claimed (§6.3, §6.8).</w:t>
      </w:r>
    </w:p>
    <w:p>
      <w:pPr>
        <w:pStyle w:val="ListNumber"/>
      </w:pPr>
      <w:r>
        <w:t>Published scores of related autism saliency models were not compared on our protocol.</w:t>
      </w:r>
    </w:p>
    <w:p>
      <w:pPr>
        <w:pStyle w:val="ListNumber"/>
      </w:pPr>
      <w:r>
        <w:t>No camera, video or eye tracking of the app's users is used; the consent form should say so (the unused camera switch in the Privacy screen should be removed).</w:t>
      </w:r>
    </w:p>
    <w:p>
      <w:pPr>
        <w:pStyle w:val="Heading2"/>
      </w:pPr>
      <w:r>
        <w:t>10. Reproducibility</w:t>
      </w:r>
    </w:p>
    <w:p>
      <w:pPr>
        <w:pStyle w:val="ListBullet"/>
      </w:pPr>
      <w:r>
        <w:t xml:space="preserve">Simulation studies: </w:t>
      </w:r>
      <w:r>
        <w:rPr>
          <w:rFonts w:ascii="Consolas" w:hAnsi="Consolas"/>
          <w:sz w:val="20"/>
        </w:rPr>
        <w:t>research/</w:t>
      </w:r>
      <w:r>
        <w:t xml:space="preserve"> (</w:t>
      </w:r>
      <w:r>
        <w:rPr>
          <w:rFonts w:ascii="Consolas" w:hAnsi="Consolas"/>
          <w:sz w:val="20"/>
        </w:rPr>
        <w:t>run_simulation_study.py</w:t>
      </w:r>
      <w:r>
        <w:t xml:space="preserve">, </w:t>
      </w:r>
      <w:r>
        <w:rPr>
          <w:rFonts w:ascii="Consolas" w:hAnsi="Consolas"/>
          <w:sz w:val="20"/>
        </w:rPr>
        <w:t>run_ablation_study.py</w:t>
      </w:r>
      <w:r>
        <w:t xml:space="preserve">, </w:t>
      </w:r>
      <w:r>
        <w:rPr>
          <w:rFonts w:ascii="Consolas" w:hAnsi="Consolas"/>
          <w:sz w:val="20"/>
        </w:rPr>
        <w:t>run_significance.py</w:t>
      </w:r>
      <w:r>
        <w:t xml:space="preserve">, </w:t>
      </w:r>
      <w:r>
        <w:rPr>
          <w:rFonts w:ascii="Consolas" w:hAnsi="Consolas"/>
          <w:sz w:val="20"/>
        </w:rPr>
        <w:t>run_trace_analysis.py</w:t>
      </w:r>
      <w:r>
        <w:t xml:space="preserve">, </w:t>
      </w:r>
      <w:r>
        <w:rPr>
          <w:rFonts w:ascii="Consolas" w:hAnsi="Consolas"/>
          <w:sz w:val="20"/>
        </w:rPr>
        <w:t>run_learning_outcomes.py</w:t>
      </w:r>
      <w:r>
        <w:t xml:space="preserve">, </w:t>
      </w:r>
      <w:r>
        <w:rPr>
          <w:rFonts w:ascii="Consolas" w:hAnsi="Consolas"/>
          <w:sz w:val="20"/>
        </w:rPr>
        <w:t>run_axis_ablation.py</w:t>
      </w:r>
      <w:r>
        <w:t xml:space="preserve">); results in </w:t>
      </w:r>
      <w:r>
        <w:rPr>
          <w:rFonts w:ascii="Consolas" w:hAnsi="Consolas"/>
          <w:sz w:val="20"/>
        </w:rPr>
        <w:t>research/results/</w:t>
      </w:r>
      <w:r>
        <w:t>.</w:t>
      </w:r>
    </w:p>
    <w:p>
      <w:pPr>
        <w:pStyle w:val="ListBullet"/>
      </w:pPr>
      <w:r>
        <w:t xml:space="preserve">Attention model: </w:t>
      </w:r>
      <w:r>
        <w:rPr>
          <w:rFonts w:ascii="Consolas" w:hAnsi="Consolas"/>
          <w:sz w:val="20"/>
        </w:rPr>
        <w:t>ml/</w:t>
      </w:r>
      <w:r>
        <w:t xml:space="preserve"> (</w:t>
      </w:r>
      <w:r>
        <w:rPr>
          <w:rFonts w:ascii="Consolas" w:hAnsi="Consolas"/>
          <w:sz w:val="20"/>
        </w:rPr>
        <w:t>python -m ml.run_all</w:t>
      </w:r>
      <w:r>
        <w:t xml:space="preserve">; details in </w:t>
      </w:r>
      <w:r>
        <w:rPr>
          <w:rFonts w:ascii="Consolas" w:hAnsi="Consolas"/>
          <w:sz w:val="20"/>
        </w:rPr>
        <w:t>ml/README.md</w:t>
      </w:r>
      <w:r>
        <w:t xml:space="preserve">); results in </w:t>
      </w:r>
      <w:r>
        <w:rPr>
          <w:rFonts w:ascii="Consolas" w:hAnsi="Consolas"/>
          <w:sz w:val="20"/>
        </w:rPr>
        <w:t>ml/results/REPORT.md</w:t>
      </w:r>
      <w:r>
        <w:t xml:space="preserve">, </w:t>
      </w:r>
      <w:r>
        <w:rPr>
          <w:rFonts w:ascii="Consolas" w:hAnsi="Consolas"/>
          <w:sz w:val="20"/>
        </w:rPr>
        <w:t>eval.json</w:t>
      </w:r>
      <w:r>
        <w:t xml:space="preserve">, </w:t>
      </w:r>
      <w:r>
        <w:rPr>
          <w:rFonts w:ascii="Consolas" w:hAnsi="Consolas"/>
          <w:sz w:val="20"/>
        </w:rPr>
        <w:t>analysis.json</w:t>
      </w:r>
      <w:r>
        <w:t>. Dataset (not redistributable) from https://zenodo.org/records/13960426.</w:t>
      </w:r>
    </w:p>
    <w:p>
      <w:pPr>
        <w:pStyle w:val="ListBullet"/>
      </w:pPr>
      <w:r>
        <w:t>Hardware for the reported ML run: NVIDIA GeForce RTX 3050 Laptop GPU, PyTorch 2.11 (CUDA 12.8).</w:t>
      </w:r>
    </w:p>
    <w:p>
      <w:pPr>
        <w:pStyle w:val="Heading2"/>
      </w:pPr>
      <w:r>
        <w:t>11. References (each checked against Crossref or the publisher page)</w:t>
      </w:r>
    </w:p>
    <w:p>
      <w:pPr>
        <w:ind w:left="567" w:hanging="567"/>
      </w:pPr>
      <w:r>
        <w:rPr>
          <w:sz w:val="20"/>
        </w:rPr>
        <w:t xml:space="preserve">[1]  V. Rathod, R. Goudar, S. Sangani, "Unified interpretable AI for autism diagnosis and scalable severity-aware personalized adaptive e-learning," </w:t>
      </w:r>
      <w:r>
        <w:rPr>
          <w:i/>
          <w:sz w:val="20"/>
        </w:rPr>
        <w:t>Discover Applied Sciences</w:t>
      </w:r>
      <w:r>
        <w:rPr>
          <w:sz w:val="20"/>
        </w:rPr>
        <w:t>, vol. 8, art. 349, 2026, doi:10.1007/s42452-026-08335-4.</w:t>
      </w:r>
    </w:p>
    <w:p>
      <w:pPr>
        <w:ind w:left="567" w:hanging="567"/>
      </w:pPr>
      <w:r>
        <w:rPr>
          <w:sz w:val="20"/>
        </w:rPr>
        <w:t xml:space="preserve">[2]  B. Clement, D. Roy, P.-Y. Oudeyer, M. Lopes, "Multi-armed bandits for intelligent tutoring systems," </w:t>
      </w:r>
      <w:r>
        <w:rPr>
          <w:i/>
          <w:sz w:val="20"/>
        </w:rPr>
        <w:t>J. Educational Data Mining</w:t>
      </w:r>
      <w:r>
        <w:rPr>
          <w:sz w:val="20"/>
        </w:rPr>
        <w:t>, vol. 7, no. 2, pp. 20–48, 2015.</w:t>
      </w:r>
    </w:p>
    <w:p>
      <w:pPr>
        <w:ind w:left="567" w:hanging="567"/>
      </w:pPr>
      <w:r>
        <w:rPr>
          <w:sz w:val="20"/>
        </w:rPr>
        <w:t xml:space="preserve">[3]  O. Rudovic, J. Lee, M. Dai, B. Schuller, R. Picard, "Personalized machine learning for robot perception of affect and engagement in autism therapy," </w:t>
      </w:r>
      <w:r>
        <w:rPr>
          <w:i/>
          <w:sz w:val="20"/>
        </w:rPr>
        <w:t>Science Robotics</w:t>
      </w:r>
      <w:r>
        <w:rPr>
          <w:sz w:val="20"/>
        </w:rPr>
        <w:t>, vol. 3, eaao6760, 2018.</w:t>
      </w:r>
    </w:p>
    <w:p>
      <w:pPr>
        <w:ind w:left="567" w:hanging="567"/>
      </w:pPr>
      <w:r>
        <w:rPr>
          <w:sz w:val="20"/>
        </w:rPr>
        <w:t xml:space="preserve">[4]  S. Jain, B. Thiagarajan, Z. Shi, C. Clabaugh, M. Matarić, "Modeling engagement in long-term, in-home socially assistive robot interventions for children with autism spectrum disorders," </w:t>
      </w:r>
      <w:r>
        <w:rPr>
          <w:i/>
          <w:sz w:val="20"/>
        </w:rPr>
        <w:t>Science Robotics</w:t>
      </w:r>
      <w:r>
        <w:rPr>
          <w:sz w:val="20"/>
        </w:rPr>
        <w:t>, vol. 5, eaaz3791, 2020.</w:t>
      </w:r>
    </w:p>
    <w:p>
      <w:pPr>
        <w:ind w:left="567" w:hanging="567"/>
      </w:pPr>
      <w:r>
        <w:rPr>
          <w:sz w:val="20"/>
        </w:rPr>
        <w:t xml:space="preserve">[5]  S. Perochon et al., "Early detection of autism using digital behavioral phenotyping," </w:t>
      </w:r>
      <w:r>
        <w:rPr>
          <w:i/>
          <w:sz w:val="20"/>
        </w:rPr>
        <w:t>Nature Medicine</w:t>
      </w:r>
      <w:r>
        <w:rPr>
          <w:sz w:val="20"/>
        </w:rPr>
        <w:t>, vol. 29, pp. 2489–2497, 2023.</w:t>
      </w:r>
    </w:p>
    <w:p>
      <w:pPr>
        <w:ind w:left="567" w:hanging="567"/>
      </w:pPr>
      <w:r>
        <w:rPr>
          <w:sz w:val="20"/>
        </w:rPr>
        <w:t xml:space="preserve">[6]  H. Öz-Alkoyak, S. Vuran, "Distributed and massed practices in teaching concepts to children with autism," </w:t>
      </w:r>
      <w:r>
        <w:rPr>
          <w:i/>
          <w:sz w:val="20"/>
        </w:rPr>
        <w:t>Ankara Üniv. Eğitim Bilimleri Fak. Özel Eğitim Dergisi</w:t>
      </w:r>
      <w:r>
        <w:rPr>
          <w:sz w:val="20"/>
        </w:rPr>
        <w:t>, vol. 26, no. 3, pp. 331–345, 2025, doi:10.21565/ozelegitimdergisi.1464202.</w:t>
      </w:r>
    </w:p>
    <w:p>
      <w:pPr>
        <w:ind w:left="567" w:hanging="567"/>
      </w:pPr>
      <w:r>
        <w:rPr>
          <w:sz w:val="20"/>
        </w:rPr>
        <w:t xml:space="preserve">[7]  S. Wang et al., "Atypical visual saliency in autism spectrum disorder quantified through model-based eye tracking," </w:t>
      </w:r>
      <w:r>
        <w:rPr>
          <w:i/>
          <w:sz w:val="20"/>
        </w:rPr>
        <w:t>Neuron</w:t>
      </w:r>
      <w:r>
        <w:rPr>
          <w:sz w:val="20"/>
        </w:rPr>
        <w:t>, vol. 88, pp. 604–616, 2015.</w:t>
      </w:r>
    </w:p>
    <w:p>
      <w:pPr>
        <w:ind w:left="567" w:hanging="567"/>
      </w:pPr>
      <w:r>
        <w:rPr>
          <w:sz w:val="20"/>
        </w:rPr>
        <w:t xml:space="preserve">[8]  H. Duan, G. Zhai, X. Min, Z. Che, Y. Fang, X. Yang, J. Gutiérrez, P. Le Callet, "A dataset of eye movements for the children with autism spectrum disorder," </w:t>
      </w:r>
      <w:r>
        <w:rPr>
          <w:i/>
          <w:sz w:val="20"/>
        </w:rPr>
        <w:t>Proc. ACM MMSys</w:t>
      </w:r>
      <w:r>
        <w:rPr>
          <w:sz w:val="20"/>
        </w:rPr>
        <w:t>, pp. 255–260, 2019.</w:t>
      </w:r>
    </w:p>
    <w:p>
      <w:pPr>
        <w:ind w:left="567" w:hanging="567"/>
      </w:pPr>
      <w:r>
        <w:rPr>
          <w:sz w:val="20"/>
        </w:rPr>
        <w:t xml:space="preserve">[9]  J. Gutiérrez, Z. Che, G. Zhai, P. Le Callet, "Saliency4ASD: Challenge, dataset and tools for visual attention modeling for autism spectrum disorder," </w:t>
      </w:r>
      <w:r>
        <w:rPr>
          <w:i/>
          <w:sz w:val="20"/>
        </w:rPr>
        <w:t>Signal Processing: Image Communication</w:t>
      </w:r>
      <w:r>
        <w:rPr>
          <w:sz w:val="20"/>
        </w:rPr>
        <w:t>, vol. 92, 116092, 2021.</w:t>
      </w:r>
    </w:p>
    <w:p>
      <w:pPr>
        <w:ind w:left="567" w:hanging="567"/>
      </w:pPr>
      <w:r>
        <w:rPr>
          <w:sz w:val="20"/>
        </w:rPr>
        <w:t xml:space="preserve">[10]  W. Wei et al., "Predicting atypical visual saliency for autism spectrum disorder via scale-adaptive inception module and discriminative region enhancement loss," </w:t>
      </w:r>
      <w:r>
        <w:rPr>
          <w:i/>
          <w:sz w:val="20"/>
        </w:rPr>
        <w:t>Neurocomputing</w:t>
      </w:r>
      <w:r>
        <w:rPr>
          <w:sz w:val="20"/>
        </w:rPr>
        <w:t>, vol. 453, pp. 610–622, 2021.</w:t>
      </w:r>
    </w:p>
    <w:p>
      <w:pPr>
        <w:ind w:left="567" w:hanging="567"/>
      </w:pPr>
      <w:r>
        <w:rPr>
          <w:sz w:val="20"/>
        </w:rPr>
        <w:t xml:space="preserve">[11]  H. Duan et al., "Atypical Salient Regions Enhancement Network for visual saliency prediction of individuals with autism spectrum disorder," </w:t>
      </w:r>
      <w:r>
        <w:rPr>
          <w:i/>
          <w:sz w:val="20"/>
        </w:rPr>
        <w:t>Signal Processing: Image Communication</w:t>
      </w:r>
      <w:r>
        <w:rPr>
          <w:sz w:val="20"/>
        </w:rPr>
        <w:t>, vol. 115, 116968, 2023.</w:t>
      </w:r>
    </w:p>
    <w:p>
      <w:pPr>
        <w:ind w:left="567" w:hanging="567"/>
      </w:pPr>
      <w:r>
        <w:rPr>
          <w:sz w:val="20"/>
        </w:rPr>
        <w:t xml:space="preserve">[12]  K. Aberman et al., "Deep Saliency Prior for reducing visual distraction," </w:t>
      </w:r>
      <w:r>
        <w:rPr>
          <w:i/>
          <w:sz w:val="20"/>
        </w:rPr>
        <w:t>Proc. IEEE/CVF CVPR</w:t>
      </w:r>
      <w:r>
        <w:rPr>
          <w:sz w:val="20"/>
        </w:rPr>
        <w:t>, pp. 19819–19828, 2022.</w:t>
      </w:r>
    </w:p>
    <w:p>
      <w:pPr>
        <w:ind w:left="567" w:hanging="567"/>
      </w:pPr>
      <w:r>
        <w:rPr>
          <w:sz w:val="20"/>
        </w:rPr>
        <w:t xml:space="preserve">[13]  M. Jiang, S. Huang, J. Duan, Q. Zhao, "SALICON: Saliency in context," </w:t>
      </w:r>
      <w:r>
        <w:rPr>
          <w:i/>
          <w:sz w:val="20"/>
        </w:rPr>
        <w:t>Proc. IEEE CVPR</w:t>
      </w:r>
      <w:r>
        <w:rPr>
          <w:sz w:val="20"/>
        </w:rPr>
        <w:t>, 2015.</w:t>
      </w:r>
    </w:p>
    <w:p>
      <w:pPr>
        <w:ind w:left="567" w:hanging="567"/>
      </w:pPr>
      <w:r>
        <w:rPr>
          <w:sz w:val="20"/>
        </w:rPr>
        <w:t xml:space="preserve">[14]  L. Itti, C. Koch, E. Niebur, "A model of saliency-based visual attention for rapid scene analysis," </w:t>
      </w:r>
      <w:r>
        <w:rPr>
          <w:i/>
          <w:sz w:val="20"/>
        </w:rPr>
        <w:t>IEEE Trans. PAMI</w:t>
      </w:r>
      <w:r>
        <w:rPr>
          <w:sz w:val="20"/>
        </w:rPr>
        <w:t>, vol. 20, no. 11, 1998.</w:t>
      </w:r>
    </w:p>
    <w:p>
      <w:pPr>
        <w:ind w:left="567" w:hanging="567"/>
      </w:pPr>
      <w:r>
        <w:rPr>
          <w:sz w:val="20"/>
        </w:rPr>
        <w:t xml:space="preserve">[15]  Z. Bylinskii, T. Judd, A. Oliva, A. Torralba, F. Durand, "What do different evaluation metrics tell us about saliency models?," </w:t>
      </w:r>
      <w:r>
        <w:rPr>
          <w:i/>
          <w:sz w:val="20"/>
        </w:rPr>
        <w:t>IEEE Trans. PAMI</w:t>
      </w:r>
      <w:r>
        <w:rPr>
          <w:sz w:val="20"/>
        </w:rPr>
        <w:t>, vol. 41, no. 3, 2019 (metric definitions; not re-checked against Crossref in this project).</w:t>
      </w:r>
    </w:p>
    <w:p>
      <w:pPr>
        <w:ind w:left="567" w:hanging="567"/>
      </w:pPr>
      <w:r>
        <w:rPr>
          <w:sz w:val="20"/>
        </w:rPr>
        <w:t xml:space="preserve">[16]  X. Hou, L. Zhang, "Saliency detection: a spectral residual approach," </w:t>
      </w:r>
      <w:r>
        <w:rPr>
          <w:i/>
          <w:sz w:val="20"/>
        </w:rPr>
        <w:t>Proc. IEEE CVPR</w:t>
      </w:r>
      <w:r>
        <w:rPr>
          <w:sz w:val="20"/>
        </w:rPr>
        <w:t>, 2007 (baseline; not re-checked against Crossref in this project).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