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7365D"/>
          <w:sz w:val="48"/>
        </w:rPr>
        <w:t>Solution Architecture</w:t>
      </w:r>
    </w:p>
    <w:p>
      <w:pPr>
        <w:jc w:val="center"/>
      </w:pPr>
      <w:r>
        <w:rPr>
          <w:b/>
          <w:color w:val="2F5597"/>
          <w:sz w:val="40"/>
        </w:rPr>
        <w:t>Procurement, Inventory and Audit Management System</w:t>
      </w:r>
    </w:p>
    <w:p>
      <w:pPr>
        <w:spacing w:before="320"/>
        <w:jc w:val="center"/>
      </w:pPr>
      <w:r>
        <w:rPr>
          <w:i/>
          <w:color w:val="595959"/>
          <w:sz w:val="24"/>
        </w:rPr>
        <w:t>Updated Functional Requirements Edition</w:t>
      </w:r>
    </w:p>
    <w:p>
      <w:pPr>
        <w:spacing w:before="3600"/>
        <w:jc w:val="center"/>
      </w:pPr>
      <w:r>
        <w:rPr>
          <w:color w:val="646464"/>
          <w:sz w:val="20"/>
        </w:rPr>
        <w:t>Architecture diagram and deployment plan are intentionally excluded.</w:t>
      </w:r>
    </w:p>
    <w:p>
      <w:r>
        <w:br w:type="page"/>
      </w:r>
    </w:p>
    <w:p>
      <w:pPr>
        <w:pStyle w:val="Heading1"/>
        <w:keepNext/>
      </w:pPr>
      <w:r>
        <w:t>1. Introduction</w:t>
      </w:r>
    </w:p>
    <w:p>
      <w:pPr>
        <w:spacing w:after="120" w:line="259" w:lineRule="auto"/>
      </w:pPr>
      <w:r>
        <w:t>The Procurement, Inventory and Audit Management System is a centralized web-based platform designed to manage procurement requirements, internal resource utilization, supplier sourcing, contracts, quotations, purchase orders, invoices, shipment validation, finance activities, compliance and reporting.</w:t>
      </w:r>
    </w:p>
    <w:p>
      <w:pPr>
        <w:spacing w:after="120" w:line="259" w:lineRule="auto"/>
      </w:pPr>
      <w:r>
        <w:t>The system first checks whether the required resource is available within the organization. When a resource is available in another department, it can be requested, approved, transferred and allocated without initiating external procurement. When the resource is unavailable internally, the system starts the procurement lifecycle, including requirement submission, RFQ publication, quotation evaluation, supplier selection and purchase-order generation.</w:t>
      </w:r>
    </w:p>
    <w:p>
      <w:pPr>
        <w:spacing w:after="120" w:line="259" w:lineRule="auto"/>
      </w:pPr>
      <w:r>
        <w:t>The application also supports supplier-performance monitoring, contract and SLA management, invoice validation, payment tracking, exception handling, emergency procurement, customer or internal stakeholder feedback and audit monitoring.</w:t>
      </w:r>
    </w:p>
    <w:p>
      <w:pPr>
        <w:spacing w:after="120" w:line="259" w:lineRule="auto"/>
      </w:pPr>
      <w:r>
        <w:t>The frontend will be developed using React, while the backend will use Java Spring Boot services. PostgreSQL will store transactional and master data, and local file handling will maintain procurement and supporting documents.</w:t>
      </w:r>
    </w:p>
    <w:p>
      <w:pPr>
        <w:pStyle w:val="Heading2"/>
        <w:keepNext/>
      </w:pPr>
      <w:r>
        <w:t>1.1 Objectives</w:t>
      </w:r>
    </w:p>
    <w:p>
      <w:pPr>
        <w:spacing w:after="120" w:line="259" w:lineRule="auto"/>
      </w:pPr>
      <w:r>
        <w:t>The main objectives of the system are to:</w:t>
      </w:r>
    </w:p>
    <w:p>
      <w:pPr>
        <w:pStyle w:val="ListBullet"/>
        <w:spacing w:after="40"/>
      </w:pPr>
      <w:r>
        <w:t>Centralize procurement, inventory, finance and compliance processes.</w:t>
      </w:r>
    </w:p>
    <w:p>
      <w:pPr>
        <w:pStyle w:val="ListBullet"/>
        <w:spacing w:after="40"/>
      </w:pPr>
      <w:r>
        <w:t>Encourage reuse of available resources across departments.</w:t>
      </w:r>
    </w:p>
    <w:p>
      <w:pPr>
        <w:pStyle w:val="ListBullet"/>
        <w:spacing w:after="40"/>
      </w:pPr>
      <w:r>
        <w:t>Reduce unnecessary external procurement and operational costs.</w:t>
      </w:r>
    </w:p>
    <w:p>
      <w:pPr>
        <w:pStyle w:val="ListBullet"/>
        <w:spacing w:after="40"/>
      </w:pPr>
      <w:r>
        <w:t>Improve supplier selection and performance monitoring.</w:t>
      </w:r>
    </w:p>
    <w:p>
      <w:pPr>
        <w:pStyle w:val="ListBullet"/>
        <w:spacing w:after="40"/>
      </w:pPr>
      <w:r>
        <w:t>Automate RFQ, quotation and approval workflows.</w:t>
      </w:r>
    </w:p>
    <w:p>
      <w:pPr>
        <w:pStyle w:val="ListBullet"/>
        <w:spacing w:after="40"/>
      </w:pPr>
      <w:r>
        <w:t>Validate invoices against contracts, purchase orders and shipments.</w:t>
      </w:r>
    </w:p>
    <w:p>
      <w:pPr>
        <w:pStyle w:val="ListBullet"/>
        <w:spacing w:after="40"/>
      </w:pPr>
      <w:r>
        <w:t>Detect duplicate invoices, overbilling and unauthorized charges.</w:t>
      </w:r>
    </w:p>
    <w:p>
      <w:pPr>
        <w:pStyle w:val="ListBullet"/>
        <w:spacing w:after="40"/>
      </w:pPr>
      <w:r>
        <w:t>Support emergency procurement through fast-track workflows.</w:t>
      </w:r>
    </w:p>
    <w:p>
      <w:pPr>
        <w:pStyle w:val="ListBullet"/>
        <w:spacing w:after="40"/>
      </w:pPr>
      <w:r>
        <w:t>Improve visibility into inventory, spending and procurement status.</w:t>
      </w:r>
    </w:p>
    <w:p>
      <w:pPr>
        <w:pStyle w:val="ListBullet"/>
        <w:spacing w:after="40"/>
      </w:pPr>
      <w:r>
        <w:t>Maintain audit logs and regulatory compliance.</w:t>
      </w:r>
    </w:p>
    <w:p>
      <w:pPr>
        <w:pStyle w:val="ListBullet"/>
        <w:spacing w:after="40"/>
      </w:pPr>
      <w:r>
        <w:t>Collect feedback from internal customers and departments.</w:t>
      </w:r>
    </w:p>
    <w:p>
      <w:pPr>
        <w:pStyle w:val="ListBullet"/>
        <w:spacing w:after="40"/>
      </w:pPr>
      <w:r>
        <w:t>Provide role-based reports, dashboards and analytics.</w:t>
      </w:r>
    </w:p>
    <w:p>
      <w:pPr>
        <w:pStyle w:val="Heading1"/>
        <w:keepNext/>
      </w:pPr>
      <w:r>
        <w:t>2. Guiding Architectural Principles</w:t>
      </w:r>
    </w:p>
    <w:p>
      <w:pPr>
        <w:pStyle w:val="Heading2"/>
        <w:keepNext/>
      </w:pPr>
      <w:r>
        <w:t>2.1 Modular Design</w:t>
      </w:r>
    </w:p>
    <w:p>
      <w:pPr>
        <w:spacing w:after="120" w:line="259" w:lineRule="auto"/>
      </w:pPr>
      <w:r>
        <w:t>The application shall be divided into separate functional modules such as access management, inventory, procurement, supplier management, contract management, finance, validation, compliance and reporting. Each module shall have clearly defined responsibilities to improve maintainability and future enhancement.</w:t>
      </w:r>
    </w:p>
    <w:p>
      <w:pPr>
        <w:pStyle w:val="Heading2"/>
        <w:keepNext/>
      </w:pPr>
      <w:r>
        <w:t>2.2 Service-Based Architecture</w:t>
      </w:r>
    </w:p>
    <w:p>
      <w:pPr>
        <w:spacing w:after="120" w:line="259" w:lineRule="auto"/>
      </w:pPr>
      <w:r>
        <w:t>The backend shall use Spring Boot services to separate major business capabilities. The services may communicate through secured REST APIs while sharing common security, logging, configuration and validation standards.</w:t>
      </w:r>
    </w:p>
    <w:p>
      <w:pPr>
        <w:pStyle w:val="Heading2"/>
        <w:keepNext/>
      </w:pPr>
      <w:r>
        <w:t>2.3 API-First Design</w:t>
      </w:r>
    </w:p>
    <w:p>
      <w:pPr>
        <w:spacing w:after="120" w:line="259" w:lineRule="auto"/>
      </w:pPr>
      <w:r>
        <w:t>All major application functions shall be exposed through well-defined REST APIs. The React frontend and future external systems shall communicate with the backend using HTTPS and JSON.</w:t>
      </w:r>
    </w:p>
    <w:p>
      <w:pPr>
        <w:pStyle w:val="Heading2"/>
        <w:keepNext/>
      </w:pPr>
      <w:r>
        <w:t>2.4 Security by Design</w:t>
      </w:r>
    </w:p>
    <w:p>
      <w:pPr>
        <w:spacing w:after="120" w:line="259" w:lineRule="auto"/>
      </w:pPr>
      <w:r>
        <w:t>Security shall be implemented across all application layers through secure registration and authentication, JWT-based authentication, role-based access control, password encryption, session management, multi-organization data isolation, input validation and audit logging.</w:t>
      </w:r>
    </w:p>
    <w:p>
      <w:pPr>
        <w:pStyle w:val="Heading2"/>
        <w:keepNext/>
      </w:pPr>
      <w:r>
        <w:t>2.5 Internal Resource Reuse First</w:t>
      </w:r>
    </w:p>
    <w:p>
      <w:pPr>
        <w:spacing w:after="120" w:line="259" w:lineRule="auto"/>
      </w:pPr>
      <w:r>
        <w:t>Before initiating external procurement, the system shall check available resources across warehouses and departments. This principle helps minimize unnecessary purchases and improves resource utilization.</w:t>
      </w:r>
    </w:p>
    <w:p>
      <w:pPr>
        <w:pStyle w:val="Heading2"/>
        <w:keepNext/>
      </w:pPr>
      <w:r>
        <w:t>2.6 Configurable Workflow</w:t>
      </w:r>
    </w:p>
    <w:p>
      <w:pPr>
        <w:spacing w:after="120" w:line="259" w:lineRule="auto"/>
      </w:pPr>
      <w:r>
        <w:t>Approval workflows, escalation levels, procurement thresholds, emergency approvals and exception-resolution processes shall be configurable. The system should support business-rule changes without significant source-code modification.</w:t>
      </w:r>
    </w:p>
    <w:p>
      <w:pPr>
        <w:pStyle w:val="Heading2"/>
        <w:keepNext/>
      </w:pPr>
      <w:r>
        <w:t>2.7 Data Integrity</w:t>
      </w:r>
    </w:p>
    <w:p>
      <w:pPr>
        <w:spacing w:after="120" w:line="259" w:lineRule="auto"/>
      </w:pPr>
      <w:r>
        <w:t>The system shall maintain consistent and accurate data through validation rules, database constraints, transaction management and controlled status transitions. Important procurement records shall not be deleted without authorization.</w:t>
      </w:r>
    </w:p>
    <w:p>
      <w:pPr>
        <w:pStyle w:val="Heading2"/>
        <w:keepNext/>
      </w:pPr>
      <w:r>
        <w:t>2.8 Compliance and Traceability</w:t>
      </w:r>
    </w:p>
    <w:p>
      <w:pPr>
        <w:spacing w:after="120" w:line="259" w:lineRule="auto"/>
      </w:pPr>
      <w:r>
        <w:t>All significant user and system actions shall be recorded. The system shall maintain traceability for approvals, quotation evaluation, supplier selection, resource transfer, invoices, payments and compliance exceptions.</w:t>
      </w:r>
    </w:p>
    <w:p>
      <w:pPr>
        <w:pStyle w:val="Heading2"/>
        <w:keepNext/>
      </w:pPr>
      <w:r>
        <w:t>2.9 Scalability</w:t>
      </w:r>
    </w:p>
    <w:p>
      <w:pPr>
        <w:spacing w:after="120" w:line="259" w:lineRule="auto"/>
      </w:pPr>
      <w:r>
        <w:t>The application shall support an increasing number of users, suppliers, organizations, inventory items, procurement requests, invoices and reports. Functional services should be scalable independently when required.</w:t>
      </w:r>
    </w:p>
    <w:p>
      <w:pPr>
        <w:pStyle w:val="Heading2"/>
        <w:keepNext/>
      </w:pPr>
      <w:r>
        <w:t>2.10 Reusability</w:t>
      </w:r>
    </w:p>
    <w:p>
      <w:pPr>
        <w:spacing w:after="120" w:line="259" w:lineRule="auto"/>
      </w:pPr>
      <w:r>
        <w:t>Common functions such as authentication, notifications, document handling, workflow management, reporting and audit logging shall be reused across different modules.</w:t>
      </w:r>
    </w:p>
    <w:p>
      <w:pPr>
        <w:pStyle w:val="Heading2"/>
        <w:keepNext/>
      </w:pPr>
      <w:r>
        <w:t>2.11 Reliability</w:t>
      </w:r>
    </w:p>
    <w:p>
      <w:pPr>
        <w:spacing w:after="120" w:line="259" w:lineRule="auto"/>
      </w:pPr>
      <w:r>
        <w:t>The system shall use proper exception handling, database transactions, backup procedures and recovery mechanisms to reduce data loss and service disruption.</w:t>
      </w:r>
    </w:p>
    <w:p>
      <w:pPr>
        <w:pStyle w:val="Heading2"/>
        <w:keepNext/>
      </w:pPr>
      <w:r>
        <w:t>2.12 Usability</w:t>
      </w:r>
    </w:p>
    <w:p>
      <w:pPr>
        <w:spacing w:after="120" w:line="259" w:lineRule="auto"/>
      </w:pPr>
      <w:r>
        <w:t>The user interface shall provide simple navigation, role-specific dashboards, clear validation messages and easy status tracking.</w:t>
      </w:r>
    </w:p>
    <w:p>
      <w:pPr>
        <w:pStyle w:val="Heading2"/>
        <w:keepNext/>
      </w:pPr>
      <w:r>
        <w:t>2.13 Maintainability</w:t>
      </w:r>
    </w:p>
    <w:p>
      <w:pPr>
        <w:spacing w:after="120" w:line="259" w:lineRule="auto"/>
      </w:pPr>
      <w:r>
        <w:t>The application shall follow consistent coding standards, documentation, modular implementation, version control and automated testing practices.</w:t>
      </w:r>
    </w:p>
    <w:p>
      <w:pPr>
        <w:pStyle w:val="Heading1"/>
        <w:keepNext/>
      </w:pPr>
      <w:r>
        <w:t>3.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8"/>
            <w:vAlign w:val="center"/>
            <w:tcMar>
              <w:top w:w="90" w:type="dxa"/>
              <w:start w:w="90" w:type="dxa"/>
              <w:bottom w:w="90" w:type="dxa"/>
              <w:end w:w="90" w:type="dxa"/>
            </w:tcMar>
          </w:tcPr>
          <w:p>
            <w:r>
              <w:rPr>
                <w:b/>
                <w:color w:val="FFFFFF"/>
              </w:rPr>
              <w:t>Layer</w:t>
            </w:r>
          </w:p>
        </w:tc>
        <w:tc>
          <w:tcPr>
            <w:tcW w:type="dxa" w:w="3312"/>
            <w:shd w:fill="1F4E78"/>
            <w:vAlign w:val="center"/>
            <w:tcMar>
              <w:top w:w="90" w:type="dxa"/>
              <w:start w:w="90" w:type="dxa"/>
              <w:bottom w:w="90" w:type="dxa"/>
              <w:end w:w="90" w:type="dxa"/>
            </w:tcMar>
          </w:tcPr>
          <w:p>
            <w:r>
              <w:rPr>
                <w:b/>
                <w:color w:val="FFFFFF"/>
              </w:rPr>
              <w:t>Technology</w:t>
            </w:r>
          </w:p>
        </w:tc>
        <w:tc>
          <w:tcPr>
            <w:tcW w:type="dxa" w:w="3312"/>
            <w:shd w:fill="1F4E78"/>
            <w:vAlign w:val="center"/>
            <w:tcMar>
              <w:top w:w="90" w:type="dxa"/>
              <w:start w:w="90" w:type="dxa"/>
              <w:bottom w:w="90" w:type="dxa"/>
              <w:end w:w="90" w:type="dxa"/>
            </w:tcMar>
          </w:tcPr>
          <w:p>
            <w:r>
              <w:rPr>
                <w:b/>
                <w:color w:val="FFFFFF"/>
              </w:rPr>
              <w:t>Purpose</w:t>
            </w:r>
          </w:p>
        </w:tc>
      </w:tr>
      <w:tr>
        <w:tc>
          <w:tcPr>
            <w:tcW w:type="dxa" w:w="3312"/>
            <w:tcMar>
              <w:top w:w="70" w:type="dxa"/>
              <w:start w:w="90" w:type="dxa"/>
              <w:bottom w:w="70" w:type="dxa"/>
              <w:end w:w="90" w:type="dxa"/>
            </w:tcMar>
            <w:vAlign w:val="center"/>
          </w:tcPr>
          <w:p>
            <w:pPr>
              <w:spacing w:after="0"/>
            </w:pPr>
            <w:r>
              <w:rPr>
                <w:sz w:val="19"/>
              </w:rPr>
              <w:t>Frontend</w:t>
            </w:r>
          </w:p>
        </w:tc>
        <w:tc>
          <w:tcPr>
            <w:tcW w:type="dxa" w:w="3312"/>
            <w:tcMar>
              <w:top w:w="70" w:type="dxa"/>
              <w:start w:w="90" w:type="dxa"/>
              <w:bottom w:w="70" w:type="dxa"/>
              <w:end w:w="90" w:type="dxa"/>
            </w:tcMar>
            <w:vAlign w:val="center"/>
          </w:tcPr>
          <w:p>
            <w:pPr>
              <w:spacing w:after="0"/>
            </w:pPr>
            <w:r>
              <w:rPr>
                <w:sz w:val="19"/>
              </w:rPr>
              <w:t>React</w:t>
            </w:r>
          </w:p>
        </w:tc>
        <w:tc>
          <w:tcPr>
            <w:tcW w:type="dxa" w:w="3312"/>
            <w:tcMar>
              <w:top w:w="70" w:type="dxa"/>
              <w:start w:w="90" w:type="dxa"/>
              <w:bottom w:w="70" w:type="dxa"/>
              <w:end w:w="90" w:type="dxa"/>
            </w:tcMar>
            <w:vAlign w:val="center"/>
          </w:tcPr>
          <w:p>
            <w:pPr>
              <w:spacing w:after="0"/>
            </w:pPr>
            <w:r>
              <w:rPr>
                <w:sz w:val="19"/>
              </w:rPr>
              <w:t>Develop the web-based user interface</w:t>
            </w:r>
          </w:p>
        </w:tc>
      </w:tr>
      <w:tr>
        <w:tc>
          <w:tcPr>
            <w:tcW w:type="dxa" w:w="3312"/>
            <w:tcMar>
              <w:top w:w="70" w:type="dxa"/>
              <w:start w:w="90" w:type="dxa"/>
              <w:bottom w:w="70" w:type="dxa"/>
              <w:end w:w="90" w:type="dxa"/>
            </w:tcMar>
            <w:vAlign w:val="center"/>
            <w:shd w:fill="EAF2F8"/>
          </w:tcPr>
          <w:p>
            <w:pPr>
              <w:spacing w:after="0"/>
            </w:pPr>
            <w:r>
              <w:rPr>
                <w:sz w:val="19"/>
              </w:rPr>
              <w:t>Frontend Language</w:t>
            </w:r>
          </w:p>
        </w:tc>
        <w:tc>
          <w:tcPr>
            <w:tcW w:type="dxa" w:w="3312"/>
            <w:tcMar>
              <w:top w:w="70" w:type="dxa"/>
              <w:start w:w="90" w:type="dxa"/>
              <w:bottom w:w="70" w:type="dxa"/>
              <w:end w:w="90" w:type="dxa"/>
            </w:tcMar>
            <w:vAlign w:val="center"/>
            <w:shd w:fill="EAF2F8"/>
          </w:tcPr>
          <w:p>
            <w:pPr>
              <w:spacing w:after="0"/>
            </w:pPr>
            <w:r>
              <w:rPr>
                <w:sz w:val="19"/>
              </w:rPr>
              <w:t>JavaScript or TypeScript</w:t>
            </w:r>
          </w:p>
        </w:tc>
        <w:tc>
          <w:tcPr>
            <w:tcW w:type="dxa" w:w="3312"/>
            <w:tcMar>
              <w:top w:w="70" w:type="dxa"/>
              <w:start w:w="90" w:type="dxa"/>
              <w:bottom w:w="70" w:type="dxa"/>
              <w:end w:w="90" w:type="dxa"/>
            </w:tcMar>
            <w:vAlign w:val="center"/>
            <w:shd w:fill="EAF2F8"/>
          </w:tcPr>
          <w:p>
            <w:pPr>
              <w:spacing w:after="0"/>
            </w:pPr>
            <w:r>
              <w:rPr>
                <w:sz w:val="19"/>
              </w:rPr>
              <w:t>Implement frontend components and logic</w:t>
            </w:r>
          </w:p>
        </w:tc>
      </w:tr>
      <w:tr>
        <w:tc>
          <w:tcPr>
            <w:tcW w:type="dxa" w:w="3312"/>
            <w:tcMar>
              <w:top w:w="70" w:type="dxa"/>
              <w:start w:w="90" w:type="dxa"/>
              <w:bottom w:w="70" w:type="dxa"/>
              <w:end w:w="90" w:type="dxa"/>
            </w:tcMar>
            <w:vAlign w:val="center"/>
          </w:tcPr>
          <w:p>
            <w:pPr>
              <w:spacing w:after="0"/>
            </w:pPr>
            <w:r>
              <w:rPr>
                <w:sz w:val="19"/>
              </w:rPr>
              <w:t>UI Framework</w:t>
            </w:r>
          </w:p>
        </w:tc>
        <w:tc>
          <w:tcPr>
            <w:tcW w:type="dxa" w:w="3312"/>
            <w:tcMar>
              <w:top w:w="70" w:type="dxa"/>
              <w:start w:w="90" w:type="dxa"/>
              <w:bottom w:w="70" w:type="dxa"/>
              <w:end w:w="90" w:type="dxa"/>
            </w:tcMar>
            <w:vAlign w:val="center"/>
          </w:tcPr>
          <w:p>
            <w:pPr>
              <w:spacing w:after="0"/>
            </w:pPr>
            <w:r>
              <w:rPr>
                <w:sz w:val="19"/>
              </w:rPr>
              <w:t>Bootstrap or Material UI</w:t>
            </w:r>
          </w:p>
        </w:tc>
        <w:tc>
          <w:tcPr>
            <w:tcW w:type="dxa" w:w="3312"/>
            <w:tcMar>
              <w:top w:w="70" w:type="dxa"/>
              <w:start w:w="90" w:type="dxa"/>
              <w:bottom w:w="70" w:type="dxa"/>
              <w:end w:w="90" w:type="dxa"/>
            </w:tcMar>
            <w:vAlign w:val="center"/>
          </w:tcPr>
          <w:p>
            <w:pPr>
              <w:spacing w:after="0"/>
            </w:pPr>
            <w:r>
              <w:rPr>
                <w:sz w:val="19"/>
              </w:rPr>
              <w:t>Create responsive forms, tables and dashboards</w:t>
            </w:r>
          </w:p>
        </w:tc>
      </w:tr>
      <w:tr>
        <w:tc>
          <w:tcPr>
            <w:tcW w:type="dxa" w:w="3312"/>
            <w:tcMar>
              <w:top w:w="70" w:type="dxa"/>
              <w:start w:w="90" w:type="dxa"/>
              <w:bottom w:w="70" w:type="dxa"/>
              <w:end w:w="90" w:type="dxa"/>
            </w:tcMar>
            <w:vAlign w:val="center"/>
            <w:shd w:fill="EAF2F8"/>
          </w:tcPr>
          <w:p>
            <w:pPr>
              <w:spacing w:after="0"/>
            </w:pPr>
            <w:r>
              <w:rPr>
                <w:sz w:val="19"/>
              </w:rPr>
              <w:t>Backend</w:t>
            </w:r>
          </w:p>
        </w:tc>
        <w:tc>
          <w:tcPr>
            <w:tcW w:type="dxa" w:w="3312"/>
            <w:tcMar>
              <w:top w:w="70" w:type="dxa"/>
              <w:start w:w="90" w:type="dxa"/>
              <w:bottom w:w="70" w:type="dxa"/>
              <w:end w:w="90" w:type="dxa"/>
            </w:tcMar>
            <w:vAlign w:val="center"/>
            <w:shd w:fill="EAF2F8"/>
          </w:tcPr>
          <w:p>
            <w:pPr>
              <w:spacing w:after="0"/>
            </w:pPr>
            <w:r>
              <w:rPr>
                <w:sz w:val="19"/>
              </w:rPr>
              <w:t>Java and Spring Boot</w:t>
            </w:r>
          </w:p>
        </w:tc>
        <w:tc>
          <w:tcPr>
            <w:tcW w:type="dxa" w:w="3312"/>
            <w:tcMar>
              <w:top w:w="70" w:type="dxa"/>
              <w:start w:w="90" w:type="dxa"/>
              <w:bottom w:w="70" w:type="dxa"/>
              <w:end w:w="90" w:type="dxa"/>
            </w:tcMar>
            <w:vAlign w:val="center"/>
            <w:shd w:fill="EAF2F8"/>
          </w:tcPr>
          <w:p>
            <w:pPr>
              <w:spacing w:after="0"/>
            </w:pPr>
            <w:r>
              <w:rPr>
                <w:sz w:val="19"/>
              </w:rPr>
              <w:t>Implement business logic and REST APIs</w:t>
            </w:r>
          </w:p>
        </w:tc>
      </w:tr>
      <w:tr>
        <w:tc>
          <w:tcPr>
            <w:tcW w:type="dxa" w:w="3312"/>
            <w:tcMar>
              <w:top w:w="70" w:type="dxa"/>
              <w:start w:w="90" w:type="dxa"/>
              <w:bottom w:w="70" w:type="dxa"/>
              <w:end w:w="90" w:type="dxa"/>
            </w:tcMar>
            <w:vAlign w:val="center"/>
          </w:tcPr>
          <w:p>
            <w:pPr>
              <w:spacing w:after="0"/>
            </w:pPr>
            <w:r>
              <w:rPr>
                <w:sz w:val="19"/>
              </w:rPr>
              <w:t>Backend Architecture</w:t>
            </w:r>
          </w:p>
        </w:tc>
        <w:tc>
          <w:tcPr>
            <w:tcW w:type="dxa" w:w="3312"/>
            <w:tcMar>
              <w:top w:w="70" w:type="dxa"/>
              <w:start w:w="90" w:type="dxa"/>
              <w:bottom w:w="70" w:type="dxa"/>
              <w:end w:w="90" w:type="dxa"/>
            </w:tcMar>
            <w:vAlign w:val="center"/>
          </w:tcPr>
          <w:p>
            <w:pPr>
              <w:spacing w:after="0"/>
            </w:pPr>
            <w:r>
              <w:rPr>
                <w:sz w:val="19"/>
              </w:rPr>
              <w:t>Spring Boot services</w:t>
            </w:r>
          </w:p>
        </w:tc>
        <w:tc>
          <w:tcPr>
            <w:tcW w:type="dxa" w:w="3312"/>
            <w:tcMar>
              <w:top w:w="70" w:type="dxa"/>
              <w:start w:w="90" w:type="dxa"/>
              <w:bottom w:w="70" w:type="dxa"/>
              <w:end w:w="90" w:type="dxa"/>
            </w:tcMar>
            <w:vAlign w:val="center"/>
          </w:tcPr>
          <w:p>
            <w:pPr>
              <w:spacing w:after="0"/>
            </w:pPr>
            <w:r>
              <w:rPr>
                <w:sz w:val="19"/>
              </w:rPr>
              <w:t>Separate application modules and business capabilities</w:t>
            </w:r>
          </w:p>
        </w:tc>
      </w:tr>
      <w:tr>
        <w:tc>
          <w:tcPr>
            <w:tcW w:type="dxa" w:w="3312"/>
            <w:tcMar>
              <w:top w:w="70" w:type="dxa"/>
              <w:start w:w="90" w:type="dxa"/>
              <w:bottom w:w="70" w:type="dxa"/>
              <w:end w:w="90" w:type="dxa"/>
            </w:tcMar>
            <w:vAlign w:val="center"/>
            <w:shd w:fill="EAF2F8"/>
          </w:tcPr>
          <w:p>
            <w:pPr>
              <w:spacing w:after="0"/>
            </w:pPr>
            <w:r>
              <w:rPr>
                <w:sz w:val="19"/>
              </w:rPr>
              <w:t>Security</w:t>
            </w:r>
          </w:p>
        </w:tc>
        <w:tc>
          <w:tcPr>
            <w:tcW w:type="dxa" w:w="3312"/>
            <w:tcMar>
              <w:top w:w="70" w:type="dxa"/>
              <w:start w:w="90" w:type="dxa"/>
              <w:bottom w:w="70" w:type="dxa"/>
              <w:end w:w="90" w:type="dxa"/>
            </w:tcMar>
            <w:vAlign w:val="center"/>
            <w:shd w:fill="EAF2F8"/>
          </w:tcPr>
          <w:p>
            <w:pPr>
              <w:spacing w:after="0"/>
            </w:pPr>
            <w:r>
              <w:rPr>
                <w:sz w:val="19"/>
              </w:rPr>
              <w:t>Spring Security</w:t>
            </w:r>
          </w:p>
        </w:tc>
        <w:tc>
          <w:tcPr>
            <w:tcW w:type="dxa" w:w="3312"/>
            <w:tcMar>
              <w:top w:w="70" w:type="dxa"/>
              <w:start w:w="90" w:type="dxa"/>
              <w:bottom w:w="70" w:type="dxa"/>
              <w:end w:w="90" w:type="dxa"/>
            </w:tcMar>
            <w:vAlign w:val="center"/>
            <w:shd w:fill="EAF2F8"/>
          </w:tcPr>
          <w:p>
            <w:pPr>
              <w:spacing w:after="0"/>
            </w:pPr>
            <w:r>
              <w:rPr>
                <w:sz w:val="19"/>
              </w:rPr>
              <w:t>Secure application endpoints</w:t>
            </w:r>
          </w:p>
        </w:tc>
      </w:tr>
      <w:tr>
        <w:tc>
          <w:tcPr>
            <w:tcW w:type="dxa" w:w="3312"/>
            <w:tcMar>
              <w:top w:w="70" w:type="dxa"/>
              <w:start w:w="90" w:type="dxa"/>
              <w:bottom w:w="70" w:type="dxa"/>
              <w:end w:w="90" w:type="dxa"/>
            </w:tcMar>
            <w:vAlign w:val="center"/>
          </w:tcPr>
          <w:p>
            <w:pPr>
              <w:spacing w:after="0"/>
            </w:pPr>
            <w:r>
              <w:rPr>
                <w:sz w:val="19"/>
              </w:rPr>
              <w:t>Authentication</w:t>
            </w:r>
          </w:p>
        </w:tc>
        <w:tc>
          <w:tcPr>
            <w:tcW w:type="dxa" w:w="3312"/>
            <w:tcMar>
              <w:top w:w="70" w:type="dxa"/>
              <w:start w:w="90" w:type="dxa"/>
              <w:bottom w:w="70" w:type="dxa"/>
              <w:end w:w="90" w:type="dxa"/>
            </w:tcMar>
            <w:vAlign w:val="center"/>
          </w:tcPr>
          <w:p>
            <w:pPr>
              <w:spacing w:after="0"/>
            </w:pPr>
            <w:r>
              <w:rPr>
                <w:sz w:val="19"/>
              </w:rPr>
              <w:t>JWT</w:t>
            </w:r>
          </w:p>
        </w:tc>
        <w:tc>
          <w:tcPr>
            <w:tcW w:type="dxa" w:w="3312"/>
            <w:tcMar>
              <w:top w:w="70" w:type="dxa"/>
              <w:start w:w="90" w:type="dxa"/>
              <w:bottom w:w="70" w:type="dxa"/>
              <w:end w:w="90" w:type="dxa"/>
            </w:tcMar>
            <w:vAlign w:val="center"/>
          </w:tcPr>
          <w:p>
            <w:pPr>
              <w:spacing w:after="0"/>
            </w:pPr>
            <w:r>
              <w:rPr>
                <w:sz w:val="19"/>
              </w:rPr>
              <w:t>Provide token-based authentication</w:t>
            </w:r>
          </w:p>
        </w:tc>
      </w:tr>
      <w:tr>
        <w:tc>
          <w:tcPr>
            <w:tcW w:type="dxa" w:w="3312"/>
            <w:tcMar>
              <w:top w:w="70" w:type="dxa"/>
              <w:start w:w="90" w:type="dxa"/>
              <w:bottom w:w="70" w:type="dxa"/>
              <w:end w:w="90" w:type="dxa"/>
            </w:tcMar>
            <w:vAlign w:val="center"/>
            <w:shd w:fill="EAF2F8"/>
          </w:tcPr>
          <w:p>
            <w:pPr>
              <w:spacing w:after="0"/>
            </w:pPr>
            <w:r>
              <w:rPr>
                <w:sz w:val="19"/>
              </w:rPr>
              <w:t>Data Access</w:t>
            </w:r>
          </w:p>
        </w:tc>
        <w:tc>
          <w:tcPr>
            <w:tcW w:type="dxa" w:w="3312"/>
            <w:tcMar>
              <w:top w:w="70" w:type="dxa"/>
              <w:start w:w="90" w:type="dxa"/>
              <w:bottom w:w="70" w:type="dxa"/>
              <w:end w:w="90" w:type="dxa"/>
            </w:tcMar>
            <w:vAlign w:val="center"/>
            <w:shd w:fill="EAF2F8"/>
          </w:tcPr>
          <w:p>
            <w:pPr>
              <w:spacing w:after="0"/>
            </w:pPr>
            <w:r>
              <w:rPr>
                <w:sz w:val="19"/>
              </w:rPr>
              <w:t>Spring Data JPA</w:t>
            </w:r>
          </w:p>
        </w:tc>
        <w:tc>
          <w:tcPr>
            <w:tcW w:type="dxa" w:w="3312"/>
            <w:tcMar>
              <w:top w:w="70" w:type="dxa"/>
              <w:start w:w="90" w:type="dxa"/>
              <w:bottom w:w="70" w:type="dxa"/>
              <w:end w:w="90" w:type="dxa"/>
            </w:tcMar>
            <w:vAlign w:val="center"/>
            <w:shd w:fill="EAF2F8"/>
          </w:tcPr>
          <w:p>
            <w:pPr>
              <w:spacing w:after="0"/>
            </w:pPr>
            <w:r>
              <w:rPr>
                <w:sz w:val="19"/>
              </w:rPr>
              <w:t>Simplify database operations</w:t>
            </w:r>
          </w:p>
        </w:tc>
      </w:tr>
      <w:tr>
        <w:tc>
          <w:tcPr>
            <w:tcW w:type="dxa" w:w="3312"/>
            <w:tcMar>
              <w:top w:w="70" w:type="dxa"/>
              <w:start w:w="90" w:type="dxa"/>
              <w:bottom w:w="70" w:type="dxa"/>
              <w:end w:w="90" w:type="dxa"/>
            </w:tcMar>
            <w:vAlign w:val="center"/>
          </w:tcPr>
          <w:p>
            <w:pPr>
              <w:spacing w:after="0"/>
            </w:pPr>
            <w:r>
              <w:rPr>
                <w:sz w:val="19"/>
              </w:rPr>
              <w:t>Object-Relational Mapping</w:t>
            </w:r>
          </w:p>
        </w:tc>
        <w:tc>
          <w:tcPr>
            <w:tcW w:type="dxa" w:w="3312"/>
            <w:tcMar>
              <w:top w:w="70" w:type="dxa"/>
              <w:start w:w="90" w:type="dxa"/>
              <w:bottom w:w="70" w:type="dxa"/>
              <w:end w:w="90" w:type="dxa"/>
            </w:tcMar>
            <w:vAlign w:val="center"/>
          </w:tcPr>
          <w:p>
            <w:pPr>
              <w:spacing w:after="0"/>
            </w:pPr>
            <w:r>
              <w:rPr>
                <w:sz w:val="19"/>
              </w:rPr>
              <w:t>Hibernate</w:t>
            </w:r>
          </w:p>
        </w:tc>
        <w:tc>
          <w:tcPr>
            <w:tcW w:type="dxa" w:w="3312"/>
            <w:tcMar>
              <w:top w:w="70" w:type="dxa"/>
              <w:start w:w="90" w:type="dxa"/>
              <w:bottom w:w="70" w:type="dxa"/>
              <w:end w:w="90" w:type="dxa"/>
            </w:tcMar>
            <w:vAlign w:val="center"/>
          </w:tcPr>
          <w:p>
            <w:pPr>
              <w:spacing w:after="0"/>
            </w:pPr>
            <w:r>
              <w:rPr>
                <w:sz w:val="19"/>
              </w:rPr>
              <w:t>Map Java entities to database tables</w:t>
            </w:r>
          </w:p>
        </w:tc>
      </w:tr>
      <w:tr>
        <w:tc>
          <w:tcPr>
            <w:tcW w:type="dxa" w:w="3312"/>
            <w:tcMar>
              <w:top w:w="70" w:type="dxa"/>
              <w:start w:w="90" w:type="dxa"/>
              <w:bottom w:w="70" w:type="dxa"/>
              <w:end w:w="90" w:type="dxa"/>
            </w:tcMar>
            <w:vAlign w:val="center"/>
            <w:shd w:fill="EAF2F8"/>
          </w:tcPr>
          <w:p>
            <w:pPr>
              <w:spacing w:after="0"/>
            </w:pPr>
            <w:r>
              <w:rPr>
                <w:sz w:val="19"/>
              </w:rPr>
              <w:t>Database</w:t>
            </w:r>
          </w:p>
        </w:tc>
        <w:tc>
          <w:tcPr>
            <w:tcW w:type="dxa" w:w="3312"/>
            <w:tcMar>
              <w:top w:w="70" w:type="dxa"/>
              <w:start w:w="90" w:type="dxa"/>
              <w:bottom w:w="70" w:type="dxa"/>
              <w:end w:w="90" w:type="dxa"/>
            </w:tcMar>
            <w:vAlign w:val="center"/>
            <w:shd w:fill="EAF2F8"/>
          </w:tcPr>
          <w:p>
            <w:pPr>
              <w:spacing w:after="0"/>
            </w:pPr>
            <w:r>
              <w:rPr>
                <w:sz w:val="19"/>
              </w:rPr>
              <w:t>PostgreSQL</w:t>
            </w:r>
          </w:p>
        </w:tc>
        <w:tc>
          <w:tcPr>
            <w:tcW w:type="dxa" w:w="3312"/>
            <w:tcMar>
              <w:top w:w="70" w:type="dxa"/>
              <w:start w:w="90" w:type="dxa"/>
              <w:bottom w:w="70" w:type="dxa"/>
              <w:end w:w="90" w:type="dxa"/>
            </w:tcMar>
            <w:vAlign w:val="center"/>
            <w:shd w:fill="EAF2F8"/>
          </w:tcPr>
          <w:p>
            <w:pPr>
              <w:spacing w:after="0"/>
            </w:pPr>
            <w:r>
              <w:rPr>
                <w:sz w:val="19"/>
              </w:rPr>
              <w:t>Store transactional and master data</w:t>
            </w:r>
          </w:p>
        </w:tc>
      </w:tr>
      <w:tr>
        <w:tc>
          <w:tcPr>
            <w:tcW w:type="dxa" w:w="3312"/>
            <w:tcMar>
              <w:top w:w="70" w:type="dxa"/>
              <w:start w:w="90" w:type="dxa"/>
              <w:bottom w:w="70" w:type="dxa"/>
              <w:end w:w="90" w:type="dxa"/>
            </w:tcMar>
            <w:vAlign w:val="center"/>
          </w:tcPr>
          <w:p>
            <w:pPr>
              <w:spacing w:after="0"/>
            </w:pPr>
            <w:r>
              <w:rPr>
                <w:sz w:val="19"/>
              </w:rPr>
              <w:t>API Format</w:t>
            </w:r>
          </w:p>
        </w:tc>
        <w:tc>
          <w:tcPr>
            <w:tcW w:type="dxa" w:w="3312"/>
            <w:tcMar>
              <w:top w:w="70" w:type="dxa"/>
              <w:start w:w="90" w:type="dxa"/>
              <w:bottom w:w="70" w:type="dxa"/>
              <w:end w:w="90" w:type="dxa"/>
            </w:tcMar>
            <w:vAlign w:val="center"/>
          </w:tcPr>
          <w:p>
            <w:pPr>
              <w:spacing w:after="0"/>
            </w:pPr>
            <w:r>
              <w:rPr>
                <w:sz w:val="19"/>
              </w:rPr>
              <w:t>REST and JSON</w:t>
            </w:r>
          </w:p>
        </w:tc>
        <w:tc>
          <w:tcPr>
            <w:tcW w:type="dxa" w:w="3312"/>
            <w:tcMar>
              <w:top w:w="70" w:type="dxa"/>
              <w:start w:w="90" w:type="dxa"/>
              <w:bottom w:w="70" w:type="dxa"/>
              <w:end w:w="90" w:type="dxa"/>
            </w:tcMar>
            <w:vAlign w:val="center"/>
          </w:tcPr>
          <w:p>
            <w:pPr>
              <w:spacing w:after="0"/>
            </w:pPr>
            <w:r>
              <w:rPr>
                <w:sz w:val="19"/>
              </w:rPr>
              <w:t>Enable frontend and service communication</w:t>
            </w:r>
          </w:p>
        </w:tc>
      </w:tr>
      <w:tr>
        <w:tc>
          <w:tcPr>
            <w:tcW w:type="dxa" w:w="3312"/>
            <w:tcMar>
              <w:top w:w="70" w:type="dxa"/>
              <w:start w:w="90" w:type="dxa"/>
              <w:bottom w:w="70" w:type="dxa"/>
              <w:end w:w="90" w:type="dxa"/>
            </w:tcMar>
            <w:vAlign w:val="center"/>
            <w:shd w:fill="EAF2F8"/>
          </w:tcPr>
          <w:p>
            <w:pPr>
              <w:spacing w:after="0"/>
            </w:pPr>
            <w:r>
              <w:rPr>
                <w:sz w:val="19"/>
              </w:rPr>
              <w:t>API Documentation</w:t>
            </w:r>
          </w:p>
        </w:tc>
        <w:tc>
          <w:tcPr>
            <w:tcW w:type="dxa" w:w="3312"/>
            <w:tcMar>
              <w:top w:w="70" w:type="dxa"/>
              <w:start w:w="90" w:type="dxa"/>
              <w:bottom w:w="70" w:type="dxa"/>
              <w:end w:w="90" w:type="dxa"/>
            </w:tcMar>
            <w:vAlign w:val="center"/>
            <w:shd w:fill="EAF2F8"/>
          </w:tcPr>
          <w:p>
            <w:pPr>
              <w:spacing w:after="0"/>
            </w:pPr>
            <w:r>
              <w:rPr>
                <w:sz w:val="19"/>
              </w:rPr>
              <w:t>Swagger/OpenAPI</w:t>
            </w:r>
          </w:p>
        </w:tc>
        <w:tc>
          <w:tcPr>
            <w:tcW w:type="dxa" w:w="3312"/>
            <w:tcMar>
              <w:top w:w="70" w:type="dxa"/>
              <w:start w:w="90" w:type="dxa"/>
              <w:bottom w:w="70" w:type="dxa"/>
              <w:end w:w="90" w:type="dxa"/>
            </w:tcMar>
            <w:vAlign w:val="center"/>
            <w:shd w:fill="EAF2F8"/>
          </w:tcPr>
          <w:p>
            <w:pPr>
              <w:spacing w:after="0"/>
            </w:pPr>
            <w:r>
              <w:rPr>
                <w:sz w:val="19"/>
              </w:rPr>
              <w:t>Document and test API endpoints</w:t>
            </w:r>
          </w:p>
        </w:tc>
      </w:tr>
      <w:tr>
        <w:tc>
          <w:tcPr>
            <w:tcW w:type="dxa" w:w="3312"/>
            <w:tcMar>
              <w:top w:w="70" w:type="dxa"/>
              <w:start w:w="90" w:type="dxa"/>
              <w:bottom w:w="70" w:type="dxa"/>
              <w:end w:w="90" w:type="dxa"/>
            </w:tcMar>
            <w:vAlign w:val="center"/>
          </w:tcPr>
          <w:p>
            <w:pPr>
              <w:spacing w:after="0"/>
            </w:pPr>
            <w:r>
              <w:rPr>
                <w:sz w:val="19"/>
              </w:rPr>
              <w:t>API Testing</w:t>
            </w:r>
          </w:p>
        </w:tc>
        <w:tc>
          <w:tcPr>
            <w:tcW w:type="dxa" w:w="3312"/>
            <w:tcMar>
              <w:top w:w="70" w:type="dxa"/>
              <w:start w:w="90" w:type="dxa"/>
              <w:bottom w:w="70" w:type="dxa"/>
              <w:end w:w="90" w:type="dxa"/>
            </w:tcMar>
            <w:vAlign w:val="center"/>
          </w:tcPr>
          <w:p>
            <w:pPr>
              <w:spacing w:after="0"/>
            </w:pPr>
            <w:r>
              <w:rPr>
                <w:sz w:val="19"/>
              </w:rPr>
              <w:t>Postman</w:t>
            </w:r>
          </w:p>
        </w:tc>
        <w:tc>
          <w:tcPr>
            <w:tcW w:type="dxa" w:w="3312"/>
            <w:tcMar>
              <w:top w:w="70" w:type="dxa"/>
              <w:start w:w="90" w:type="dxa"/>
              <w:bottom w:w="70" w:type="dxa"/>
              <w:end w:w="90" w:type="dxa"/>
            </w:tcMar>
            <w:vAlign w:val="center"/>
          </w:tcPr>
          <w:p>
            <w:pPr>
              <w:spacing w:after="0"/>
            </w:pPr>
            <w:r>
              <w:rPr>
                <w:sz w:val="19"/>
              </w:rPr>
              <w:t>Test and validate REST APIs</w:t>
            </w:r>
          </w:p>
        </w:tc>
      </w:tr>
      <w:tr>
        <w:tc>
          <w:tcPr>
            <w:tcW w:type="dxa" w:w="3312"/>
            <w:tcMar>
              <w:top w:w="70" w:type="dxa"/>
              <w:start w:w="90" w:type="dxa"/>
              <w:bottom w:w="70" w:type="dxa"/>
              <w:end w:w="90" w:type="dxa"/>
            </w:tcMar>
            <w:vAlign w:val="center"/>
            <w:shd w:fill="EAF2F8"/>
          </w:tcPr>
          <w:p>
            <w:pPr>
              <w:spacing w:after="0"/>
            </w:pPr>
            <w:r>
              <w:rPr>
                <w:sz w:val="19"/>
              </w:rPr>
              <w:t>File Handling</w:t>
            </w:r>
          </w:p>
        </w:tc>
        <w:tc>
          <w:tcPr>
            <w:tcW w:type="dxa" w:w="3312"/>
            <w:tcMar>
              <w:top w:w="70" w:type="dxa"/>
              <w:start w:w="90" w:type="dxa"/>
              <w:bottom w:w="70" w:type="dxa"/>
              <w:end w:w="90" w:type="dxa"/>
            </w:tcMar>
            <w:vAlign w:val="center"/>
            <w:shd w:fill="EAF2F8"/>
          </w:tcPr>
          <w:p>
            <w:pPr>
              <w:spacing w:after="0"/>
            </w:pPr>
            <w:r>
              <w:rPr>
                <w:sz w:val="19"/>
              </w:rPr>
              <w:t>Local server file system</w:t>
            </w:r>
          </w:p>
        </w:tc>
        <w:tc>
          <w:tcPr>
            <w:tcW w:type="dxa" w:w="3312"/>
            <w:tcMar>
              <w:top w:w="70" w:type="dxa"/>
              <w:start w:w="90" w:type="dxa"/>
              <w:bottom w:w="70" w:type="dxa"/>
              <w:end w:w="90" w:type="dxa"/>
            </w:tcMar>
            <w:vAlign w:val="center"/>
            <w:shd w:fill="EAF2F8"/>
          </w:tcPr>
          <w:p>
            <w:pPr>
              <w:spacing w:after="0"/>
            </w:pPr>
            <w:r>
              <w:rPr>
                <w:sz w:val="19"/>
              </w:rPr>
              <w:t>Store contracts, invoices, RFQs and attachments</w:t>
            </w:r>
          </w:p>
        </w:tc>
      </w:tr>
      <w:tr>
        <w:tc>
          <w:tcPr>
            <w:tcW w:type="dxa" w:w="3312"/>
            <w:tcMar>
              <w:top w:w="70" w:type="dxa"/>
              <w:start w:w="90" w:type="dxa"/>
              <w:bottom w:w="70" w:type="dxa"/>
              <w:end w:w="90" w:type="dxa"/>
            </w:tcMar>
            <w:vAlign w:val="center"/>
          </w:tcPr>
          <w:p>
            <w:pPr>
              <w:spacing w:after="0"/>
            </w:pPr>
            <w:r>
              <w:rPr>
                <w:sz w:val="19"/>
              </w:rPr>
              <w:t>Web Server</w:t>
            </w:r>
          </w:p>
        </w:tc>
        <w:tc>
          <w:tcPr>
            <w:tcW w:type="dxa" w:w="3312"/>
            <w:tcMar>
              <w:top w:w="70" w:type="dxa"/>
              <w:start w:w="90" w:type="dxa"/>
              <w:bottom w:w="70" w:type="dxa"/>
              <w:end w:w="90" w:type="dxa"/>
            </w:tcMar>
            <w:vAlign w:val="center"/>
          </w:tcPr>
          <w:p>
            <w:pPr>
              <w:spacing w:after="0"/>
            </w:pPr>
            <w:r>
              <w:rPr>
                <w:sz w:val="19"/>
              </w:rPr>
              <w:t>Nginx</w:t>
            </w:r>
          </w:p>
        </w:tc>
        <w:tc>
          <w:tcPr>
            <w:tcW w:type="dxa" w:w="3312"/>
            <w:tcMar>
              <w:top w:w="70" w:type="dxa"/>
              <w:start w:w="90" w:type="dxa"/>
              <w:bottom w:w="70" w:type="dxa"/>
              <w:end w:w="90" w:type="dxa"/>
            </w:tcMar>
            <w:vAlign w:val="center"/>
          </w:tcPr>
          <w:p>
            <w:pPr>
              <w:spacing w:after="0"/>
            </w:pPr>
            <w:r>
              <w:rPr>
                <w:sz w:val="19"/>
              </w:rPr>
              <w:t>Host React files and route API requests</w:t>
            </w:r>
          </w:p>
        </w:tc>
      </w:tr>
      <w:tr>
        <w:tc>
          <w:tcPr>
            <w:tcW w:type="dxa" w:w="3312"/>
            <w:tcMar>
              <w:top w:w="70" w:type="dxa"/>
              <w:start w:w="90" w:type="dxa"/>
              <w:bottom w:w="70" w:type="dxa"/>
              <w:end w:w="90" w:type="dxa"/>
            </w:tcMar>
            <w:vAlign w:val="center"/>
            <w:shd w:fill="EAF2F8"/>
          </w:tcPr>
          <w:p>
            <w:pPr>
              <w:spacing w:after="0"/>
            </w:pPr>
            <w:r>
              <w:rPr>
                <w:sz w:val="19"/>
              </w:rPr>
              <w:t>Build Tool</w:t>
            </w:r>
          </w:p>
        </w:tc>
        <w:tc>
          <w:tcPr>
            <w:tcW w:type="dxa" w:w="3312"/>
            <w:tcMar>
              <w:top w:w="70" w:type="dxa"/>
              <w:start w:w="90" w:type="dxa"/>
              <w:bottom w:w="70" w:type="dxa"/>
              <w:end w:w="90" w:type="dxa"/>
            </w:tcMar>
            <w:vAlign w:val="center"/>
            <w:shd w:fill="EAF2F8"/>
          </w:tcPr>
          <w:p>
            <w:pPr>
              <w:spacing w:after="0"/>
            </w:pPr>
            <w:r>
              <w:rPr>
                <w:sz w:val="19"/>
              </w:rPr>
              <w:t>Maven</w:t>
            </w:r>
          </w:p>
        </w:tc>
        <w:tc>
          <w:tcPr>
            <w:tcW w:type="dxa" w:w="3312"/>
            <w:tcMar>
              <w:top w:w="70" w:type="dxa"/>
              <w:start w:w="90" w:type="dxa"/>
              <w:bottom w:w="70" w:type="dxa"/>
              <w:end w:w="90" w:type="dxa"/>
            </w:tcMar>
            <w:vAlign w:val="center"/>
            <w:shd w:fill="EAF2F8"/>
          </w:tcPr>
          <w:p>
            <w:pPr>
              <w:spacing w:after="0"/>
            </w:pPr>
            <w:r>
              <w:rPr>
                <w:sz w:val="19"/>
              </w:rPr>
              <w:t>Build Spring Boot applications</w:t>
            </w:r>
          </w:p>
        </w:tc>
      </w:tr>
      <w:tr>
        <w:tc>
          <w:tcPr>
            <w:tcW w:type="dxa" w:w="3312"/>
            <w:tcMar>
              <w:top w:w="70" w:type="dxa"/>
              <w:start w:w="90" w:type="dxa"/>
              <w:bottom w:w="70" w:type="dxa"/>
              <w:end w:w="90" w:type="dxa"/>
            </w:tcMar>
            <w:vAlign w:val="center"/>
          </w:tcPr>
          <w:p>
            <w:pPr>
              <w:spacing w:after="0"/>
            </w:pPr>
            <w:r>
              <w:rPr>
                <w:sz w:val="19"/>
              </w:rPr>
              <w:t>Frontend Package Manager</w:t>
            </w:r>
          </w:p>
        </w:tc>
        <w:tc>
          <w:tcPr>
            <w:tcW w:type="dxa" w:w="3312"/>
            <w:tcMar>
              <w:top w:w="70" w:type="dxa"/>
              <w:start w:w="90" w:type="dxa"/>
              <w:bottom w:w="70" w:type="dxa"/>
              <w:end w:w="90" w:type="dxa"/>
            </w:tcMar>
            <w:vAlign w:val="center"/>
          </w:tcPr>
          <w:p>
            <w:pPr>
              <w:spacing w:after="0"/>
            </w:pPr>
            <w:r>
              <w:rPr>
                <w:sz w:val="19"/>
              </w:rPr>
              <w:t>npm</w:t>
            </w:r>
          </w:p>
        </w:tc>
        <w:tc>
          <w:tcPr>
            <w:tcW w:type="dxa" w:w="3312"/>
            <w:tcMar>
              <w:top w:w="70" w:type="dxa"/>
              <w:start w:w="90" w:type="dxa"/>
              <w:bottom w:w="70" w:type="dxa"/>
              <w:end w:w="90" w:type="dxa"/>
            </w:tcMar>
            <w:vAlign w:val="center"/>
          </w:tcPr>
          <w:p>
            <w:pPr>
              <w:spacing w:after="0"/>
            </w:pPr>
            <w:r>
              <w:rPr>
                <w:sz w:val="19"/>
              </w:rPr>
              <w:t>Manage React dependencies</w:t>
            </w:r>
          </w:p>
        </w:tc>
      </w:tr>
      <w:tr>
        <w:tc>
          <w:tcPr>
            <w:tcW w:type="dxa" w:w="3312"/>
            <w:tcMar>
              <w:top w:w="70" w:type="dxa"/>
              <w:start w:w="90" w:type="dxa"/>
              <w:bottom w:w="70" w:type="dxa"/>
              <w:end w:w="90" w:type="dxa"/>
            </w:tcMar>
            <w:vAlign w:val="center"/>
            <w:shd w:fill="EAF2F8"/>
          </w:tcPr>
          <w:p>
            <w:pPr>
              <w:spacing w:after="0"/>
            </w:pPr>
            <w:r>
              <w:rPr>
                <w:sz w:val="19"/>
              </w:rPr>
              <w:t>Backend Testing</w:t>
            </w:r>
          </w:p>
        </w:tc>
        <w:tc>
          <w:tcPr>
            <w:tcW w:type="dxa" w:w="3312"/>
            <w:tcMar>
              <w:top w:w="70" w:type="dxa"/>
              <w:start w:w="90" w:type="dxa"/>
              <w:bottom w:w="70" w:type="dxa"/>
              <w:end w:w="90" w:type="dxa"/>
            </w:tcMar>
            <w:vAlign w:val="center"/>
            <w:shd w:fill="EAF2F8"/>
          </w:tcPr>
          <w:p>
            <w:pPr>
              <w:spacing w:after="0"/>
            </w:pPr>
            <w:r>
              <w:rPr>
                <w:sz w:val="19"/>
              </w:rPr>
              <w:t>JUnit and Mockito</w:t>
            </w:r>
          </w:p>
        </w:tc>
        <w:tc>
          <w:tcPr>
            <w:tcW w:type="dxa" w:w="3312"/>
            <w:tcMar>
              <w:top w:w="70" w:type="dxa"/>
              <w:start w:w="90" w:type="dxa"/>
              <w:bottom w:w="70" w:type="dxa"/>
              <w:end w:w="90" w:type="dxa"/>
            </w:tcMar>
            <w:vAlign w:val="center"/>
            <w:shd w:fill="EAF2F8"/>
          </w:tcPr>
          <w:p>
            <w:pPr>
              <w:spacing w:after="0"/>
            </w:pPr>
            <w:r>
              <w:rPr>
                <w:sz w:val="19"/>
              </w:rPr>
              <w:t>Perform unit and service testing</w:t>
            </w:r>
          </w:p>
        </w:tc>
      </w:tr>
      <w:tr>
        <w:tc>
          <w:tcPr>
            <w:tcW w:type="dxa" w:w="3312"/>
            <w:tcMar>
              <w:top w:w="70" w:type="dxa"/>
              <w:start w:w="90" w:type="dxa"/>
              <w:bottom w:w="70" w:type="dxa"/>
              <w:end w:w="90" w:type="dxa"/>
            </w:tcMar>
            <w:vAlign w:val="center"/>
          </w:tcPr>
          <w:p>
            <w:pPr>
              <w:spacing w:after="0"/>
            </w:pPr>
            <w:r>
              <w:rPr>
                <w:sz w:val="19"/>
              </w:rPr>
              <w:t>Frontend Testing</w:t>
            </w:r>
          </w:p>
        </w:tc>
        <w:tc>
          <w:tcPr>
            <w:tcW w:type="dxa" w:w="3312"/>
            <w:tcMar>
              <w:top w:w="70" w:type="dxa"/>
              <w:start w:w="90" w:type="dxa"/>
              <w:bottom w:w="70" w:type="dxa"/>
              <w:end w:w="90" w:type="dxa"/>
            </w:tcMar>
            <w:vAlign w:val="center"/>
          </w:tcPr>
          <w:p>
            <w:pPr>
              <w:spacing w:after="0"/>
            </w:pPr>
            <w:r>
              <w:rPr>
                <w:sz w:val="19"/>
              </w:rPr>
              <w:t>Jest and React Testing Library</w:t>
            </w:r>
          </w:p>
        </w:tc>
        <w:tc>
          <w:tcPr>
            <w:tcW w:type="dxa" w:w="3312"/>
            <w:tcMar>
              <w:top w:w="70" w:type="dxa"/>
              <w:start w:w="90" w:type="dxa"/>
              <w:bottom w:w="70" w:type="dxa"/>
              <w:end w:w="90" w:type="dxa"/>
            </w:tcMar>
            <w:vAlign w:val="center"/>
          </w:tcPr>
          <w:p>
            <w:pPr>
              <w:spacing w:after="0"/>
            </w:pPr>
            <w:r>
              <w:rPr>
                <w:sz w:val="19"/>
              </w:rPr>
              <w:t>Test React components</w:t>
            </w:r>
          </w:p>
        </w:tc>
      </w:tr>
      <w:tr>
        <w:tc>
          <w:tcPr>
            <w:tcW w:type="dxa" w:w="3312"/>
            <w:tcMar>
              <w:top w:w="70" w:type="dxa"/>
              <w:start w:w="90" w:type="dxa"/>
              <w:bottom w:w="70" w:type="dxa"/>
              <w:end w:w="90" w:type="dxa"/>
            </w:tcMar>
            <w:vAlign w:val="center"/>
            <w:shd w:fill="EAF2F8"/>
          </w:tcPr>
          <w:p>
            <w:pPr>
              <w:spacing w:after="0"/>
            </w:pPr>
            <w:r>
              <w:rPr>
                <w:sz w:val="19"/>
              </w:rPr>
              <w:t>Version Control</w:t>
            </w:r>
          </w:p>
        </w:tc>
        <w:tc>
          <w:tcPr>
            <w:tcW w:type="dxa" w:w="3312"/>
            <w:tcMar>
              <w:top w:w="70" w:type="dxa"/>
              <w:start w:w="90" w:type="dxa"/>
              <w:bottom w:w="70" w:type="dxa"/>
              <w:end w:w="90" w:type="dxa"/>
            </w:tcMar>
            <w:vAlign w:val="center"/>
            <w:shd w:fill="EAF2F8"/>
          </w:tcPr>
          <w:p>
            <w:pPr>
              <w:spacing w:after="0"/>
            </w:pPr>
            <w:r>
              <w:rPr>
                <w:sz w:val="19"/>
              </w:rPr>
              <w:t>Git and GitHub</w:t>
            </w:r>
          </w:p>
        </w:tc>
        <w:tc>
          <w:tcPr>
            <w:tcW w:type="dxa" w:w="3312"/>
            <w:tcMar>
              <w:top w:w="70" w:type="dxa"/>
              <w:start w:w="90" w:type="dxa"/>
              <w:bottom w:w="70" w:type="dxa"/>
              <w:end w:w="90" w:type="dxa"/>
            </w:tcMar>
            <w:vAlign w:val="center"/>
            <w:shd w:fill="EAF2F8"/>
          </w:tcPr>
          <w:p>
            <w:pPr>
              <w:spacing w:after="0"/>
            </w:pPr>
            <w:r>
              <w:rPr>
                <w:sz w:val="19"/>
              </w:rPr>
              <w:t>Manage application source code</w:t>
            </w:r>
          </w:p>
        </w:tc>
      </w:tr>
      <w:tr>
        <w:tc>
          <w:tcPr>
            <w:tcW w:type="dxa" w:w="3312"/>
            <w:tcMar>
              <w:top w:w="70" w:type="dxa"/>
              <w:start w:w="90" w:type="dxa"/>
              <w:bottom w:w="70" w:type="dxa"/>
              <w:end w:w="90" w:type="dxa"/>
            </w:tcMar>
            <w:vAlign w:val="center"/>
          </w:tcPr>
          <w:p>
            <w:pPr>
              <w:spacing w:after="0"/>
            </w:pPr>
            <w:r>
              <w:rPr>
                <w:sz w:val="19"/>
              </w:rPr>
              <w:t>Operating System</w:t>
            </w:r>
          </w:p>
        </w:tc>
        <w:tc>
          <w:tcPr>
            <w:tcW w:type="dxa" w:w="3312"/>
            <w:tcMar>
              <w:top w:w="70" w:type="dxa"/>
              <w:start w:w="90" w:type="dxa"/>
              <w:bottom w:w="70" w:type="dxa"/>
              <w:end w:w="90" w:type="dxa"/>
            </w:tcMar>
            <w:vAlign w:val="center"/>
          </w:tcPr>
          <w:p>
            <w:pPr>
              <w:spacing w:after="0"/>
            </w:pPr>
            <w:r>
              <w:rPr>
                <w:sz w:val="19"/>
              </w:rPr>
              <w:t>Linux</w:t>
            </w:r>
          </w:p>
        </w:tc>
        <w:tc>
          <w:tcPr>
            <w:tcW w:type="dxa" w:w="3312"/>
            <w:tcMar>
              <w:top w:w="70" w:type="dxa"/>
              <w:start w:w="90" w:type="dxa"/>
              <w:bottom w:w="70" w:type="dxa"/>
              <w:end w:w="90" w:type="dxa"/>
            </w:tcMar>
            <w:vAlign w:val="center"/>
          </w:tcPr>
          <w:p>
            <w:pPr>
              <w:spacing w:after="0"/>
            </w:pPr>
            <w:r>
              <w:rPr>
                <w:sz w:val="19"/>
              </w:rPr>
              <w:t>Host the application</w:t>
            </w:r>
          </w:p>
        </w:tc>
      </w:tr>
      <w:tr>
        <w:tc>
          <w:tcPr>
            <w:tcW w:type="dxa" w:w="3312"/>
            <w:tcMar>
              <w:top w:w="70" w:type="dxa"/>
              <w:start w:w="90" w:type="dxa"/>
              <w:bottom w:w="70" w:type="dxa"/>
              <w:end w:w="90" w:type="dxa"/>
            </w:tcMar>
            <w:vAlign w:val="center"/>
            <w:shd w:fill="EAF2F8"/>
          </w:tcPr>
          <w:p>
            <w:pPr>
              <w:spacing w:after="0"/>
            </w:pPr>
            <w:r>
              <w:rPr>
                <w:sz w:val="19"/>
              </w:rPr>
              <w:t>SSL</w:t>
            </w:r>
          </w:p>
        </w:tc>
        <w:tc>
          <w:tcPr>
            <w:tcW w:type="dxa" w:w="3312"/>
            <w:tcMar>
              <w:top w:w="70" w:type="dxa"/>
              <w:start w:w="90" w:type="dxa"/>
              <w:bottom w:w="70" w:type="dxa"/>
              <w:end w:w="90" w:type="dxa"/>
            </w:tcMar>
            <w:vAlign w:val="center"/>
            <w:shd w:fill="EAF2F8"/>
          </w:tcPr>
          <w:p>
            <w:pPr>
              <w:spacing w:after="0"/>
            </w:pPr>
            <w:r>
              <w:rPr>
                <w:sz w:val="19"/>
              </w:rPr>
              <w:t>HTTPS/TLS</w:t>
            </w:r>
          </w:p>
        </w:tc>
        <w:tc>
          <w:tcPr>
            <w:tcW w:type="dxa" w:w="3312"/>
            <w:tcMar>
              <w:top w:w="70" w:type="dxa"/>
              <w:start w:w="90" w:type="dxa"/>
              <w:bottom w:w="70" w:type="dxa"/>
              <w:end w:w="90" w:type="dxa"/>
            </w:tcMar>
            <w:vAlign w:val="center"/>
            <w:shd w:fill="EAF2F8"/>
          </w:tcPr>
          <w:p>
            <w:pPr>
              <w:spacing w:after="0"/>
            </w:pPr>
            <w:r>
              <w:rPr>
                <w:sz w:val="19"/>
              </w:rPr>
              <w:t>Protect data transmitted between users and the system</w:t>
            </w:r>
          </w:p>
        </w:tc>
      </w:tr>
      <w:tr>
        <w:tc>
          <w:tcPr>
            <w:tcW w:type="dxa" w:w="3312"/>
            <w:tcMar>
              <w:top w:w="70" w:type="dxa"/>
              <w:start w:w="90" w:type="dxa"/>
              <w:bottom w:w="70" w:type="dxa"/>
              <w:end w:w="90" w:type="dxa"/>
            </w:tcMar>
            <w:vAlign w:val="center"/>
          </w:tcPr>
          <w:p>
            <w:pPr>
              <w:spacing w:after="0"/>
            </w:pPr>
            <w:r>
              <w:rPr>
                <w:sz w:val="19"/>
              </w:rPr>
              <w:t>Backup</w:t>
            </w:r>
          </w:p>
        </w:tc>
        <w:tc>
          <w:tcPr>
            <w:tcW w:type="dxa" w:w="3312"/>
            <w:tcMar>
              <w:top w:w="70" w:type="dxa"/>
              <w:start w:w="90" w:type="dxa"/>
              <w:bottom w:w="70" w:type="dxa"/>
              <w:end w:w="90" w:type="dxa"/>
            </w:tcMar>
            <w:vAlign w:val="center"/>
          </w:tcPr>
          <w:p>
            <w:pPr>
              <w:spacing w:after="0"/>
            </w:pPr>
            <w:r>
              <w:rPr>
                <w:sz w:val="19"/>
              </w:rPr>
              <w:t>Scheduled database and file backup</w:t>
            </w:r>
          </w:p>
        </w:tc>
        <w:tc>
          <w:tcPr>
            <w:tcW w:type="dxa" w:w="3312"/>
            <w:tcMar>
              <w:top w:w="70" w:type="dxa"/>
              <w:start w:w="90" w:type="dxa"/>
              <w:bottom w:w="70" w:type="dxa"/>
              <w:end w:w="90" w:type="dxa"/>
            </w:tcMar>
            <w:vAlign w:val="center"/>
          </w:tcPr>
          <w:p>
            <w:pPr>
              <w:spacing w:after="0"/>
            </w:pPr>
            <w:r>
              <w:rPr>
                <w:sz w:val="19"/>
              </w:rPr>
              <w:t>Support recovery after failure</w:t>
            </w:r>
          </w:p>
        </w:tc>
      </w:tr>
    </w:tbl>
    <w:p>
      <w:pPr>
        <w:pStyle w:val="Heading1"/>
        <w:keepNext/>
      </w:pPr>
      <w:r>
        <w:t>4. Component Breakdown</w:t>
      </w:r>
    </w:p>
    <w:p>
      <w:pPr>
        <w:pStyle w:val="Heading2"/>
        <w:keepNext/>
      </w:pPr>
      <w:r>
        <w:t>4.1 User and Access Management</w:t>
      </w:r>
    </w:p>
    <w:p>
      <w:pPr>
        <w:spacing w:after="120" w:line="259" w:lineRule="auto"/>
      </w:pPr>
      <w:r>
        <w:t>This component manages application users and controls their access.</w:t>
      </w:r>
    </w:p>
    <w:p>
      <w:pPr>
        <w:pStyle w:val="ListBullet"/>
        <w:spacing w:after="40"/>
      </w:pPr>
      <w:r>
        <w:t>Internal-user registration</w:t>
      </w:r>
    </w:p>
    <w:p>
      <w:pPr>
        <w:pStyle w:val="ListBullet"/>
        <w:spacing w:after="40"/>
      </w:pPr>
      <w:r>
        <w:t>Supplier registration</w:t>
      </w:r>
    </w:p>
    <w:p>
      <w:pPr>
        <w:pStyle w:val="ListBullet"/>
        <w:spacing w:after="40"/>
      </w:pPr>
      <w:r>
        <w:t>Secure login and logout</w:t>
      </w:r>
    </w:p>
    <w:p>
      <w:pPr>
        <w:pStyle w:val="ListBullet"/>
        <w:spacing w:after="40"/>
      </w:pPr>
      <w:r>
        <w:t>User-profile management</w:t>
      </w:r>
    </w:p>
    <w:p>
      <w:pPr>
        <w:pStyle w:val="ListBullet"/>
        <w:spacing w:after="40"/>
      </w:pPr>
      <w:r>
        <w:t>Credential management</w:t>
      </w:r>
    </w:p>
    <w:p>
      <w:pPr>
        <w:pStyle w:val="ListBullet"/>
        <w:spacing w:after="40"/>
      </w:pPr>
      <w:r>
        <w:t>Password reset</w:t>
      </w:r>
    </w:p>
    <w:p>
      <w:pPr>
        <w:pStyle w:val="ListBullet"/>
        <w:spacing w:after="40"/>
      </w:pPr>
      <w:r>
        <w:t>Session management</w:t>
      </w:r>
    </w:p>
    <w:p>
      <w:pPr>
        <w:pStyle w:val="ListBullet"/>
        <w:spacing w:after="40"/>
      </w:pPr>
      <w:r>
        <w:t>Role assignment</w:t>
      </w:r>
    </w:p>
    <w:p>
      <w:pPr>
        <w:pStyle w:val="ListBullet"/>
        <w:spacing w:after="40"/>
      </w:pPr>
      <w:r>
        <w:t>Role-based access control</w:t>
      </w:r>
    </w:p>
    <w:p>
      <w:pPr>
        <w:pStyle w:val="ListBullet"/>
        <w:spacing w:after="40"/>
      </w:pPr>
      <w:r>
        <w:t>Multi-organization data isolation</w:t>
      </w:r>
    </w:p>
    <w:p>
      <w:pPr>
        <w:pStyle w:val="ListBullet"/>
        <w:spacing w:after="40"/>
      </w:pPr>
      <w:r>
        <w:t>Account activation and deactivation</w:t>
      </w:r>
    </w:p>
    <w:p>
      <w:pPr>
        <w:pStyle w:val="ListBullet"/>
        <w:spacing w:after="40"/>
      </w:pPr>
      <w:r>
        <w:t>User activity tracking</w:t>
      </w:r>
    </w:p>
    <w:p>
      <w:pPr>
        <w:spacing w:before="80" w:after="40"/>
      </w:pPr>
      <w:r>
        <w:rPr>
          <w:b/>
        </w:rPr>
        <w:t>Supported roles may include:</w:t>
      </w:r>
    </w:p>
    <w:p>
      <w:pPr>
        <w:pStyle w:val="ListBullet"/>
        <w:spacing w:after="40"/>
      </w:pPr>
      <w:r>
        <w:t>Procurement Officer</w:t>
      </w:r>
    </w:p>
    <w:p>
      <w:pPr>
        <w:pStyle w:val="ListBullet"/>
        <w:spacing w:after="40"/>
      </w:pPr>
      <w:r>
        <w:t>Ordering Team</w:t>
      </w:r>
    </w:p>
    <w:p>
      <w:pPr>
        <w:pStyle w:val="ListBullet"/>
        <w:spacing w:after="40"/>
      </w:pPr>
      <w:r>
        <w:t>Procurement Manager</w:t>
      </w:r>
    </w:p>
    <w:p>
      <w:pPr>
        <w:pStyle w:val="ListBullet"/>
        <w:spacing w:after="40"/>
      </w:pPr>
      <w:r>
        <w:t>Supplier</w:t>
      </w:r>
    </w:p>
    <w:p>
      <w:pPr>
        <w:pStyle w:val="ListBullet"/>
        <w:spacing w:after="40"/>
      </w:pPr>
      <w:r>
        <w:t>Inventory User</w:t>
      </w:r>
    </w:p>
    <w:p>
      <w:pPr>
        <w:pStyle w:val="ListBullet"/>
        <w:spacing w:after="40"/>
      </w:pPr>
      <w:r>
        <w:t>Finance User</w:t>
      </w:r>
    </w:p>
    <w:p>
      <w:pPr>
        <w:pStyle w:val="ListBullet"/>
        <w:spacing w:after="40"/>
      </w:pPr>
      <w:r>
        <w:t>Quality User</w:t>
      </w:r>
    </w:p>
    <w:p>
      <w:pPr>
        <w:pStyle w:val="ListBullet"/>
        <w:spacing w:after="40"/>
      </w:pPr>
      <w:r>
        <w:t>Auditor</w:t>
      </w:r>
    </w:p>
    <w:p>
      <w:pPr>
        <w:pStyle w:val="ListBullet"/>
        <w:spacing w:after="40"/>
      </w:pPr>
      <w:r>
        <w:t>Administrator</w:t>
      </w:r>
    </w:p>
    <w:p>
      <w:pPr>
        <w:pStyle w:val="ListBullet"/>
        <w:spacing w:after="40"/>
      </w:pPr>
      <w:r>
        <w:t>Department User</w:t>
      </w:r>
    </w:p>
    <w:p>
      <w:pPr>
        <w:pStyle w:val="ListBullet"/>
        <w:spacing w:after="40"/>
      </w:pPr>
      <w:r>
        <w:t>Internal Customer</w:t>
      </w:r>
    </w:p>
    <w:p>
      <w:pPr>
        <w:pStyle w:val="Heading2"/>
        <w:keepNext/>
      </w:pPr>
      <w:r>
        <w:t>4.2 Organization and Department Management</w:t>
      </w:r>
    </w:p>
    <w:p>
      <w:pPr>
        <w:spacing w:after="120" w:line="259" w:lineRule="auto"/>
      </w:pPr>
      <w:r>
        <w:t>This component maintains organization-specific structures.</w:t>
      </w:r>
    </w:p>
    <w:p>
      <w:pPr>
        <w:pStyle w:val="ListBullet"/>
        <w:spacing w:after="40"/>
      </w:pPr>
      <w:r>
        <w:t>Organization management</w:t>
      </w:r>
    </w:p>
    <w:p>
      <w:pPr>
        <w:pStyle w:val="ListBullet"/>
        <w:spacing w:after="40"/>
      </w:pPr>
      <w:r>
        <w:t>Department management</w:t>
      </w:r>
    </w:p>
    <w:p>
      <w:pPr>
        <w:pStyle w:val="ListBullet"/>
        <w:spacing w:after="40"/>
      </w:pPr>
      <w:r>
        <w:t>Warehouse association</w:t>
      </w:r>
    </w:p>
    <w:p>
      <w:pPr>
        <w:pStyle w:val="ListBullet"/>
        <w:spacing w:after="40"/>
      </w:pPr>
      <w:r>
        <w:t>User-to-department assignment</w:t>
      </w:r>
    </w:p>
    <w:p>
      <w:pPr>
        <w:pStyle w:val="ListBullet"/>
        <w:spacing w:after="40"/>
      </w:pPr>
      <w:r>
        <w:t>Department approval hierarchy</w:t>
      </w:r>
    </w:p>
    <w:p>
      <w:pPr>
        <w:pStyle w:val="ListBullet"/>
        <w:spacing w:after="40"/>
      </w:pPr>
      <w:r>
        <w:t>Organization-specific access restrictions</w:t>
      </w:r>
    </w:p>
    <w:p>
      <w:pPr>
        <w:pStyle w:val="ListBullet"/>
        <w:spacing w:after="40"/>
      </w:pPr>
      <w:r>
        <w:t>Inter-department resource-transfer configuration</w:t>
      </w:r>
    </w:p>
    <w:p>
      <w:pPr>
        <w:pStyle w:val="Heading2"/>
        <w:keepNext/>
      </w:pPr>
      <w:r>
        <w:t>4.3 Resource Inventory Management</w:t>
      </w:r>
    </w:p>
    <w:p>
      <w:pPr>
        <w:spacing w:after="120" w:line="259" w:lineRule="auto"/>
      </w:pPr>
      <w:r>
        <w:t>This component maintains a centralized inventory of organizational resources.</w:t>
      </w:r>
    </w:p>
    <w:p>
      <w:pPr>
        <w:pStyle w:val="ListBullet"/>
        <w:spacing w:after="40"/>
      </w:pPr>
      <w:r>
        <w:t>Item-master management</w:t>
      </w:r>
    </w:p>
    <w:p>
      <w:pPr>
        <w:pStyle w:val="ListBullet"/>
        <w:spacing w:after="40"/>
      </w:pPr>
      <w:r>
        <w:t>Product and category management</w:t>
      </w:r>
    </w:p>
    <w:p>
      <w:pPr>
        <w:pStyle w:val="ListBullet"/>
        <w:spacing w:after="40"/>
      </w:pPr>
      <w:r>
        <w:t>Warehouse and storage management</w:t>
      </w:r>
    </w:p>
    <w:p>
      <w:pPr>
        <w:pStyle w:val="ListBullet"/>
        <w:spacing w:after="40"/>
      </w:pPr>
      <w:r>
        <w:t>Stock-availability tracking</w:t>
      </w:r>
    </w:p>
    <w:p>
      <w:pPr>
        <w:pStyle w:val="ListBullet"/>
        <w:spacing w:after="40"/>
      </w:pPr>
      <w:r>
        <w:t>Incoming-stock visibility</w:t>
      </w:r>
    </w:p>
    <w:p>
      <w:pPr>
        <w:pStyle w:val="ListBullet"/>
        <w:spacing w:after="40"/>
      </w:pPr>
      <w:r>
        <w:t>Resource-location tracking</w:t>
      </w:r>
    </w:p>
    <w:p>
      <w:pPr>
        <w:pStyle w:val="ListBullet"/>
        <w:spacing w:after="40"/>
      </w:pPr>
      <w:r>
        <w:t>Reserved-quantity management</w:t>
      </w:r>
    </w:p>
    <w:p>
      <w:pPr>
        <w:pStyle w:val="ListBullet"/>
        <w:spacing w:after="40"/>
      </w:pPr>
      <w:r>
        <w:t>Resource-allocation history</w:t>
      </w:r>
    </w:p>
    <w:p>
      <w:pPr>
        <w:pStyle w:val="ListBullet"/>
        <w:spacing w:after="40"/>
      </w:pPr>
      <w:r>
        <w:t>Inventory-status updates</w:t>
      </w:r>
    </w:p>
    <w:p>
      <w:pPr>
        <w:pStyle w:val="ListBullet"/>
        <w:spacing w:after="40"/>
      </w:pPr>
      <w:r>
        <w:t>Stock and utilization reporting</w:t>
      </w:r>
    </w:p>
    <w:p>
      <w:pPr>
        <w:pStyle w:val="Heading2"/>
        <w:keepNext/>
      </w:pPr>
      <w:r>
        <w:t>4.4 Internal Resource Search and Reuse</w:t>
      </w:r>
    </w:p>
    <w:p>
      <w:pPr>
        <w:spacing w:after="120" w:line="259" w:lineRule="auto"/>
      </w:pPr>
      <w:r>
        <w:t>Before starting procurement, users shall search for available resources within the organization.</w:t>
      </w:r>
    </w:p>
    <w:p>
      <w:pPr>
        <w:pStyle w:val="ListBullet"/>
        <w:spacing w:after="40"/>
      </w:pPr>
      <w:r>
        <w:t>Search inventory across departments</w:t>
      </w:r>
    </w:p>
    <w:p>
      <w:pPr>
        <w:pStyle w:val="ListBullet"/>
        <w:spacing w:after="40"/>
      </w:pPr>
      <w:r>
        <w:t>Check available and reserved quantities</w:t>
      </w:r>
    </w:p>
    <w:p>
      <w:pPr>
        <w:pStyle w:val="ListBullet"/>
        <w:spacing w:after="40"/>
      </w:pPr>
      <w:r>
        <w:t>Identify resource-owning departments</w:t>
      </w:r>
    </w:p>
    <w:p>
      <w:pPr>
        <w:pStyle w:val="ListBullet"/>
        <w:spacing w:after="40"/>
      </w:pPr>
      <w:r>
        <w:t>Request resources from another department</w:t>
      </w:r>
    </w:p>
    <w:p>
      <w:pPr>
        <w:pStyle w:val="ListBullet"/>
        <w:spacing w:after="40"/>
      </w:pPr>
      <w:r>
        <w:t>Department approval</w:t>
      </w:r>
    </w:p>
    <w:p>
      <w:pPr>
        <w:pStyle w:val="ListBullet"/>
        <w:spacing w:after="40"/>
      </w:pPr>
      <w:r>
        <w:t>Resource allocation</w:t>
      </w:r>
    </w:p>
    <w:p>
      <w:pPr>
        <w:pStyle w:val="ListBullet"/>
        <w:spacing w:after="40"/>
      </w:pPr>
      <w:r>
        <w:t>Inter-department transfer</w:t>
      </w:r>
    </w:p>
    <w:p>
      <w:pPr>
        <w:pStyle w:val="ListBullet"/>
        <w:spacing w:after="40"/>
      </w:pPr>
      <w:r>
        <w:t>Issue and receipt acknowledgement</w:t>
      </w:r>
    </w:p>
    <w:p>
      <w:pPr>
        <w:pStyle w:val="ListBullet"/>
        <w:spacing w:after="40"/>
      </w:pPr>
      <w:r>
        <w:t>Inventory update</w:t>
      </w:r>
    </w:p>
    <w:p>
      <w:pPr>
        <w:pStyle w:val="ListBullet"/>
        <w:spacing w:after="40"/>
      </w:pPr>
      <w:r>
        <w:t>Resource-utilization reporting</w:t>
      </w:r>
    </w:p>
    <w:p>
      <w:pPr>
        <w:spacing w:before="80" w:after="40"/>
      </w:pPr>
      <w:r>
        <w:rPr>
          <w:b/>
        </w:rPr>
        <w:t>Process rule:</w:t>
      </w:r>
    </w:p>
    <w:p>
      <w:pPr>
        <w:pStyle w:val="ListBullet"/>
        <w:spacing w:after="40"/>
      </w:pPr>
      <w:r>
        <w:t>The system shall start external procurement only when the required resource is unavailable internally or the internal request is rejected.</w:t>
      </w:r>
    </w:p>
    <w:p>
      <w:pPr>
        <w:pStyle w:val="Heading2"/>
        <w:keepNext/>
      </w:pPr>
      <w:r>
        <w:t>4.5 Procurement Requirement Management</w:t>
      </w:r>
    </w:p>
    <w:p>
      <w:pPr>
        <w:spacing w:after="120" w:line="259" w:lineRule="auto"/>
      </w:pPr>
      <w:r>
        <w:t>This component manages procurement needs raised by departments.</w:t>
      </w:r>
    </w:p>
    <w:p>
      <w:pPr>
        <w:pStyle w:val="ListBullet"/>
        <w:spacing w:after="40"/>
      </w:pPr>
      <w:r>
        <w:t>Create procurement requirements</w:t>
      </w:r>
    </w:p>
    <w:p>
      <w:pPr>
        <w:pStyle w:val="ListBullet"/>
        <w:spacing w:after="40"/>
      </w:pPr>
      <w:r>
        <w:t>Enter product and service details</w:t>
      </w:r>
    </w:p>
    <w:p>
      <w:pPr>
        <w:pStyle w:val="ListBullet"/>
        <w:spacing w:after="40"/>
      </w:pPr>
      <w:r>
        <w:t>Add quantity, specifications and required date</w:t>
      </w:r>
    </w:p>
    <w:p>
      <w:pPr>
        <w:pStyle w:val="ListBullet"/>
        <w:spacing w:after="40"/>
      </w:pPr>
      <w:r>
        <w:t>Include budget and delivery location</w:t>
      </w:r>
    </w:p>
    <w:p>
      <w:pPr>
        <w:pStyle w:val="ListBullet"/>
        <w:spacing w:after="40"/>
      </w:pPr>
      <w:r>
        <w:t>Upload supporting documents</w:t>
      </w:r>
    </w:p>
    <w:p>
      <w:pPr>
        <w:pStyle w:val="ListBullet"/>
        <w:spacing w:after="40"/>
      </w:pPr>
      <w:r>
        <w:t>Submit requirements for review</w:t>
      </w:r>
    </w:p>
    <w:p>
      <w:pPr>
        <w:pStyle w:val="ListBullet"/>
        <w:spacing w:after="40"/>
      </w:pPr>
      <w:r>
        <w:t>Approve or reject requirements</w:t>
      </w:r>
    </w:p>
    <w:p>
      <w:pPr>
        <w:pStyle w:val="ListBullet"/>
        <w:spacing w:after="40"/>
      </w:pPr>
      <w:r>
        <w:t>Track requirement status</w:t>
      </w:r>
    </w:p>
    <w:p>
      <w:pPr>
        <w:pStyle w:val="ListBullet"/>
        <w:spacing w:after="40"/>
      </w:pPr>
      <w:r>
        <w:t>Identify procurement delays</w:t>
      </w:r>
    </w:p>
    <w:p>
      <w:pPr>
        <w:pStyle w:val="ListBullet"/>
        <w:spacing w:after="40"/>
      </w:pPr>
      <w:r>
        <w:t>Mark requirements as normal or emergency</w:t>
      </w:r>
    </w:p>
    <w:p>
      <w:pPr>
        <w:pStyle w:val="Heading2"/>
        <w:keepNext/>
      </w:pPr>
      <w:r>
        <w:t>4.6 RFQ Management</w:t>
      </w:r>
    </w:p>
    <w:p>
      <w:pPr>
        <w:spacing w:after="120" w:line="259" w:lineRule="auto"/>
      </w:pPr>
      <w:r>
        <w:t>This component manages Requests for Quotation.</w:t>
      </w:r>
    </w:p>
    <w:p>
      <w:pPr>
        <w:pStyle w:val="ListBullet"/>
        <w:spacing w:after="40"/>
      </w:pPr>
      <w:r>
        <w:t>Convert approved requirements into RFQs</w:t>
      </w:r>
    </w:p>
    <w:p>
      <w:pPr>
        <w:pStyle w:val="ListBullet"/>
        <w:spacing w:after="40"/>
      </w:pPr>
      <w:r>
        <w:t>Generate RFQ references</w:t>
      </w:r>
    </w:p>
    <w:p>
      <w:pPr>
        <w:pStyle w:val="ListBullet"/>
        <w:spacing w:after="40"/>
      </w:pPr>
      <w:r>
        <w:t>Select suitable suppliers</w:t>
      </w:r>
    </w:p>
    <w:p>
      <w:pPr>
        <w:pStyle w:val="ListBullet"/>
        <w:spacing w:after="40"/>
      </w:pPr>
      <w:r>
        <w:t>Define submission deadlines</w:t>
      </w:r>
    </w:p>
    <w:p>
      <w:pPr>
        <w:pStyle w:val="ListBullet"/>
        <w:spacing w:after="40"/>
      </w:pPr>
      <w:r>
        <w:t>Add product and service specifications</w:t>
      </w:r>
    </w:p>
    <w:p>
      <w:pPr>
        <w:pStyle w:val="ListBullet"/>
        <w:spacing w:after="40"/>
      </w:pPr>
      <w:r>
        <w:t>Configure commercial and delivery terms</w:t>
      </w:r>
    </w:p>
    <w:p>
      <w:pPr>
        <w:pStyle w:val="ListBullet"/>
        <w:spacing w:after="40"/>
      </w:pPr>
      <w:r>
        <w:t>Publish RFQs</w:t>
      </w:r>
    </w:p>
    <w:p>
      <w:pPr>
        <w:pStyle w:val="ListBullet"/>
        <w:spacing w:after="40"/>
      </w:pPr>
      <w:r>
        <w:t>Notify selected suppliers</w:t>
      </w:r>
    </w:p>
    <w:p>
      <w:pPr>
        <w:pStyle w:val="ListBullet"/>
        <w:spacing w:after="40"/>
      </w:pPr>
      <w:r>
        <w:t>Track supplier responses</w:t>
      </w:r>
    </w:p>
    <w:p>
      <w:pPr>
        <w:pStyle w:val="ListBullet"/>
        <w:spacing w:after="40"/>
      </w:pPr>
      <w:r>
        <w:t>Close or cancel RFQs</w:t>
      </w:r>
    </w:p>
    <w:p>
      <w:pPr>
        <w:pStyle w:val="Heading2"/>
        <w:keepNext/>
      </w:pPr>
      <w:r>
        <w:t>4.7 Quotation Management and Evaluation</w:t>
      </w:r>
    </w:p>
    <w:p>
      <w:pPr>
        <w:spacing w:after="120" w:line="259" w:lineRule="auto"/>
      </w:pPr>
      <w:r>
        <w:t>Suppliers shall submit quotations against published RFQs.</w:t>
      </w:r>
    </w:p>
    <w:p>
      <w:pPr>
        <w:pStyle w:val="ListBullet"/>
        <w:spacing w:after="40"/>
      </w:pPr>
      <w:r>
        <w:t>Submit quotation prices</w:t>
      </w:r>
    </w:p>
    <w:p>
      <w:pPr>
        <w:pStyle w:val="ListBullet"/>
        <w:spacing w:after="40"/>
      </w:pPr>
      <w:r>
        <w:t>Enter tax, delivery and payment information</w:t>
      </w:r>
    </w:p>
    <w:p>
      <w:pPr>
        <w:pStyle w:val="ListBullet"/>
        <w:spacing w:after="40"/>
      </w:pPr>
      <w:r>
        <w:t>Upload quotation documents</w:t>
      </w:r>
    </w:p>
    <w:p>
      <w:pPr>
        <w:pStyle w:val="ListBullet"/>
        <w:spacing w:after="40"/>
      </w:pPr>
      <w:r>
        <w:t>Update quotations before deadlines</w:t>
      </w:r>
    </w:p>
    <w:p>
      <w:pPr>
        <w:pStyle w:val="ListBullet"/>
        <w:spacing w:after="40"/>
      </w:pPr>
      <w:r>
        <w:t>Validate quotation completeness</w:t>
      </w:r>
    </w:p>
    <w:p>
      <w:pPr>
        <w:pStyle w:val="ListBullet"/>
        <w:spacing w:after="40"/>
      </w:pPr>
      <w:r>
        <w:t>Compare quotations</w:t>
      </w:r>
    </w:p>
    <w:p>
      <w:pPr>
        <w:pStyle w:val="ListBullet"/>
        <w:spacing w:after="40"/>
      </w:pPr>
      <w:r>
        <w:t>Score quotations</w:t>
      </w:r>
    </w:p>
    <w:p>
      <w:pPr>
        <w:pStyle w:val="ListBullet"/>
        <w:spacing w:after="40"/>
      </w:pPr>
      <w:r>
        <w:t>Rank suppliers</w:t>
      </w:r>
    </w:p>
    <w:p>
      <w:pPr>
        <w:pStyle w:val="ListBullet"/>
        <w:spacing w:after="40"/>
      </w:pPr>
      <w:r>
        <w:t>Record evaluation comments</w:t>
      </w:r>
    </w:p>
    <w:p>
      <w:pPr>
        <w:pStyle w:val="ListBullet"/>
        <w:spacing w:after="40"/>
      </w:pPr>
      <w:r>
        <w:t>Recommend suitable suppliers</w:t>
      </w:r>
    </w:p>
    <w:p>
      <w:pPr>
        <w:spacing w:before="80" w:after="40"/>
      </w:pPr>
      <w:r>
        <w:rPr>
          <w:b/>
        </w:rPr>
        <w:t>Quotation evaluation may consider:</w:t>
      </w:r>
    </w:p>
    <w:p>
      <w:pPr>
        <w:pStyle w:val="ListBullet"/>
        <w:spacing w:after="40"/>
      </w:pPr>
      <w:r>
        <w:t>Price</w:t>
      </w:r>
    </w:p>
    <w:p>
      <w:pPr>
        <w:pStyle w:val="ListBullet"/>
        <w:spacing w:after="40"/>
      </w:pPr>
      <w:r>
        <w:t>Delivery time</w:t>
      </w:r>
    </w:p>
    <w:p>
      <w:pPr>
        <w:pStyle w:val="ListBullet"/>
        <w:spacing w:after="40"/>
      </w:pPr>
      <w:r>
        <w:t>Product compliance</w:t>
      </w:r>
    </w:p>
    <w:p>
      <w:pPr>
        <w:pStyle w:val="ListBullet"/>
        <w:spacing w:after="40"/>
      </w:pPr>
      <w:r>
        <w:t>Quality</w:t>
      </w:r>
    </w:p>
    <w:p>
      <w:pPr>
        <w:pStyle w:val="ListBullet"/>
        <w:spacing w:after="40"/>
      </w:pPr>
      <w:r>
        <w:t>Payment terms</w:t>
      </w:r>
    </w:p>
    <w:p>
      <w:pPr>
        <w:pStyle w:val="ListBullet"/>
        <w:spacing w:after="40"/>
      </w:pPr>
      <w:r>
        <w:t>Supplier history</w:t>
      </w:r>
    </w:p>
    <w:p>
      <w:pPr>
        <w:pStyle w:val="ListBullet"/>
        <w:spacing w:after="40"/>
      </w:pPr>
      <w:r>
        <w:t>Contract compliance</w:t>
      </w:r>
    </w:p>
    <w:p>
      <w:pPr>
        <w:pStyle w:val="ListBullet"/>
        <w:spacing w:after="40"/>
      </w:pPr>
      <w:r>
        <w:t>Previous performance</w:t>
      </w:r>
    </w:p>
    <w:p>
      <w:pPr>
        <w:pStyle w:val="Heading2"/>
        <w:keepNext/>
      </w:pPr>
      <w:r>
        <w:t>4.8 Supplier Management</w:t>
      </w:r>
    </w:p>
    <w:p>
      <w:pPr>
        <w:spacing w:after="120" w:line="259" w:lineRule="auto"/>
      </w:pPr>
      <w:r>
        <w:t>This component maintains supplier records and performance.</w:t>
      </w:r>
    </w:p>
    <w:p>
      <w:pPr>
        <w:pStyle w:val="ListBullet"/>
        <w:spacing w:after="40"/>
      </w:pPr>
      <w:r>
        <w:t>Supplier registration</w:t>
      </w:r>
    </w:p>
    <w:p>
      <w:pPr>
        <w:pStyle w:val="ListBullet"/>
        <w:spacing w:after="40"/>
      </w:pPr>
      <w:r>
        <w:t>Supplier onboarding</w:t>
      </w:r>
    </w:p>
    <w:p>
      <w:pPr>
        <w:pStyle w:val="ListBullet"/>
        <w:spacing w:after="40"/>
      </w:pPr>
      <w:r>
        <w:t>Supplier-profile management</w:t>
      </w:r>
    </w:p>
    <w:p>
      <w:pPr>
        <w:pStyle w:val="ListBullet"/>
        <w:spacing w:after="40"/>
      </w:pPr>
      <w:r>
        <w:t>Contact-information management</w:t>
      </w:r>
    </w:p>
    <w:p>
      <w:pPr>
        <w:pStyle w:val="ListBullet"/>
        <w:spacing w:after="40"/>
      </w:pPr>
      <w:r>
        <w:t>Product and category association</w:t>
      </w:r>
    </w:p>
    <w:p>
      <w:pPr>
        <w:pStyle w:val="ListBullet"/>
        <w:spacing w:after="40"/>
      </w:pPr>
      <w:r>
        <w:t>Compliance-document management</w:t>
      </w:r>
    </w:p>
    <w:p>
      <w:pPr>
        <w:pStyle w:val="ListBullet"/>
        <w:spacing w:after="40"/>
      </w:pPr>
      <w:r>
        <w:t>Supplier activation and deactivation</w:t>
      </w:r>
    </w:p>
    <w:p>
      <w:pPr>
        <w:pStyle w:val="ListBullet"/>
        <w:spacing w:after="40"/>
      </w:pPr>
      <w:r>
        <w:t>Supplier evaluation</w:t>
      </w:r>
    </w:p>
    <w:p>
      <w:pPr>
        <w:pStyle w:val="ListBullet"/>
        <w:spacing w:after="40"/>
      </w:pPr>
      <w:r>
        <w:t>Performance tracking</w:t>
      </w:r>
    </w:p>
    <w:p>
      <w:pPr>
        <w:pStyle w:val="ListBullet"/>
        <w:spacing w:after="40"/>
      </w:pPr>
      <w:r>
        <w:t>Supplier rating</w:t>
      </w:r>
    </w:p>
    <w:p>
      <w:pPr>
        <w:pStyle w:val="ListBullet"/>
        <w:spacing w:after="40"/>
      </w:pPr>
      <w:r>
        <w:t>Delivery-performance analysis</w:t>
      </w:r>
    </w:p>
    <w:p>
      <w:pPr>
        <w:pStyle w:val="ListBullet"/>
        <w:spacing w:after="40"/>
      </w:pPr>
      <w:r>
        <w:t>Quality-performance analysis</w:t>
      </w:r>
    </w:p>
    <w:p>
      <w:pPr>
        <w:pStyle w:val="ListBullet"/>
        <w:spacing w:after="40"/>
      </w:pPr>
      <w:r>
        <w:t>Cost-performance analysis</w:t>
      </w:r>
    </w:p>
    <w:p>
      <w:pPr>
        <w:pStyle w:val="Heading2"/>
        <w:keepNext/>
      </w:pPr>
      <w:r>
        <w:t>4.9 Contract and SLA Management</w:t>
      </w:r>
    </w:p>
    <w:p>
      <w:pPr>
        <w:spacing w:after="120" w:line="259" w:lineRule="auto"/>
      </w:pPr>
      <w:r>
        <w:t>This component manages supplier contracts and service-level agreements.</w:t>
      </w:r>
    </w:p>
    <w:p>
      <w:pPr>
        <w:pStyle w:val="ListBullet"/>
        <w:spacing w:after="40"/>
      </w:pPr>
      <w:r>
        <w:t>Create contracts</w:t>
      </w:r>
    </w:p>
    <w:p>
      <w:pPr>
        <w:pStyle w:val="ListBullet"/>
        <w:spacing w:after="40"/>
      </w:pPr>
      <w:r>
        <w:t>Update contract details</w:t>
      </w:r>
    </w:p>
    <w:p>
      <w:pPr>
        <w:pStyle w:val="ListBullet"/>
        <w:spacing w:after="40"/>
      </w:pPr>
      <w:r>
        <w:t>Maintain contract versions</w:t>
      </w:r>
    </w:p>
    <w:p>
      <w:pPr>
        <w:pStyle w:val="ListBullet"/>
        <w:spacing w:after="40"/>
      </w:pPr>
      <w:r>
        <w:t>Store contract metadata</w:t>
      </w:r>
    </w:p>
    <w:p>
      <w:pPr>
        <w:pStyle w:val="ListBullet"/>
        <w:spacing w:after="40"/>
      </w:pPr>
      <w:r>
        <w:t>Define rate cards</w:t>
      </w:r>
    </w:p>
    <w:p>
      <w:pPr>
        <w:pStyle w:val="ListBullet"/>
        <w:spacing w:after="40"/>
      </w:pPr>
      <w:r>
        <w:t>Configure SLA indicators</w:t>
      </w:r>
    </w:p>
    <w:p>
      <w:pPr>
        <w:pStyle w:val="ListBullet"/>
        <w:spacing w:after="40"/>
      </w:pPr>
      <w:r>
        <w:t>Configure pricing rules</w:t>
      </w:r>
    </w:p>
    <w:p>
      <w:pPr>
        <w:pStyle w:val="ListBullet"/>
        <w:spacing w:after="40"/>
      </w:pPr>
      <w:r>
        <w:t>Maintain tax and penalty conditions</w:t>
      </w:r>
    </w:p>
    <w:p>
      <w:pPr>
        <w:pStyle w:val="ListBullet"/>
        <w:spacing w:after="40"/>
      </w:pPr>
      <w:r>
        <w:t>Track contract validity</w:t>
      </w:r>
    </w:p>
    <w:p>
      <w:pPr>
        <w:pStyle w:val="ListBullet"/>
        <w:spacing w:after="40"/>
      </w:pPr>
      <w:r>
        <w:t>Track contract expiry</w:t>
      </w:r>
    </w:p>
    <w:p>
      <w:pPr>
        <w:pStyle w:val="ListBullet"/>
        <w:spacing w:after="40"/>
      </w:pPr>
      <w:r>
        <w:t>Notify stakeholders about renewal</w:t>
      </w:r>
    </w:p>
    <w:p>
      <w:pPr>
        <w:pStyle w:val="ListBullet"/>
        <w:spacing w:after="40"/>
      </w:pPr>
      <w:r>
        <w:t>Manage contract renewals</w:t>
      </w:r>
    </w:p>
    <w:p>
      <w:pPr>
        <w:pStyle w:val="ListBullet"/>
        <w:spacing w:after="40"/>
      </w:pPr>
      <w:r>
        <w:t>Associate contracts with suppliers and purchase orders</w:t>
      </w:r>
    </w:p>
    <w:p>
      <w:pPr>
        <w:pStyle w:val="Heading2"/>
        <w:keepNext/>
      </w:pPr>
      <w:r>
        <w:t>4.10 Approval and Workflow Management</w:t>
      </w:r>
    </w:p>
    <w:p>
      <w:pPr>
        <w:spacing w:after="120" w:line="259" w:lineRule="auto"/>
      </w:pPr>
      <w:r>
        <w:t>This component controls approval processes across modules.</w:t>
      </w:r>
    </w:p>
    <w:p>
      <w:pPr>
        <w:pStyle w:val="ListBullet"/>
        <w:spacing w:after="40"/>
      </w:pPr>
      <w:r>
        <w:t>Requirement approval</w:t>
      </w:r>
    </w:p>
    <w:p>
      <w:pPr>
        <w:pStyle w:val="ListBullet"/>
        <w:spacing w:after="40"/>
      </w:pPr>
      <w:r>
        <w:t>Supplier-selection approval</w:t>
      </w:r>
    </w:p>
    <w:p>
      <w:pPr>
        <w:pStyle w:val="ListBullet"/>
        <w:spacing w:after="40"/>
      </w:pPr>
      <w:r>
        <w:t>Purchase-order approval</w:t>
      </w:r>
    </w:p>
    <w:p>
      <w:pPr>
        <w:pStyle w:val="ListBullet"/>
        <w:spacing w:after="40"/>
      </w:pPr>
      <w:r>
        <w:t>Resource-transfer approval</w:t>
      </w:r>
    </w:p>
    <w:p>
      <w:pPr>
        <w:pStyle w:val="ListBullet"/>
        <w:spacing w:after="40"/>
      </w:pPr>
      <w:r>
        <w:t>Invoice approval</w:t>
      </w:r>
    </w:p>
    <w:p>
      <w:pPr>
        <w:pStyle w:val="ListBullet"/>
        <w:spacing w:after="40"/>
      </w:pPr>
      <w:r>
        <w:t>Emergency-procurement approval</w:t>
      </w:r>
    </w:p>
    <w:p>
      <w:pPr>
        <w:pStyle w:val="ListBullet"/>
        <w:spacing w:after="40"/>
      </w:pPr>
      <w:r>
        <w:t>Exception-resolution approval</w:t>
      </w:r>
    </w:p>
    <w:p>
      <w:pPr>
        <w:pStyle w:val="ListBullet"/>
        <w:spacing w:after="40"/>
      </w:pPr>
      <w:r>
        <w:t>Configurable approval levels</w:t>
      </w:r>
    </w:p>
    <w:p>
      <w:pPr>
        <w:pStyle w:val="ListBullet"/>
        <w:spacing w:after="40"/>
      </w:pPr>
      <w:r>
        <w:t>Value-based approval routing</w:t>
      </w:r>
    </w:p>
    <w:p>
      <w:pPr>
        <w:pStyle w:val="ListBullet"/>
        <w:spacing w:after="40"/>
      </w:pPr>
      <w:r>
        <w:t>Department-based approval routing</w:t>
      </w:r>
    </w:p>
    <w:p>
      <w:pPr>
        <w:pStyle w:val="ListBullet"/>
        <w:spacing w:after="40"/>
      </w:pPr>
      <w:r>
        <w:t>Approval comments</w:t>
      </w:r>
    </w:p>
    <w:p>
      <w:pPr>
        <w:pStyle w:val="ListBullet"/>
        <w:spacing w:after="40"/>
      </w:pPr>
      <w:r>
        <w:t>Rejection and rework</w:t>
      </w:r>
    </w:p>
    <w:p>
      <w:pPr>
        <w:pStyle w:val="ListBullet"/>
        <w:spacing w:after="40"/>
      </w:pPr>
      <w:r>
        <w:t>Automatic escalation</w:t>
      </w:r>
    </w:p>
    <w:p>
      <w:pPr>
        <w:pStyle w:val="ListBullet"/>
        <w:spacing w:after="40"/>
      </w:pPr>
      <w:r>
        <w:t>Approval-history tracking</w:t>
      </w:r>
    </w:p>
    <w:p>
      <w:pPr>
        <w:pStyle w:val="Heading2"/>
        <w:keepNext/>
      </w:pPr>
      <w:r>
        <w:t>4.11 Purchase Order Management</w:t>
      </w:r>
    </w:p>
    <w:p>
      <w:pPr>
        <w:spacing w:after="120" w:line="259" w:lineRule="auto"/>
      </w:pPr>
      <w:r>
        <w:t>After supplier selection is approved, the system shall generate a purchase order.</w:t>
      </w:r>
    </w:p>
    <w:p>
      <w:pPr>
        <w:pStyle w:val="ListBullet"/>
        <w:spacing w:after="40"/>
      </w:pPr>
      <w:r>
        <w:t>Generate purchase orders from approved quotations</w:t>
      </w:r>
    </w:p>
    <w:p>
      <w:pPr>
        <w:pStyle w:val="ListBullet"/>
        <w:spacing w:after="40"/>
      </w:pPr>
      <w:r>
        <w:t>Maintain supplier and contract references</w:t>
      </w:r>
    </w:p>
    <w:p>
      <w:pPr>
        <w:pStyle w:val="ListBullet"/>
        <w:spacing w:after="40"/>
      </w:pPr>
      <w:r>
        <w:t>Include product, quantity and price details</w:t>
      </w:r>
    </w:p>
    <w:p>
      <w:pPr>
        <w:pStyle w:val="ListBullet"/>
        <w:spacing w:after="40"/>
      </w:pPr>
      <w:r>
        <w:t>Apply taxes and commercial terms</w:t>
      </w:r>
    </w:p>
    <w:p>
      <w:pPr>
        <w:pStyle w:val="ListBullet"/>
        <w:spacing w:after="40"/>
      </w:pPr>
      <w:r>
        <w:t>Define delivery schedules</w:t>
      </w:r>
    </w:p>
    <w:p>
      <w:pPr>
        <w:pStyle w:val="ListBullet"/>
        <w:spacing w:after="40"/>
      </w:pPr>
      <w:r>
        <w:t>Send purchase orders to suppliers</w:t>
      </w:r>
    </w:p>
    <w:p>
      <w:pPr>
        <w:pStyle w:val="ListBullet"/>
        <w:spacing w:after="40"/>
      </w:pPr>
      <w:r>
        <w:t>Track purchase-order status</w:t>
      </w:r>
    </w:p>
    <w:p>
      <w:pPr>
        <w:pStyle w:val="ListBullet"/>
        <w:spacing w:after="40"/>
      </w:pPr>
      <w:r>
        <w:t>Update incoming inventory visibility</w:t>
      </w:r>
    </w:p>
    <w:p>
      <w:pPr>
        <w:pStyle w:val="ListBullet"/>
        <w:spacing w:after="40"/>
      </w:pPr>
      <w:r>
        <w:t>Associate purchase orders with shipments and invoices</w:t>
      </w:r>
    </w:p>
    <w:p>
      <w:pPr>
        <w:pStyle w:val="Heading2"/>
        <w:keepNext/>
      </w:pPr>
      <w:r>
        <w:t>4.12 Shipment and Service Validation</w:t>
      </w:r>
    </w:p>
    <w:p>
      <w:pPr>
        <w:spacing w:after="120" w:line="259" w:lineRule="auto"/>
      </w:pPr>
      <w:r>
        <w:t>This component verifies whether ordered goods or services were delivered.</w:t>
      </w:r>
    </w:p>
    <w:p>
      <w:pPr>
        <w:pStyle w:val="ListBullet"/>
        <w:spacing w:after="40"/>
      </w:pPr>
      <w:r>
        <w:t>Import shipment information</w:t>
      </w:r>
    </w:p>
    <w:p>
      <w:pPr>
        <w:pStyle w:val="ListBullet"/>
        <w:spacing w:after="40"/>
      </w:pPr>
      <w:r>
        <w:t>Record delivery details</w:t>
      </w:r>
    </w:p>
    <w:p>
      <w:pPr>
        <w:pStyle w:val="ListBullet"/>
        <w:spacing w:after="40"/>
      </w:pPr>
      <w:r>
        <w:t>Verify delivery status</w:t>
      </w:r>
    </w:p>
    <w:p>
      <w:pPr>
        <w:pStyle w:val="ListBullet"/>
        <w:spacing w:after="40"/>
      </w:pPr>
      <w:r>
        <w:t>Match delivered quantities with purchase orders</w:t>
      </w:r>
    </w:p>
    <w:p>
      <w:pPr>
        <w:pStyle w:val="ListBullet"/>
        <w:spacing w:after="40"/>
      </w:pPr>
      <w:r>
        <w:t>Record partial delivery</w:t>
      </w:r>
    </w:p>
    <w:p>
      <w:pPr>
        <w:pStyle w:val="ListBullet"/>
        <w:spacing w:after="40"/>
      </w:pPr>
      <w:r>
        <w:t>Confirm service completion</w:t>
      </w:r>
    </w:p>
    <w:p>
      <w:pPr>
        <w:pStyle w:val="ListBullet"/>
        <w:spacing w:after="40"/>
      </w:pPr>
      <w:r>
        <w:t>Capture shipment references</w:t>
      </w:r>
    </w:p>
    <w:p>
      <w:pPr>
        <w:pStyle w:val="ListBullet"/>
        <w:spacing w:after="40"/>
      </w:pPr>
      <w:r>
        <w:t>Record delivery exceptions</w:t>
      </w:r>
    </w:p>
    <w:p>
      <w:pPr>
        <w:pStyle w:val="ListBullet"/>
        <w:spacing w:after="40"/>
      </w:pPr>
      <w:r>
        <w:t>Associate delivery data with invoices</w:t>
      </w:r>
    </w:p>
    <w:p>
      <w:pPr>
        <w:pStyle w:val="Heading2"/>
        <w:keepNext/>
      </w:pPr>
      <w:r>
        <w:t>4.13 Invoice Processing and Validation</w:t>
      </w:r>
    </w:p>
    <w:p>
      <w:pPr>
        <w:spacing w:after="120" w:line="259" w:lineRule="auto"/>
      </w:pPr>
      <w:r>
        <w:t>This component validates supplier invoices before approval.</w:t>
      </w:r>
    </w:p>
    <w:p>
      <w:pPr>
        <w:pStyle w:val="ListBullet"/>
        <w:spacing w:after="40"/>
      </w:pPr>
      <w:r>
        <w:t>Manual invoice upload</w:t>
      </w:r>
    </w:p>
    <w:p>
      <w:pPr>
        <w:pStyle w:val="ListBullet"/>
        <w:spacing w:after="40"/>
      </w:pPr>
      <w:r>
        <w:t>Invoice-data integration</w:t>
      </w:r>
    </w:p>
    <w:p>
      <w:pPr>
        <w:pStyle w:val="ListBullet"/>
        <w:spacing w:after="40"/>
      </w:pPr>
      <w:r>
        <w:t>Completeness validation</w:t>
      </w:r>
    </w:p>
    <w:p>
      <w:pPr>
        <w:pStyle w:val="ListBullet"/>
        <w:spacing w:after="40"/>
      </w:pPr>
      <w:r>
        <w:t>Mandatory-field validation</w:t>
      </w:r>
    </w:p>
    <w:p>
      <w:pPr>
        <w:pStyle w:val="ListBullet"/>
        <w:spacing w:after="40"/>
      </w:pPr>
      <w:r>
        <w:t>Rate validation</w:t>
      </w:r>
    </w:p>
    <w:p>
      <w:pPr>
        <w:pStyle w:val="ListBullet"/>
        <w:spacing w:after="40"/>
      </w:pPr>
      <w:r>
        <w:t>Quantity validation</w:t>
      </w:r>
    </w:p>
    <w:p>
      <w:pPr>
        <w:pStyle w:val="ListBullet"/>
        <w:spacing w:after="40"/>
      </w:pPr>
      <w:r>
        <w:t>Tax validation</w:t>
      </w:r>
    </w:p>
    <w:p>
      <w:pPr>
        <w:pStyle w:val="ListBullet"/>
        <w:spacing w:after="40"/>
      </w:pPr>
      <w:r>
        <w:t>Contract validation</w:t>
      </w:r>
    </w:p>
    <w:p>
      <w:pPr>
        <w:pStyle w:val="ListBullet"/>
        <w:spacing w:after="40"/>
      </w:pPr>
      <w:r>
        <w:t>Purchase-order validation</w:t>
      </w:r>
    </w:p>
    <w:p>
      <w:pPr>
        <w:pStyle w:val="ListBullet"/>
        <w:spacing w:after="40"/>
      </w:pPr>
      <w:r>
        <w:t>Shipment validation</w:t>
      </w:r>
    </w:p>
    <w:p>
      <w:pPr>
        <w:pStyle w:val="ListBullet"/>
        <w:spacing w:after="40"/>
      </w:pPr>
      <w:r>
        <w:t>Duplicate-invoice detection</w:t>
      </w:r>
    </w:p>
    <w:p>
      <w:pPr>
        <w:pStyle w:val="ListBullet"/>
        <w:spacing w:after="40"/>
      </w:pPr>
      <w:r>
        <w:t>Overbilling detection</w:t>
      </w:r>
    </w:p>
    <w:p>
      <w:pPr>
        <w:pStyle w:val="ListBullet"/>
        <w:spacing w:after="40"/>
      </w:pPr>
      <w:r>
        <w:t>Unauthorized-charge detection</w:t>
      </w:r>
    </w:p>
    <w:p>
      <w:pPr>
        <w:pStyle w:val="ListBullet"/>
        <w:spacing w:after="40"/>
      </w:pPr>
      <w:r>
        <w:t>Invoice-status tracking</w:t>
      </w:r>
    </w:p>
    <w:p>
      <w:pPr>
        <w:spacing w:before="80" w:after="40"/>
      </w:pPr>
      <w:r>
        <w:rPr>
          <w:b/>
        </w:rPr>
        <w:t>Validation rule:</w:t>
      </w:r>
    </w:p>
    <w:p>
      <w:pPr>
        <w:pStyle w:val="ListBullet"/>
        <w:spacing w:after="40"/>
      </w:pPr>
      <w:r>
        <w:t>The system shall compare invoices with contracts, purchase orders and shipment or service data.</w:t>
      </w:r>
    </w:p>
    <w:p>
      <w:pPr>
        <w:pStyle w:val="Heading2"/>
        <w:keepNext/>
      </w:pPr>
      <w:r>
        <w:t>4.14 Finance and Payment Management</w:t>
      </w:r>
    </w:p>
    <w:p>
      <w:pPr>
        <w:spacing w:after="120" w:line="259" w:lineRule="auto"/>
      </w:pPr>
      <w:r>
        <w:t>This component manages financial validation and payment activities.</w:t>
      </w:r>
    </w:p>
    <w:p>
      <w:pPr>
        <w:pStyle w:val="ListBullet"/>
        <w:spacing w:after="40"/>
      </w:pPr>
      <w:r>
        <w:t>Budget verification</w:t>
      </w:r>
    </w:p>
    <w:p>
      <w:pPr>
        <w:pStyle w:val="ListBullet"/>
        <w:spacing w:after="40"/>
      </w:pPr>
      <w:r>
        <w:t>Invoice approval and rejection</w:t>
      </w:r>
    </w:p>
    <w:p>
      <w:pPr>
        <w:pStyle w:val="ListBullet"/>
        <w:spacing w:after="40"/>
      </w:pPr>
      <w:r>
        <w:t>Payment processing</w:t>
      </w:r>
    </w:p>
    <w:p>
      <w:pPr>
        <w:pStyle w:val="ListBullet"/>
        <w:spacing w:after="40"/>
      </w:pPr>
      <w:r>
        <w:t>Payment recording</w:t>
      </w:r>
    </w:p>
    <w:p>
      <w:pPr>
        <w:pStyle w:val="ListBullet"/>
        <w:spacing w:after="40"/>
      </w:pPr>
      <w:r>
        <w:t>Outstanding-amount tracking</w:t>
      </w:r>
    </w:p>
    <w:p>
      <w:pPr>
        <w:pStyle w:val="ListBullet"/>
        <w:spacing w:after="40"/>
      </w:pPr>
      <w:r>
        <w:t>Paid-amount tracking</w:t>
      </w:r>
    </w:p>
    <w:p>
      <w:pPr>
        <w:pStyle w:val="ListBullet"/>
        <w:spacing w:after="40"/>
      </w:pPr>
      <w:r>
        <w:t>Overpayment prevention</w:t>
      </w:r>
    </w:p>
    <w:p>
      <w:pPr>
        <w:pStyle w:val="ListBullet"/>
        <w:spacing w:after="40"/>
      </w:pPr>
      <w:r>
        <w:t>Financial-report generation</w:t>
      </w:r>
    </w:p>
    <w:p>
      <w:pPr>
        <w:pStyle w:val="ListBullet"/>
        <w:spacing w:after="40"/>
      </w:pPr>
      <w:r>
        <w:t>Spend analysis</w:t>
      </w:r>
    </w:p>
    <w:p>
      <w:pPr>
        <w:pStyle w:val="ListBullet"/>
        <w:spacing w:after="40"/>
      </w:pPr>
      <w:r>
        <w:t>Cost analysis</w:t>
      </w:r>
    </w:p>
    <w:p>
      <w:pPr>
        <w:pStyle w:val="ListBullet"/>
        <w:spacing w:after="40"/>
      </w:pPr>
      <w:r>
        <w:t>Savings analysis</w:t>
      </w:r>
    </w:p>
    <w:p>
      <w:pPr>
        <w:pStyle w:val="ListBullet"/>
        <w:spacing w:after="40"/>
      </w:pPr>
      <w:r>
        <w:t>Procurement-finance data exchange</w:t>
      </w:r>
    </w:p>
    <w:p>
      <w:pPr>
        <w:pStyle w:val="Heading2"/>
        <w:keepNext/>
      </w:pPr>
      <w:r>
        <w:t>4.15 Exception Handling and Compliance</w:t>
      </w:r>
    </w:p>
    <w:p>
      <w:pPr>
        <w:spacing w:after="120" w:line="259" w:lineRule="auto"/>
      </w:pPr>
      <w:r>
        <w:t>This component records and manages procurement, invoice and SLA exceptions.</w:t>
      </w:r>
    </w:p>
    <w:p>
      <w:pPr>
        <w:pStyle w:val="ListBullet"/>
        <w:spacing w:after="40"/>
      </w:pPr>
      <w:r>
        <w:t>Discrepancy logging</w:t>
      </w:r>
    </w:p>
    <w:p>
      <w:pPr>
        <w:pStyle w:val="ListBullet"/>
        <w:spacing w:after="40"/>
      </w:pPr>
      <w:r>
        <w:t>Validation-error logging</w:t>
      </w:r>
    </w:p>
    <w:p>
      <w:pPr>
        <w:pStyle w:val="ListBullet"/>
        <w:spacing w:after="40"/>
      </w:pPr>
      <w:r>
        <w:t>Financial-leakage detection</w:t>
      </w:r>
    </w:p>
    <w:p>
      <w:pPr>
        <w:pStyle w:val="ListBullet"/>
        <w:spacing w:after="40"/>
      </w:pPr>
      <w:r>
        <w:t>Cost-overrun identification</w:t>
      </w:r>
    </w:p>
    <w:p>
      <w:pPr>
        <w:pStyle w:val="ListBullet"/>
        <w:spacing w:after="40"/>
      </w:pPr>
      <w:r>
        <w:t>Exception assignment</w:t>
      </w:r>
    </w:p>
    <w:p>
      <w:pPr>
        <w:pStyle w:val="ListBullet"/>
        <w:spacing w:after="40"/>
      </w:pPr>
      <w:r>
        <w:t>Exception-resolution workflow</w:t>
      </w:r>
    </w:p>
    <w:p>
      <w:pPr>
        <w:pStyle w:val="ListBullet"/>
        <w:spacing w:after="40"/>
      </w:pPr>
      <w:r>
        <w:t>Automatic escalation</w:t>
      </w:r>
    </w:p>
    <w:p>
      <w:pPr>
        <w:pStyle w:val="ListBullet"/>
        <w:spacing w:after="40"/>
      </w:pPr>
      <w:r>
        <w:t>SLA-breach detection</w:t>
      </w:r>
    </w:p>
    <w:p>
      <w:pPr>
        <w:pStyle w:val="ListBullet"/>
        <w:spacing w:after="40"/>
      </w:pPr>
      <w:r>
        <w:t>Penalty calculation</w:t>
      </w:r>
    </w:p>
    <w:p>
      <w:pPr>
        <w:pStyle w:val="ListBullet"/>
        <w:spacing w:after="40"/>
      </w:pPr>
      <w:r>
        <w:t>Tax-rule validation</w:t>
      </w:r>
    </w:p>
    <w:p>
      <w:pPr>
        <w:pStyle w:val="ListBullet"/>
        <w:spacing w:after="40"/>
      </w:pPr>
      <w:r>
        <w:t>Corrective-action tracking</w:t>
      </w:r>
    </w:p>
    <w:p>
      <w:pPr>
        <w:pStyle w:val="ListBullet"/>
        <w:spacing w:after="40"/>
      </w:pPr>
      <w:r>
        <w:t>Compliance-status monitoring</w:t>
      </w:r>
    </w:p>
    <w:p>
      <w:pPr>
        <w:pStyle w:val="Heading2"/>
        <w:keepNext/>
      </w:pPr>
      <w:r>
        <w:t>4.16 Emergency Procurement Management</w:t>
      </w:r>
    </w:p>
    <w:p>
      <w:pPr>
        <w:spacing w:after="120" w:line="259" w:lineRule="auto"/>
      </w:pPr>
      <w:r>
        <w:t>This component supports urgent procurement while maintaining control and compliance.</w:t>
      </w:r>
    </w:p>
    <w:p>
      <w:pPr>
        <w:pStyle w:val="ListBullet"/>
        <w:spacing w:after="40"/>
      </w:pPr>
      <w:r>
        <w:t>Create emergency procurement requests</w:t>
      </w:r>
    </w:p>
    <w:p>
      <w:pPr>
        <w:pStyle w:val="ListBullet"/>
        <w:spacing w:after="40"/>
      </w:pPr>
      <w:r>
        <w:t>Record emergency justification</w:t>
      </w:r>
    </w:p>
    <w:p>
      <w:pPr>
        <w:pStyle w:val="ListBullet"/>
        <w:spacing w:after="40"/>
      </w:pPr>
      <w:r>
        <w:t>Classify urgency and business impact</w:t>
      </w:r>
    </w:p>
    <w:p>
      <w:pPr>
        <w:pStyle w:val="ListBullet"/>
        <w:spacing w:after="40"/>
      </w:pPr>
      <w:r>
        <w:t>Apply fast-track approval workflows</w:t>
      </w:r>
    </w:p>
    <w:p>
      <w:pPr>
        <w:pStyle w:val="ListBullet"/>
        <w:spacing w:after="40"/>
      </w:pPr>
      <w:r>
        <w:t>Select emergency suppliers</w:t>
      </w:r>
    </w:p>
    <w:p>
      <w:pPr>
        <w:pStyle w:val="ListBullet"/>
        <w:spacing w:after="40"/>
      </w:pPr>
      <w:r>
        <w:t>Prioritize emergency requirements</w:t>
      </w:r>
    </w:p>
    <w:p>
      <w:pPr>
        <w:pStyle w:val="ListBullet"/>
        <w:spacing w:after="40"/>
      </w:pPr>
      <w:r>
        <w:t>Send immediate notifications</w:t>
      </w:r>
    </w:p>
    <w:p>
      <w:pPr>
        <w:pStyle w:val="ListBullet"/>
        <w:spacing w:after="40"/>
      </w:pPr>
      <w:r>
        <w:t>Escalate approval delays</w:t>
      </w:r>
    </w:p>
    <w:p>
      <w:pPr>
        <w:pStyle w:val="ListBullet"/>
        <w:spacing w:after="40"/>
      </w:pPr>
      <w:r>
        <w:t>Track emergency procurement status</w:t>
      </w:r>
    </w:p>
    <w:p>
      <w:pPr>
        <w:pStyle w:val="ListBullet"/>
        <w:spacing w:after="40"/>
      </w:pPr>
      <w:r>
        <w:t>Maintain compliance records</w:t>
      </w:r>
    </w:p>
    <w:p>
      <w:pPr>
        <w:pStyle w:val="ListBullet"/>
        <w:spacing w:after="40"/>
      </w:pPr>
      <w:r>
        <w:t>Generate emergency-procurement reports</w:t>
      </w:r>
    </w:p>
    <w:p>
      <w:pPr>
        <w:pStyle w:val="Heading2"/>
        <w:keepNext/>
      </w:pPr>
      <w:r>
        <w:t>4.17 Customer and Internal Stakeholder Feedback</w:t>
      </w:r>
    </w:p>
    <w:p>
      <w:pPr>
        <w:spacing w:after="120" w:line="259" w:lineRule="auto"/>
      </w:pPr>
      <w:r>
        <w:t>This component collects feedback after resource fulfilment or procurement completion.</w:t>
      </w:r>
    </w:p>
    <w:p>
      <w:pPr>
        <w:pStyle w:val="ListBullet"/>
        <w:spacing w:after="40"/>
      </w:pPr>
      <w:r>
        <w:t>Submit feedback forms</w:t>
      </w:r>
    </w:p>
    <w:p>
      <w:pPr>
        <w:pStyle w:val="ListBullet"/>
        <w:spacing w:after="40"/>
      </w:pPr>
      <w:r>
        <w:t>Provide ratings and reviews</w:t>
      </w:r>
    </w:p>
    <w:p>
      <w:pPr>
        <w:pStyle w:val="ListBullet"/>
        <w:spacing w:after="40"/>
      </w:pPr>
      <w:r>
        <w:t>Record suggestions</w:t>
      </w:r>
    </w:p>
    <w:p>
      <w:pPr>
        <w:pStyle w:val="ListBullet"/>
        <w:spacing w:after="40"/>
      </w:pPr>
      <w:r>
        <w:t>Record complaints and issues</w:t>
      </w:r>
    </w:p>
    <w:p>
      <w:pPr>
        <w:pStyle w:val="ListBullet"/>
        <w:spacing w:after="40"/>
      </w:pPr>
      <w:r>
        <w:t>Link feedback to suppliers</w:t>
      </w:r>
    </w:p>
    <w:p>
      <w:pPr>
        <w:pStyle w:val="ListBullet"/>
        <w:spacing w:after="40"/>
      </w:pPr>
      <w:r>
        <w:t>Link feedback to procurement requests</w:t>
      </w:r>
    </w:p>
    <w:p>
      <w:pPr>
        <w:pStyle w:val="ListBullet"/>
        <w:spacing w:after="40"/>
      </w:pPr>
      <w:r>
        <w:t>Link feedback to internal resource transfers</w:t>
      </w:r>
    </w:p>
    <w:p>
      <w:pPr>
        <w:pStyle w:val="ListBullet"/>
        <w:spacing w:after="40"/>
      </w:pPr>
      <w:r>
        <w:t>Track feedback resolution</w:t>
      </w:r>
    </w:p>
    <w:p>
      <w:pPr>
        <w:pStyle w:val="ListBullet"/>
        <w:spacing w:after="40"/>
      </w:pPr>
      <w:r>
        <w:t>Analyze feedback trends</w:t>
      </w:r>
    </w:p>
    <w:p>
      <w:pPr>
        <w:pStyle w:val="ListBullet"/>
        <w:spacing w:after="40"/>
      </w:pPr>
      <w:r>
        <w:t>Use feedback in supplier-performance evaluation</w:t>
      </w:r>
    </w:p>
    <w:p>
      <w:pPr>
        <w:pStyle w:val="Heading2"/>
        <w:keepNext/>
      </w:pPr>
      <w:r>
        <w:t>4.18 Notification and Alert Management</w:t>
      </w:r>
    </w:p>
    <w:p>
      <w:pPr>
        <w:spacing w:after="120" w:line="259" w:lineRule="auto"/>
      </w:pPr>
      <w:r>
        <w:t>This component sends application notifications for important events.</w:t>
      </w:r>
    </w:p>
    <w:p>
      <w:pPr>
        <w:pStyle w:val="ListBullet"/>
        <w:spacing w:after="40"/>
      </w:pPr>
      <w:r>
        <w:t>Requirement submission</w:t>
      </w:r>
    </w:p>
    <w:p>
      <w:pPr>
        <w:pStyle w:val="ListBullet"/>
        <w:spacing w:after="40"/>
      </w:pPr>
      <w:r>
        <w:t>Approval requests</w:t>
      </w:r>
    </w:p>
    <w:p>
      <w:pPr>
        <w:pStyle w:val="ListBullet"/>
        <w:spacing w:after="40"/>
      </w:pPr>
      <w:r>
        <w:t>RFQ publication</w:t>
      </w:r>
    </w:p>
    <w:p>
      <w:pPr>
        <w:pStyle w:val="ListBullet"/>
        <w:spacing w:after="40"/>
      </w:pPr>
      <w:r>
        <w:t>Quotation submission</w:t>
      </w:r>
    </w:p>
    <w:p>
      <w:pPr>
        <w:pStyle w:val="ListBullet"/>
        <w:spacing w:after="40"/>
      </w:pPr>
      <w:r>
        <w:t>Quotation deadline</w:t>
      </w:r>
    </w:p>
    <w:p>
      <w:pPr>
        <w:pStyle w:val="ListBullet"/>
        <w:spacing w:after="40"/>
      </w:pPr>
      <w:r>
        <w:t>Supplier selection</w:t>
      </w:r>
    </w:p>
    <w:p>
      <w:pPr>
        <w:pStyle w:val="ListBullet"/>
        <w:spacing w:after="40"/>
      </w:pPr>
      <w:r>
        <w:t>Purchase-order creation</w:t>
      </w:r>
    </w:p>
    <w:p>
      <w:pPr>
        <w:pStyle w:val="ListBullet"/>
        <w:spacing w:after="40"/>
      </w:pPr>
      <w:r>
        <w:t>Internal resource requests</w:t>
      </w:r>
    </w:p>
    <w:p>
      <w:pPr>
        <w:pStyle w:val="ListBullet"/>
        <w:spacing w:after="40"/>
      </w:pPr>
      <w:r>
        <w:t>Resource-transfer approval</w:t>
      </w:r>
    </w:p>
    <w:p>
      <w:pPr>
        <w:pStyle w:val="ListBullet"/>
        <w:spacing w:after="40"/>
      </w:pPr>
      <w:r>
        <w:t>Shipment updates</w:t>
      </w:r>
    </w:p>
    <w:p>
      <w:pPr>
        <w:pStyle w:val="ListBullet"/>
        <w:spacing w:after="40"/>
      </w:pPr>
      <w:r>
        <w:t>Invoice discrepancies</w:t>
      </w:r>
    </w:p>
    <w:p>
      <w:pPr>
        <w:pStyle w:val="ListBullet"/>
        <w:spacing w:after="40"/>
      </w:pPr>
      <w:r>
        <w:t>Payment status</w:t>
      </w:r>
    </w:p>
    <w:p>
      <w:pPr>
        <w:pStyle w:val="ListBullet"/>
        <w:spacing w:after="40"/>
      </w:pPr>
      <w:r>
        <w:t>Contract expiry</w:t>
      </w:r>
    </w:p>
    <w:p>
      <w:pPr>
        <w:pStyle w:val="ListBullet"/>
        <w:spacing w:after="40"/>
      </w:pPr>
      <w:r>
        <w:t>SLA breaches</w:t>
      </w:r>
    </w:p>
    <w:p>
      <w:pPr>
        <w:pStyle w:val="ListBullet"/>
        <w:spacing w:after="40"/>
      </w:pPr>
      <w:r>
        <w:t>Emergency procurement</w:t>
      </w:r>
    </w:p>
    <w:p>
      <w:pPr>
        <w:pStyle w:val="ListBullet"/>
        <w:spacing w:after="40"/>
      </w:pPr>
      <w:r>
        <w:t>Escalations</w:t>
      </w:r>
    </w:p>
    <w:p>
      <w:pPr>
        <w:pStyle w:val="ListBullet"/>
        <w:spacing w:after="40"/>
      </w:pPr>
      <w:r>
        <w:t>Feedback submission</w:t>
      </w:r>
    </w:p>
    <w:p>
      <w:pPr>
        <w:pStyle w:val="Heading2"/>
        <w:keepNext/>
      </w:pPr>
      <w:r>
        <w:t>4.19 Reporting and Analytics</w:t>
      </w:r>
    </w:p>
    <w:p>
      <w:pPr>
        <w:spacing w:after="120" w:line="259" w:lineRule="auto"/>
      </w:pPr>
      <w:r>
        <w:t>This component provides role-based dashboards and reports.</w:t>
      </w:r>
    </w:p>
    <w:p>
      <w:pPr>
        <w:pStyle w:val="ListBullet"/>
        <w:spacing w:after="40"/>
      </w:pPr>
      <w:r>
        <w:t>Procurement-status reports</w:t>
      </w:r>
    </w:p>
    <w:p>
      <w:pPr>
        <w:pStyle w:val="ListBullet"/>
        <w:spacing w:after="40"/>
      </w:pPr>
      <w:r>
        <w:t>Procurement-cycle-time reports</w:t>
      </w:r>
    </w:p>
    <w:p>
      <w:pPr>
        <w:pStyle w:val="ListBullet"/>
        <w:spacing w:after="40"/>
      </w:pPr>
      <w:r>
        <w:t>Supplier-performance reports</w:t>
      </w:r>
    </w:p>
    <w:p>
      <w:pPr>
        <w:pStyle w:val="ListBullet"/>
        <w:spacing w:after="40"/>
      </w:pPr>
      <w:r>
        <w:t>Quotation-comparison reports</w:t>
      </w:r>
    </w:p>
    <w:p>
      <w:pPr>
        <w:pStyle w:val="ListBullet"/>
        <w:spacing w:after="40"/>
      </w:pPr>
      <w:r>
        <w:t>Inventory-availability reports</w:t>
      </w:r>
    </w:p>
    <w:p>
      <w:pPr>
        <w:pStyle w:val="ListBullet"/>
        <w:spacing w:after="40"/>
      </w:pPr>
      <w:r>
        <w:t>Resource-utilization reports</w:t>
      </w:r>
    </w:p>
    <w:p>
      <w:pPr>
        <w:pStyle w:val="ListBullet"/>
        <w:spacing w:after="40"/>
      </w:pPr>
      <w:r>
        <w:t>Inter-department transfer reports</w:t>
      </w:r>
    </w:p>
    <w:p>
      <w:pPr>
        <w:pStyle w:val="ListBullet"/>
        <w:spacing w:after="40"/>
      </w:pPr>
      <w:r>
        <w:t>Incoming-stock reports</w:t>
      </w:r>
    </w:p>
    <w:p>
      <w:pPr>
        <w:pStyle w:val="ListBullet"/>
        <w:spacing w:after="40"/>
      </w:pPr>
      <w:r>
        <w:t>Contract-expiry reports</w:t>
      </w:r>
    </w:p>
    <w:p>
      <w:pPr>
        <w:pStyle w:val="ListBullet"/>
        <w:spacing w:after="40"/>
      </w:pPr>
      <w:r>
        <w:t>SLA-compliance reports</w:t>
      </w:r>
    </w:p>
    <w:p>
      <w:pPr>
        <w:pStyle w:val="ListBullet"/>
        <w:spacing w:after="40"/>
      </w:pPr>
      <w:r>
        <w:t>Invoice-validation reports</w:t>
      </w:r>
    </w:p>
    <w:p>
      <w:pPr>
        <w:pStyle w:val="ListBullet"/>
        <w:spacing w:after="40"/>
      </w:pPr>
      <w:r>
        <w:t>Duplicate and overbilling reports</w:t>
      </w:r>
    </w:p>
    <w:p>
      <w:pPr>
        <w:pStyle w:val="ListBullet"/>
        <w:spacing w:after="40"/>
      </w:pPr>
      <w:r>
        <w:t>Exception and discrepancy reports</w:t>
      </w:r>
    </w:p>
    <w:p>
      <w:pPr>
        <w:pStyle w:val="ListBullet"/>
        <w:spacing w:after="40"/>
      </w:pPr>
      <w:r>
        <w:t>Payment and outstanding reports</w:t>
      </w:r>
    </w:p>
    <w:p>
      <w:pPr>
        <w:pStyle w:val="ListBullet"/>
        <w:spacing w:after="40"/>
      </w:pPr>
      <w:r>
        <w:t>Spend and cost reports</w:t>
      </w:r>
    </w:p>
    <w:p>
      <w:pPr>
        <w:pStyle w:val="ListBullet"/>
        <w:spacing w:after="40"/>
      </w:pPr>
      <w:r>
        <w:t>Emergency-procurement reports</w:t>
      </w:r>
    </w:p>
    <w:p>
      <w:pPr>
        <w:pStyle w:val="ListBullet"/>
        <w:spacing w:after="40"/>
      </w:pPr>
      <w:r>
        <w:t>Customer-feedback reports</w:t>
      </w:r>
    </w:p>
    <w:p>
      <w:pPr>
        <w:pStyle w:val="Heading2"/>
        <w:keepNext/>
      </w:pPr>
      <w:r>
        <w:t>4.20 Audit Logs and Activity Monitoring</w:t>
      </w:r>
    </w:p>
    <w:p>
      <w:pPr>
        <w:spacing w:after="120" w:line="259" w:lineRule="auto"/>
      </w:pPr>
      <w:r>
        <w:t>This component records important user and system activities.</w:t>
      </w:r>
    </w:p>
    <w:p>
      <w:pPr>
        <w:pStyle w:val="ListBullet"/>
        <w:spacing w:after="40"/>
      </w:pPr>
      <w:r>
        <w:t>User</w:t>
      </w:r>
    </w:p>
    <w:p>
      <w:pPr>
        <w:pStyle w:val="ListBullet"/>
        <w:spacing w:after="40"/>
      </w:pPr>
      <w:r>
        <w:t>Role</w:t>
      </w:r>
    </w:p>
    <w:p>
      <w:pPr>
        <w:pStyle w:val="ListBullet"/>
        <w:spacing w:after="40"/>
      </w:pPr>
      <w:r>
        <w:t>Organization</w:t>
      </w:r>
    </w:p>
    <w:p>
      <w:pPr>
        <w:pStyle w:val="ListBullet"/>
        <w:spacing w:after="40"/>
      </w:pPr>
      <w:r>
        <w:t>Date and time</w:t>
      </w:r>
    </w:p>
    <w:p>
      <w:pPr>
        <w:pStyle w:val="ListBullet"/>
        <w:spacing w:after="40"/>
      </w:pPr>
      <w:r>
        <w:t>Performed action</w:t>
      </w:r>
    </w:p>
    <w:p>
      <w:pPr>
        <w:pStyle w:val="ListBullet"/>
        <w:spacing w:after="40"/>
      </w:pPr>
      <w:r>
        <w:t>Module</w:t>
      </w:r>
    </w:p>
    <w:p>
      <w:pPr>
        <w:pStyle w:val="ListBullet"/>
        <w:spacing w:after="40"/>
      </w:pPr>
      <w:r>
        <w:t>Record identifier</w:t>
      </w:r>
    </w:p>
    <w:p>
      <w:pPr>
        <w:pStyle w:val="ListBullet"/>
        <w:spacing w:after="40"/>
      </w:pPr>
      <w:r>
        <w:t>Previous value</w:t>
      </w:r>
    </w:p>
    <w:p>
      <w:pPr>
        <w:pStyle w:val="ListBullet"/>
        <w:spacing w:after="40"/>
      </w:pPr>
      <w:r>
        <w:t>Updated value</w:t>
      </w:r>
    </w:p>
    <w:p>
      <w:pPr>
        <w:pStyle w:val="ListBullet"/>
        <w:spacing w:after="40"/>
      </w:pPr>
      <w:r>
        <w:t>IP or session information</w:t>
      </w:r>
    </w:p>
    <w:p>
      <w:pPr>
        <w:pStyle w:val="ListBullet"/>
        <w:spacing w:after="40"/>
      </w:pPr>
      <w:r>
        <w:t>Approval or rejection comments</w:t>
      </w:r>
    </w:p>
    <w:p>
      <w:pPr>
        <w:spacing w:before="80" w:after="40"/>
      </w:pPr>
      <w:r>
        <w:rPr>
          <w:b/>
        </w:rPr>
        <w:t>Purpose:</w:t>
      </w:r>
    </w:p>
    <w:p>
      <w:pPr>
        <w:pStyle w:val="ListBullet"/>
        <w:spacing w:after="40"/>
      </w:pPr>
      <w:r>
        <w:t>Audit logs shall support compliance reviews and issue investigation.</w:t>
      </w:r>
    </w:p>
    <w:p>
      <w:pPr>
        <w:pStyle w:val="Heading2"/>
        <w:keepNext/>
      </w:pPr>
      <w:r>
        <w:t>4.21 Document and File Handling</w:t>
      </w:r>
    </w:p>
    <w:p>
      <w:pPr>
        <w:spacing w:after="120" w:line="259" w:lineRule="auto"/>
      </w:pPr>
      <w:r>
        <w:t>This component stores and retrieves application documents using local server storage.</w:t>
      </w:r>
    </w:p>
    <w:p>
      <w:pPr>
        <w:pStyle w:val="ListBullet"/>
        <w:spacing w:after="40"/>
      </w:pPr>
      <w:r>
        <w:t>Supplier documents</w:t>
      </w:r>
    </w:p>
    <w:p>
      <w:pPr>
        <w:pStyle w:val="ListBullet"/>
        <w:spacing w:after="40"/>
      </w:pPr>
      <w:r>
        <w:t>Compliance certificates</w:t>
      </w:r>
    </w:p>
    <w:p>
      <w:pPr>
        <w:pStyle w:val="ListBullet"/>
        <w:spacing w:after="40"/>
      </w:pPr>
      <w:r>
        <w:t>RFQ attachments</w:t>
      </w:r>
    </w:p>
    <w:p>
      <w:pPr>
        <w:pStyle w:val="ListBullet"/>
        <w:spacing w:after="40"/>
      </w:pPr>
      <w:r>
        <w:t>Quotation documents</w:t>
      </w:r>
    </w:p>
    <w:p>
      <w:pPr>
        <w:pStyle w:val="ListBullet"/>
        <w:spacing w:after="40"/>
      </w:pPr>
      <w:r>
        <w:t>Contracts</w:t>
      </w:r>
    </w:p>
    <w:p>
      <w:pPr>
        <w:pStyle w:val="ListBullet"/>
        <w:spacing w:after="40"/>
      </w:pPr>
      <w:r>
        <w:t>Purchase orders</w:t>
      </w:r>
    </w:p>
    <w:p>
      <w:pPr>
        <w:pStyle w:val="ListBullet"/>
        <w:spacing w:after="40"/>
      </w:pPr>
      <w:r>
        <w:t>Invoices</w:t>
      </w:r>
    </w:p>
    <w:p>
      <w:pPr>
        <w:pStyle w:val="ListBullet"/>
        <w:spacing w:after="40"/>
      </w:pPr>
      <w:r>
        <w:t>Shipment documents</w:t>
      </w:r>
    </w:p>
    <w:p>
      <w:pPr>
        <w:pStyle w:val="ListBullet"/>
        <w:spacing w:after="40"/>
      </w:pPr>
      <w:r>
        <w:t>Feedback attachments</w:t>
      </w:r>
    </w:p>
    <w:p>
      <w:pPr>
        <w:pStyle w:val="ListBullet"/>
        <w:spacing w:after="40"/>
      </w:pPr>
      <w:r>
        <w:t>Reports</w:t>
      </w:r>
    </w:p>
    <w:p>
      <w:pPr>
        <w:pStyle w:val="ListBullet"/>
        <w:spacing w:after="40"/>
      </w:pPr>
      <w:r>
        <w:t>Emergency-procurement evidence</w:t>
      </w:r>
    </w:p>
    <w:p>
      <w:pPr>
        <w:spacing w:before="80" w:after="40"/>
      </w:pPr>
      <w:r>
        <w:rPr>
          <w:b/>
        </w:rPr>
        <w:t>File metadata:</w:t>
      </w:r>
    </w:p>
    <w:p>
      <w:pPr>
        <w:pStyle w:val="ListBullet"/>
        <w:spacing w:after="40"/>
      </w:pPr>
      <w:r>
        <w:t>The file-handling component shall maintain file names, storage paths, document types, upload dates and record references.</w:t>
      </w:r>
    </w:p>
    <w:p>
      <w:pPr>
        <w:pStyle w:val="Heading2"/>
        <w:keepNext/>
      </w:pPr>
      <w:r>
        <w:t>4.22 Master Data Management</w:t>
      </w:r>
    </w:p>
    <w:p>
      <w:pPr>
        <w:spacing w:after="120" w:line="259" w:lineRule="auto"/>
      </w:pPr>
      <w:r>
        <w:t>This component maintains reusable system data.</w:t>
      </w:r>
    </w:p>
    <w:p>
      <w:pPr>
        <w:pStyle w:val="ListBullet"/>
        <w:spacing w:after="40"/>
      </w:pPr>
      <w:r>
        <w:t>Products</w:t>
      </w:r>
    </w:p>
    <w:p>
      <w:pPr>
        <w:pStyle w:val="ListBullet"/>
        <w:spacing w:after="40"/>
      </w:pPr>
      <w:r>
        <w:t>Product categories</w:t>
      </w:r>
    </w:p>
    <w:p>
      <w:pPr>
        <w:pStyle w:val="ListBullet"/>
        <w:spacing w:after="40"/>
      </w:pPr>
      <w:r>
        <w:t>Services</w:t>
      </w:r>
    </w:p>
    <w:p>
      <w:pPr>
        <w:pStyle w:val="ListBullet"/>
        <w:spacing w:after="40"/>
      </w:pPr>
      <w:r>
        <w:t>Units of measurement</w:t>
      </w:r>
    </w:p>
    <w:p>
      <w:pPr>
        <w:pStyle w:val="ListBullet"/>
        <w:spacing w:after="40"/>
      </w:pPr>
      <w:r>
        <w:t>Tax categories</w:t>
      </w:r>
    </w:p>
    <w:p>
      <w:pPr>
        <w:pStyle w:val="ListBullet"/>
        <w:spacing w:after="40"/>
      </w:pPr>
      <w:r>
        <w:t>Departments</w:t>
      </w:r>
    </w:p>
    <w:p>
      <w:pPr>
        <w:pStyle w:val="ListBullet"/>
        <w:spacing w:after="40"/>
      </w:pPr>
      <w:r>
        <w:t>Warehouses</w:t>
      </w:r>
    </w:p>
    <w:p>
      <w:pPr>
        <w:pStyle w:val="ListBullet"/>
        <w:spacing w:after="40"/>
      </w:pPr>
      <w:r>
        <w:t>Storage locations</w:t>
      </w:r>
    </w:p>
    <w:p>
      <w:pPr>
        <w:pStyle w:val="ListBullet"/>
        <w:spacing w:after="40"/>
      </w:pPr>
      <w:r>
        <w:t>Supplier categories</w:t>
      </w:r>
    </w:p>
    <w:p>
      <w:pPr>
        <w:pStyle w:val="ListBullet"/>
        <w:spacing w:after="40"/>
      </w:pPr>
      <w:r>
        <w:t>Payment terms</w:t>
      </w:r>
    </w:p>
    <w:p>
      <w:pPr>
        <w:pStyle w:val="ListBullet"/>
        <w:spacing w:after="40"/>
      </w:pPr>
      <w:r>
        <w:t>Contract types</w:t>
      </w:r>
    </w:p>
    <w:p>
      <w:pPr>
        <w:pStyle w:val="ListBullet"/>
        <w:spacing w:after="40"/>
      </w:pPr>
      <w:r>
        <w:t>SLA criteria</w:t>
      </w:r>
    </w:p>
    <w:p>
      <w:pPr>
        <w:pStyle w:val="ListBullet"/>
        <w:spacing w:after="40"/>
      </w:pPr>
      <w:r>
        <w:t>Approval levels</w:t>
      </w:r>
    </w:p>
    <w:p>
      <w:pPr>
        <w:pStyle w:val="ListBullet"/>
        <w:spacing w:after="40"/>
      </w:pPr>
      <w:r>
        <w:t>Procurement thresholds</w:t>
      </w:r>
    </w:p>
    <w:p>
      <w:pPr>
        <w:pStyle w:val="ListBullet"/>
        <w:spacing w:after="40"/>
      </w:pPr>
      <w:r>
        <w:t>Exception types</w:t>
      </w:r>
    </w:p>
    <w:p>
      <w:pPr>
        <w:pStyle w:val="Heading2"/>
        <w:keepNext/>
      </w:pPr>
      <w:r>
        <w:t>4.23 Database and Data Access</w:t>
      </w:r>
    </w:p>
    <w:p>
      <w:pPr>
        <w:spacing w:after="120" w:line="259" w:lineRule="auto"/>
      </w:pPr>
      <w:r>
        <w:t>PostgreSQL shall store the main system data. Spring Data JPA and Hibernate shall provide access between the Spring Boot services and the database.</w:t>
      </w:r>
    </w:p>
    <w:p>
      <w:pPr>
        <w:pStyle w:val="ListBullet"/>
        <w:spacing w:after="40"/>
      </w:pPr>
      <w:r>
        <w:t>Transaction management</w:t>
      </w:r>
    </w:p>
    <w:p>
      <w:pPr>
        <w:pStyle w:val="ListBullet"/>
        <w:spacing w:after="40"/>
      </w:pPr>
      <w:r>
        <w:t>Entity relationships</w:t>
      </w:r>
    </w:p>
    <w:p>
      <w:pPr>
        <w:pStyle w:val="ListBullet"/>
        <w:spacing w:after="40"/>
      </w:pPr>
      <w:r>
        <w:t>Data validation</w:t>
      </w:r>
    </w:p>
    <w:p>
      <w:pPr>
        <w:pStyle w:val="ListBullet"/>
        <w:spacing w:after="40"/>
      </w:pPr>
      <w:r>
        <w:t>Organization-level isolation</w:t>
      </w:r>
    </w:p>
    <w:p>
      <w:pPr>
        <w:pStyle w:val="ListBullet"/>
        <w:spacing w:after="40"/>
      </w:pPr>
      <w:r>
        <w:t>Querying and reporting</w:t>
      </w:r>
    </w:p>
    <w:p>
      <w:pPr>
        <w:pStyle w:val="ListBullet"/>
        <w:spacing w:after="40"/>
      </w:pPr>
      <w:r>
        <w:t>Database constraints</w:t>
      </w:r>
    </w:p>
    <w:p>
      <w:pPr>
        <w:pStyle w:val="ListBullet"/>
        <w:spacing w:after="40"/>
      </w:pPr>
      <w:r>
        <w:t>Data backup</w:t>
      </w:r>
    </w:p>
    <w:p>
      <w:pPr>
        <w:pStyle w:val="ListBullet"/>
        <w:spacing w:after="40"/>
      </w:pPr>
      <w:r>
        <w:t>Controlled data retention</w:t>
      </w:r>
    </w:p>
    <w:p>
      <w:pPr>
        <w:pStyle w:val="Heading2"/>
        <w:keepNext/>
      </w:pPr>
      <w:r>
        <w:t>4.24 Shared Services</w:t>
      </w:r>
    </w:p>
    <w:p>
      <w:pPr>
        <w:spacing w:after="120" w:line="259" w:lineRule="auto"/>
      </w:pPr>
      <w:r>
        <w:t>The following services shall be reusable across all functional modules:</w:t>
      </w:r>
    </w:p>
    <w:p>
      <w:pPr>
        <w:pStyle w:val="ListBullet"/>
        <w:spacing w:after="40"/>
      </w:pPr>
      <w:r>
        <w:t>Authentication service</w:t>
      </w:r>
    </w:p>
    <w:p>
      <w:pPr>
        <w:pStyle w:val="ListBullet"/>
        <w:spacing w:after="40"/>
      </w:pPr>
      <w:r>
        <w:t>Authorization service</w:t>
      </w:r>
    </w:p>
    <w:p>
      <w:pPr>
        <w:pStyle w:val="ListBullet"/>
        <w:spacing w:after="40"/>
      </w:pPr>
      <w:r>
        <w:t>Workflow service</w:t>
      </w:r>
    </w:p>
    <w:p>
      <w:pPr>
        <w:pStyle w:val="ListBullet"/>
        <w:spacing w:after="40"/>
      </w:pPr>
      <w:r>
        <w:t>Notification service</w:t>
      </w:r>
    </w:p>
    <w:p>
      <w:pPr>
        <w:pStyle w:val="ListBullet"/>
        <w:spacing w:after="40"/>
      </w:pPr>
      <w:r>
        <w:t>File-handling service</w:t>
      </w:r>
    </w:p>
    <w:p>
      <w:pPr>
        <w:pStyle w:val="ListBullet"/>
        <w:spacing w:after="40"/>
      </w:pPr>
      <w:r>
        <w:t>Reporting service</w:t>
      </w:r>
    </w:p>
    <w:p>
      <w:pPr>
        <w:pStyle w:val="ListBullet"/>
        <w:spacing w:after="40"/>
      </w:pPr>
      <w:r>
        <w:t>Audit service</w:t>
      </w:r>
    </w:p>
    <w:p>
      <w:pPr>
        <w:pStyle w:val="ListBullet"/>
        <w:spacing w:after="40"/>
      </w:pPr>
      <w:r>
        <w:t>Configuration service</w:t>
      </w:r>
    </w:p>
    <w:p>
      <w:pPr>
        <w:pStyle w:val="ListBullet"/>
        <w:spacing w:after="40"/>
      </w:pPr>
      <w:r>
        <w:t>Validation service</w:t>
      </w:r>
    </w:p>
    <w:p>
      <w:pPr>
        <w:pStyle w:val="ListBullet"/>
        <w:spacing w:after="40"/>
      </w:pPr>
      <w:r>
        <w:t>Exception-handling service</w:t>
      </w:r>
    </w:p>
    <w:sectPr w:rsidR="00FC693F" w:rsidRPr="0006063C" w:rsidSect="00034616">
      <w:footerReference w:type="default" r:id="rId9"/>
      <w:pgSz w:w="12240" w:h="15840"/>
      <w:pgMar w:top="1080"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 - Procurement, Inventory and Audit Management System</dc:title>
  <dc:subject>Updated functional requirements solution architecture</dc:subject>
  <dc:creator>OpenAI</dc:creator>
  <cp:keywords>procurement, inventory, audit, solution architecture, React, Spring Boot, PostgreSQL</cp:keywords>
  <dc:description>generated by python-docx</dc:description>
  <cp:lastModifiedBy/>
  <cp:revision>1</cp:revision>
  <dcterms:created xsi:type="dcterms:W3CDTF">2013-12-23T23:15:00Z</dcterms:created>
  <dcterms:modified xsi:type="dcterms:W3CDTF">2013-12-23T23:15:00Z</dcterms:modified>
  <cp:category/>
</cp:coreProperties>
</file>