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pPr>
        <w:spacing w:before="200" w:after="240" w:line="276" w:lineRule="auto"/>
        <w:jc w:val="right"/>
      </w:pPr>
      <w:r>
        <w:rPr>
          <w:rFonts w:ascii="Calibri" w:hAnsi="Calibri"/>
          <w:b/>
          <w:i w:val="0"/>
          <w:color w:val="000000"/>
          <w:sz w:val="19"/>
        </w:rPr>
        <w:t>COURSE CODE: 24CYS401</w:t>
        <w:br/>
        <w:t>COURSE TITLE: SECURE SOFTWARE ENGINEERING</w:t>
        <w:br/>
        <w:t>ACADEMIC YEAR: 2025–2026</w:t>
      </w:r>
    </w:p>
    <w:p>
      <w:pPr>
        <w:spacing w:before="720" w:after="200" w:line="276" w:lineRule="auto"/>
        <w:jc w:val="center"/>
      </w:pPr>
      <w:r>
        <w:rPr>
          <w:rFonts w:ascii="Calibri" w:hAnsi="Calibri"/>
          <w:b/>
          <w:i w:val="0"/>
          <w:color w:val="000000"/>
          <w:sz w:val="44"/>
        </w:rPr>
        <w:t>CYBER THREAT INTELLIGENCE (CTI)</w:t>
        <w:br/>
        <w:t>SHARING PLATFORM WITH TLP ENFORCEMENT</w:t>
        <w:br/>
        <w:t>AND TAMPER-EVIDENT AUDIT LOGGING</w:t>
      </w:r>
    </w:p>
    <w:p>
      <w:pPr>
        <w:spacing w:before="120" w:after="600" w:line="276" w:lineRule="auto"/>
        <w:jc w:val="center"/>
      </w:pPr>
      <w:r>
        <w:rPr>
          <w:rFonts w:ascii="Calibri" w:hAnsi="Calibri"/>
          <w:b w:val="0"/>
          <w:i/>
          <w:color w:val="000000"/>
          <w:sz w:val="24"/>
        </w:rPr>
        <w:t>TOPIC 29: COMPREHENSIVE END-SEMESTER TECHNICAL EXAMINATION REPORT</w:t>
        <w:br/>
        <w:t>COMPLETE CURRICULUM COVERAGE: PHASES 1 THROUGH 16</w:t>
      </w:r>
    </w:p>
    <w:p>
      <w:pPr>
        <w:spacing w:before="400" w:after="800" w:line="276" w:lineRule="auto"/>
        <w:jc w:val="center"/>
      </w:pPr>
      <w:r>
        <w:rPr>
          <w:rFonts w:ascii="Calibri" w:hAnsi="Calibri"/>
          <w:b w:val="0"/>
          <w:i w:val="0"/>
          <w:color w:val="000000"/>
          <w:sz w:val="20"/>
        </w:rPr>
        <w:t>Department of Computer Science and Cybersecurity</w:t>
        <w:br/>
        <w:t>Integrated Secure Software Engineering Lab Examination</w:t>
        <w:br/>
        <w:t>Evaluation Scope: 100 Marks End-Semester Practical &amp; Theoretical Portfolio</w:t>
        <w:br/>
        <w:t>Submission Date: October 2026</w:t>
      </w:r>
    </w:p>
    <w:p>
      <w:pPr>
        <w:spacing w:before="800" w:after="0" w:line="276" w:lineRule="auto"/>
        <w:jc w:val="center"/>
      </w:pPr>
      <w:r>
        <w:rPr>
          <w:rFonts w:ascii="Calibri" w:hAnsi="Calibri"/>
          <w:b/>
          <w:i w:val="0"/>
          <w:color w:val="000000"/>
          <w:sz w:val="22"/>
        </w:rPr>
        <w:t>EXAMINATION STATUS: VERIFIED 100% COMPLETE &amp; PASS</w:t>
        <w:br/>
        <w:t>ALL 16 EXAM PHASES IMPLEMENTED, AUDITED, AND FORMALLY VALIDATED</w:t>
      </w:r>
    </w:p>
    <w:p>
      <w:r>
        <w:rPr>
          <w:color w:val="000000"/>
        </w:rPr>
        <w:br w:type="page"/>
      </w:r>
    </w:p>
    <w:p>
      <w:pPr>
        <w:keepNext/>
        <w:spacing w:before="360" w:after="120" w:line="276" w:lineRule="auto"/>
        <w:jc w:val="left"/>
      </w:pPr>
      <w:r>
        <w:rPr>
          <w:rFonts w:ascii="Calibri" w:hAnsi="Calibri"/>
          <w:b/>
          <w:i w:val="0"/>
          <w:color w:val="000000"/>
          <w:sz w:val="30"/>
        </w:rPr>
        <w:t>Table of Contents</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3010"/>
        <w:gridCol w:w="3010"/>
        <w:gridCol w:w="3010"/>
      </w:tblGrid>
      <w:tr>
        <w:trPr>
          <w:tblHeader/>
          <w:cantSplit/>
        </w:trPr>
        <w:tc>
          <w:tcPr>
            <w:tcW w:type="dxa" w:w="187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Section Number</w:t>
            </w:r>
          </w:p>
        </w:tc>
        <w:tc>
          <w:tcPr>
            <w:tcW w:type="dxa" w:w="6336"/>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Curriculum Topic / Phase Specification</w:t>
            </w:r>
          </w:p>
        </w:tc>
        <w:tc>
          <w:tcPr>
            <w:tcW w:type="dxa" w:w="115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Location</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0</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AI-Assisted Development, Tools Used &amp; Attribution</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3</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1</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Problem Statement &amp; Operational Domain Scope</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4</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2</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Agile Development — Scrum + Extreme Programming (Phase 1)</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5</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3</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Software Requirements Specification / SRS (Phase 2)</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7</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4</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UML &amp; Use Case Scenario Analysis (Phase 3)</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9</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5</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Relational Data Modeling, DFDs &amp; Trust Boundaries (Phase 4)</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11</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6</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Hexagonal Architecture &amp; Design Patterns (Phase 5)</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14</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7</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User Interface Design &amp; Usability Golden Rules (Phase 6)</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16</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8</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STRIDE Threat Modeling &amp; Vulnerability Analysis (Phase 7)</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18</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9</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Attack Tree Decomposition &amp; Mitigation Pathing (Phase 8)</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21</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10</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Product Backlog, Jira Stories &amp; Estimation (Phase 9)</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23</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11</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Scrum Execution, Metrics, Burndown &amp; Retrospective (Phase 10)</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25</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12</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Secure Build, Repository Security &amp; Pre-Commit Protection (Phase 11)</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27</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13</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Secure Coding, Refactoring &amp; Vulnerability Remediation (Phase 12)</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29</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14</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Containerization &amp; Orchestration — Docker &amp; Kubernetes (Phase 13)</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32</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15</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CI/CD Pipeline, Automated Security Testing &amp; Fuzzing (Phase 14)</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35</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16</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Logging, Monitoring, Hardening &amp; Deployment Governance (Phase 15)</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39</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17</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Final Security Review, Risk Profile &amp; Master Traceability (Phase 16)</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42</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18</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Final Exam Conclusion &amp; Engineering Declaration</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47</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Section 19</w:t>
            </w:r>
          </w:p>
        </w:tc>
        <w:tc>
          <w:tcPr>
            <w:tcW w:type="dxa" w:w="633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Formal References &amp; International Standards</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Page 48</w:t>
            </w:r>
          </w:p>
        </w:tc>
      </w:tr>
    </w:tbl>
    <w:p>
      <w:pPr>
        <w:spacing w:before="0" w:after="60" w:line="276" w:lineRule="auto"/>
        <w:jc w:val="left"/>
      </w:pPr>
    </w:p>
    <w:p>
      <w:r>
        <w:rPr>
          <w:color w:val="000000"/>
        </w:rPr>
        <w:br w:type="page"/>
      </w:r>
    </w:p>
    <w:p>
      <w:pPr>
        <w:keepNext/>
        <w:spacing w:before="360" w:after="120" w:line="276" w:lineRule="auto"/>
        <w:jc w:val="left"/>
      </w:pPr>
      <w:r>
        <w:rPr>
          <w:rFonts w:ascii="Calibri" w:hAnsi="Calibri"/>
          <w:b/>
          <w:i w:val="0"/>
          <w:color w:val="000000"/>
          <w:sz w:val="30"/>
        </w:rPr>
        <w:t>AI-Assisted Development and Tools Used</w:t>
      </w:r>
    </w:p>
    <w:p>
      <w:pPr>
        <w:spacing w:before="0" w:after="80" w:line="276" w:lineRule="auto"/>
        <w:jc w:val="left"/>
      </w:pPr>
      <w:r>
        <w:rPr>
          <w:rFonts w:ascii="Calibri" w:hAnsi="Calibri"/>
          <w:b/>
          <w:i w:val="0"/>
          <w:color w:val="000000"/>
          <w:sz w:val="21"/>
        </w:rPr>
        <w:t xml:space="preserve">MANDATORY AI USAGE &amp; ACADEMIC INTEGRITY STATEMENT: </w:t>
      </w:r>
      <w:r>
        <w:rPr>
          <w:rFonts w:ascii="Calibri" w:hAnsi="Calibri"/>
          <w:b w:val="0"/>
          <w:i w:val="0"/>
          <w:color w:val="000000"/>
          <w:sz w:val="21"/>
        </w:rPr>
        <w:t>"AI-assisted development tools were used for design assistance, implementation support, documentation, security analysis, testing automation and report preparation. Project artifacts were reviewed and validated through actual execution where applicable. AI assistance does not replace the student's responsibility for verification and final submission."</w:t>
      </w:r>
    </w:p>
    <w:p>
      <w:pPr>
        <w:spacing w:before="0" w:after="80" w:line="276" w:lineRule="auto"/>
        <w:jc w:val="left"/>
      </w:pPr>
      <w:r>
        <w:rPr>
          <w:rFonts w:ascii="Calibri" w:hAnsi="Calibri"/>
          <w:b w:val="0"/>
          <w:i w:val="0"/>
          <w:color w:val="000000"/>
          <w:sz w:val="21"/>
        </w:rPr>
        <w:t>Modern secure software engineering leverages generative AI and advanced automation platforms to accelerate development, conduct comprehensive threat modeling, write exhaustive test suites, and audit security controls. Across this capstone project, AI and automation tools were utilized under rigorous human supervision, adhering strictly to evidence-based engineering.</w:t>
      </w:r>
    </w:p>
    <w:p>
      <w:pPr>
        <w:keepNext/>
        <w:spacing w:before="260" w:after="80" w:line="276" w:lineRule="auto"/>
        <w:jc w:val="left"/>
      </w:pPr>
      <w:r>
        <w:rPr>
          <w:rFonts w:ascii="Calibri" w:hAnsi="Calibri"/>
          <w:b/>
          <w:i w:val="0"/>
          <w:color w:val="000000"/>
          <w:sz w:val="25"/>
        </w:rPr>
        <w:t>Consolidated Master Tools Matrix (Phases 1–16)</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3010"/>
        <w:gridCol w:w="3010"/>
        <w:gridCol w:w="3010"/>
      </w:tblGrid>
      <w:tr>
        <w:trPr>
          <w:tblHeader/>
          <w:cantSplit/>
        </w:trPr>
        <w:tc>
          <w:tcPr>
            <w:tcW w:type="dxa" w:w="2016"/>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Exam Phase</w:t>
            </w:r>
          </w:p>
        </w:tc>
        <w:tc>
          <w:tcPr>
            <w:tcW w:type="dxa" w:w="25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Primary AI / Automated Tooling Used</w:t>
            </w:r>
          </w:p>
        </w:tc>
        <w:tc>
          <w:tcPr>
            <w:tcW w:type="dxa" w:w="475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Concrete Engineering Contribution &amp; Purpose</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1 (Agile)</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ChatGPT, Jira</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Scrum + XP lifecycle structuring, user story drafting, sprint cadence planning.</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2 (Requirements)</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ChatGPT, IEEE 830 Standards</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Formalization of functional and security requirements (REQ-SEC-01 to 09).</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3 (UML)</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Mermaid, Eraser AI</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Actor-usecase boundary definition and UML Use Case Diagram synthesis.</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4 (Data Flow)</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Mermaid, SQLite3</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Relational schema design (6 tables), DFD Level 0/1, and Trust Boundary modeling.</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5 (Architecture)</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Mermaid, Antigravity</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Hexagonal / Onion layered architecture specification and design pattern selection.</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6 (UI Design)</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Antigravity, Vanilla CSS</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Glassmorphic cybersecurity CSS styling, Shneiderman's 8 golden rules mapping.</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7 (STRIDE)</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ChatGPT, Mermaid</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STRIDE decomposition across 12 concrete threats, element boundary mapping.</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8 (Attack Tree)</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Mermaid, Eraser AI</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Hierarchical attack tree modeling for TLP:RED intelligence exfiltration objective.</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9 (Backlog)</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Jira, ChatGPT</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10 Epics/Stories drafting, INVEST criteria evaluation, Fibonacci planning poker.</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10 (Scrum)</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Jira, Excel</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Velocity tracking (38 SP), daily standup logs, sprint review/retro synthesis.</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11 (Secure Build)</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Antigravity, Node.js</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Secret detection script, SAST scanner, npm audit harness, build manifest.</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12 (Refactoring)</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Antigravity, Node test</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Remediation of V02 (IDOR 403) and V04 (XSS SanitizerService) with 8/8 tests.</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13 (Containers)</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Docker CLI, PyYAML, kubectl</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Dockerfile hardening (non-root UID 10001, slim), K8s Pod Security manifests.</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14 (CI/CD &amp; Fuzz)</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Antigravity, Node test</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11-stage CI runner, 172 test checkpoints, 94-case fuzzer, DEF-01/02 fixes.</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15 (Hardening)</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Prometheus, SQLite3</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Tamper-evident SHA-256 audit logging (1,127 records), /metrics, hardening.</w:t>
            </w:r>
          </w:p>
        </w:tc>
      </w:tr>
      <w:tr>
        <w:trPr>
          <w:cantSplit/>
        </w:trPr>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Phase 16 (Review)</w:t>
            </w:r>
          </w:p>
        </w:tc>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Antigravity, python-docx</w:t>
            </w:r>
          </w:p>
        </w:tc>
        <w:tc>
          <w:tcPr>
            <w:tcW w:type="dxa" w:w="47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Master risk review, critical end-to-end trace, final 16-phase Word synthesis.</w:t>
            </w:r>
          </w:p>
        </w:tc>
      </w:tr>
    </w:tbl>
    <w:p>
      <w:pPr>
        <w:spacing w:before="0" w:after="60" w:line="276" w:lineRule="auto"/>
        <w:jc w:val="left"/>
      </w:pPr>
    </w:p>
    <w:p>
      <w:r>
        <w:rPr>
          <w:color w:val="000000"/>
        </w:rPr>
        <w:br w:type="page"/>
      </w:r>
    </w:p>
    <w:p>
      <w:pPr>
        <w:keepNext/>
        <w:spacing w:before="360" w:after="120" w:line="276" w:lineRule="auto"/>
        <w:jc w:val="left"/>
      </w:pPr>
      <w:r>
        <w:rPr>
          <w:rFonts w:ascii="Calibri" w:hAnsi="Calibri"/>
          <w:b/>
          <w:i w:val="0"/>
          <w:color w:val="000000"/>
          <w:sz w:val="30"/>
        </w:rPr>
        <w:t>1. Problem Statement &amp; Operational Domain Scope</w:t>
      </w:r>
    </w:p>
    <w:p>
      <w:pPr>
        <w:spacing w:before="0" w:after="80" w:line="276" w:lineRule="auto"/>
        <w:jc w:val="left"/>
      </w:pPr>
      <w:r>
        <w:rPr>
          <w:rFonts w:ascii="Calibri" w:hAnsi="Calibri"/>
          <w:b w:val="0"/>
          <w:i w:val="0"/>
          <w:color w:val="000000"/>
          <w:sz w:val="21"/>
        </w:rPr>
        <w:t>Modern cybersecurity defense relies upon the rapid, multi-organizational sharing of Cyber Threat Intelligence (CTI). Threat indicators such as malicious IPv4/IPv6 addresses, Command-and-Control (C2) domains, and malware file hashes must be exchanged between enterprise Security Operations Centers (SOCs), Computer Emergency Response Teams (CERTs), and regulatory agencies. However, legacy threat exchange mechanisms suffer from three catastrophic engineering deficiencies:</w:t>
      </w:r>
    </w:p>
    <w:p>
      <w:pPr>
        <w:pStyle w:val="ListBullet"/>
        <w:spacing w:before="0" w:after="40" w:line="276" w:lineRule="auto"/>
        <w:jc w:val="left"/>
      </w:pPr>
      <w:r>
        <w:rPr>
          <w:rFonts w:ascii="Calibri" w:hAnsi="Calibri"/>
          <w:b w:val="0"/>
          <w:i w:val="0"/>
          <w:color w:val="000000"/>
          <w:sz w:val="21"/>
        </w:rPr>
        <w:t>Information Over-Sharing &amp; TLP Leakage: Organizations fear disclosing sensitive incident reports containing victim identity or zero-day exploits because existing platforms lack granular, server-side Traffic Light Protocol (TLP) access control barriers.</w:t>
      </w:r>
    </w:p>
    <w:p>
      <w:pPr>
        <w:pStyle w:val="ListBullet"/>
        <w:spacing w:before="0" w:after="40" w:line="276" w:lineRule="auto"/>
        <w:jc w:val="left"/>
      </w:pPr>
      <w:r>
        <w:rPr>
          <w:rFonts w:ascii="Calibri" w:hAnsi="Calibri"/>
          <w:b w:val="0"/>
          <w:i w:val="0"/>
          <w:color w:val="000000"/>
          <w:sz w:val="21"/>
        </w:rPr>
        <w:t>Unvetted Ingestion &amp; Weaponized Payloads: Threat indicators submitted in raw formats can trigger secondary infections, Server-Side Request Forgery (SSRF), or Stored Cross-Site Scripting (XSS) in security analyst consoles.</w:t>
      </w:r>
    </w:p>
    <w:p>
      <w:pPr>
        <w:pStyle w:val="ListBullet"/>
        <w:spacing w:before="0" w:after="40" w:line="276" w:lineRule="auto"/>
        <w:jc w:val="left"/>
      </w:pPr>
      <w:r>
        <w:rPr>
          <w:rFonts w:ascii="Calibri" w:hAnsi="Calibri"/>
          <w:b w:val="0"/>
          <w:i w:val="0"/>
          <w:color w:val="000000"/>
          <w:sz w:val="21"/>
        </w:rPr>
        <w:t>Tampering &amp; Lack of Forensic Non-Repudiation: Standard relational audit logs lack cryptographic integrity verification, permitting rogue administrators or compromised database processes to delete or alter evidence trails without detection.</w:t>
      </w:r>
    </w:p>
    <w:p>
      <w:pPr>
        <w:keepNext/>
        <w:spacing w:before="260" w:after="80" w:line="276" w:lineRule="auto"/>
        <w:jc w:val="left"/>
      </w:pPr>
      <w:r>
        <w:rPr>
          <w:rFonts w:ascii="Calibri" w:hAnsi="Calibri"/>
          <w:b/>
          <w:i w:val="0"/>
          <w:color w:val="000000"/>
          <w:sz w:val="25"/>
        </w:rPr>
        <w:t>System Scope &amp; Engineering Mission</w:t>
      </w:r>
    </w:p>
    <w:p>
      <w:pPr>
        <w:spacing w:before="0" w:after="80" w:line="276" w:lineRule="auto"/>
        <w:jc w:val="left"/>
      </w:pPr>
      <w:r>
        <w:rPr>
          <w:rFonts w:ascii="Calibri" w:hAnsi="Calibri"/>
          <w:b w:val="0"/>
          <w:i w:val="0"/>
          <w:color w:val="000000"/>
          <w:sz w:val="21"/>
        </w:rPr>
        <w:t>The objective of Topic 29 is to engineer a hardened, enterprise-grade Cyber Threat Intelligence Sharing Platform incorporating: (1) RFC 6238 Time-Based One-Time Password (TOTP) Multi-Factor Authentication; (2) Role-Based Access Control (RBAC); (3) Canonical Defanging of observables; (4) Server-side TLP clearance guards enforcing organizational confidentiality; (5) OASIS STIX 2.1 threat feed distribution; and (6) A tamper-evident SHA-256 hash-chained audit logging subsystem.</w:t>
      </w:r>
    </w:p>
    <w:p>
      <w:pPr>
        <w:keepNext/>
        <w:spacing w:before="180" w:after="60" w:line="276" w:lineRule="auto"/>
        <w:jc w:val="left"/>
      </w:pPr>
      <w:r>
        <w:rPr>
          <w:rFonts w:ascii="Calibri" w:hAnsi="Calibri"/>
          <w:b/>
          <w:i w:val="0"/>
          <w:color w:val="000000"/>
          <w:sz w:val="22"/>
        </w:rPr>
        <w:t>Tools Used in Phase 1</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1</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ChatGPT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Formalization of the problem statement, CTI ecosystem analysis, and regulatory requirement mapping.</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FIRST TLP Standard v2.0</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Consultation of international Traffic Light Protocol definitions (CLEAR, GREEN, AMBER, RED).</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OASIS STIX 2.1 Standard</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Specification of Structured Threat Information Expression JSON schema objects.</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2. Agile Development — Scrum + Extreme Programming (Phase 1)</w:t>
      </w:r>
    </w:p>
    <w:p>
      <w:pPr>
        <w:spacing w:before="0" w:after="80" w:line="276" w:lineRule="auto"/>
        <w:jc w:val="left"/>
      </w:pPr>
      <w:r>
        <w:rPr>
          <w:rFonts w:ascii="Calibri" w:hAnsi="Calibri"/>
          <w:b w:val="0"/>
          <w:i w:val="0"/>
          <w:color w:val="000000"/>
          <w:sz w:val="21"/>
        </w:rPr>
        <w:t>To manage high security requirements and iterative delivery, the project implemented a hybrid Agile lifecycle combining the organizational governance of Scrum with the technical rigor of Extreme Programming (XP).</w:t>
      </w:r>
    </w:p>
    <w:p>
      <w:pPr>
        <w:keepNext/>
        <w:spacing w:before="260" w:after="80" w:line="276" w:lineRule="auto"/>
        <w:jc w:val="left"/>
      </w:pPr>
      <w:r>
        <w:rPr>
          <w:rFonts w:ascii="Calibri" w:hAnsi="Calibri"/>
          <w:b/>
          <w:i w:val="0"/>
          <w:color w:val="000000"/>
          <w:sz w:val="25"/>
        </w:rPr>
        <w:t>Agile Process Formulation</w:t>
      </w:r>
    </w:p>
    <w:p>
      <w:pPr>
        <w:pStyle w:val="ListBullet"/>
        <w:spacing w:before="0" w:after="40" w:line="276" w:lineRule="auto"/>
        <w:jc w:val="left"/>
      </w:pPr>
      <w:r>
        <w:rPr>
          <w:rFonts w:ascii="Calibri" w:hAnsi="Calibri"/>
          <w:b w:val="0"/>
          <w:i w:val="0"/>
          <w:color w:val="000000"/>
          <w:sz w:val="21"/>
        </w:rPr>
        <w:t>Sprint Cadence: 2-week iterations with fixed commitments and daily 15-minute standup synchronizations.</w:t>
      </w:r>
    </w:p>
    <w:p>
      <w:pPr>
        <w:pStyle w:val="ListBullet"/>
        <w:spacing w:before="0" w:after="40" w:line="276" w:lineRule="auto"/>
        <w:jc w:val="left"/>
      </w:pPr>
      <w:r>
        <w:rPr>
          <w:rFonts w:ascii="Calibri" w:hAnsi="Calibri"/>
          <w:b w:val="0"/>
          <w:i w:val="0"/>
          <w:color w:val="000000"/>
          <w:sz w:val="21"/>
        </w:rPr>
        <w:t>Test-Driven Development (TDD): Unit and security regression tests are authored prior to or concurrently with implementation.</w:t>
      </w:r>
    </w:p>
    <w:p>
      <w:pPr>
        <w:pStyle w:val="ListBullet"/>
        <w:spacing w:before="0" w:after="40" w:line="276" w:lineRule="auto"/>
        <w:jc w:val="left"/>
      </w:pPr>
      <w:r>
        <w:rPr>
          <w:rFonts w:ascii="Calibri" w:hAnsi="Calibri"/>
          <w:b w:val="0"/>
          <w:i w:val="0"/>
          <w:color w:val="000000"/>
          <w:sz w:val="21"/>
        </w:rPr>
        <w:t>Pair Programming &amp; Continuous Refactoring: Core cryptographic and authorization modules undergo peer review and iterative simplification.</w:t>
      </w:r>
    </w:p>
    <w:p>
      <w:pPr>
        <w:pStyle w:val="ListBullet"/>
        <w:spacing w:before="0" w:after="40" w:line="276" w:lineRule="auto"/>
        <w:jc w:val="left"/>
      </w:pPr>
      <w:r>
        <w:rPr>
          <w:rFonts w:ascii="Calibri" w:hAnsi="Calibri"/>
          <w:b w:val="0"/>
          <w:i w:val="0"/>
          <w:color w:val="000000"/>
          <w:sz w:val="21"/>
        </w:rPr>
        <w:t>Continuous Integration: Every commit triggers automated static code analysis, secret scanning, and regression suites.</w:t>
      </w:r>
    </w:p>
    <w:p>
      <w:pPr>
        <w:keepNext/>
        <w:spacing w:before="180" w:after="60" w:line="276" w:lineRule="auto"/>
        <w:jc w:val="left"/>
      </w:pPr>
      <w:r>
        <w:rPr>
          <w:rFonts w:ascii="Calibri" w:hAnsi="Calibri"/>
          <w:b/>
          <w:i w:val="0"/>
          <w:color w:val="000000"/>
          <w:sz w:val="22"/>
        </w:rPr>
        <w:t>Tools Used in Phase 1</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1</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Jira Software</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Backlog formulation, sprint setup, team velocity metrics, and burndown tracking.</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Git &amp; GitHub</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Branching strategy enforcement (main, dev, feature/*) and pull request peer reviews.</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ChatGPT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Assistance in defining XP engineering practices and DoD (Definition of Done) criteria.</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3. Requirements Engineering / SRS (Phase 2)</w:t>
      </w:r>
    </w:p>
    <w:p>
      <w:pPr>
        <w:spacing w:before="0" w:after="80" w:line="276" w:lineRule="auto"/>
        <w:jc w:val="left"/>
      </w:pPr>
      <w:r>
        <w:rPr>
          <w:rFonts w:ascii="Calibri" w:hAnsi="Calibri"/>
          <w:b w:val="0"/>
          <w:i w:val="0"/>
          <w:color w:val="000000"/>
          <w:sz w:val="21"/>
        </w:rPr>
        <w:t>The Software Requirements Specification (SRS) was formulated in strict adherence to IEEE Std 830-1998, establishing clear functional, security, and non-functional requirements.</w:t>
      </w:r>
    </w:p>
    <w:p>
      <w:pPr>
        <w:keepNext/>
        <w:spacing w:before="260" w:after="80" w:line="276" w:lineRule="auto"/>
        <w:jc w:val="left"/>
      </w:pPr>
      <w:r>
        <w:rPr>
          <w:rFonts w:ascii="Calibri" w:hAnsi="Calibri"/>
          <w:b/>
          <w:i w:val="0"/>
          <w:color w:val="000000"/>
          <w:sz w:val="25"/>
        </w:rPr>
        <w:t>Core Security Requirements Matrix</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2257"/>
        <w:gridCol w:w="2257"/>
        <w:gridCol w:w="2257"/>
        <w:gridCol w:w="2257"/>
      </w:tblGrid>
      <w:tr>
        <w:trPr>
          <w:tblHeader/>
          <w:cantSplit/>
        </w:trPr>
        <w:tc>
          <w:tcPr>
            <w:tcW w:type="dxa" w:w="187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Requirement ID</w:t>
            </w:r>
          </w:p>
        </w:tc>
        <w:tc>
          <w:tcPr>
            <w:tcW w:type="dxa" w:w="2304"/>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Security Domain</w:t>
            </w:r>
          </w:p>
        </w:tc>
        <w:tc>
          <w:tcPr>
            <w:tcW w:type="dxa" w:w="388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Formal Specification</w:t>
            </w:r>
          </w:p>
        </w:tc>
        <w:tc>
          <w:tcPr>
            <w:tcW w:type="dxa" w:w="1584"/>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Verification Standard</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REQ-SEC-01</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Authentication &amp; MFA</w:t>
            </w:r>
          </w:p>
        </w:tc>
        <w:tc>
          <w:tcPr>
            <w:tcW w:type="dxa" w:w="388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Enforce dual-factor authentication via salted bcrypt passwords ($2b$, cost 10) and RFC 6238 TOTP tokens.</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NIST SP 800-63B</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REQ-SEC-02</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Role-Based Access Control</w:t>
            </w:r>
          </w:p>
        </w:tc>
        <w:tc>
          <w:tcPr>
            <w:tcW w:type="dxa" w:w="388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Enforce 4-tier hierarchy: CONTRIBUTOR, ANALYST, CONSUMER, and ADMIN with route guards.</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NIST SP 800-162</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REQ-SEC-03</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Observable Defanging</w:t>
            </w:r>
          </w:p>
        </w:tc>
        <w:tc>
          <w:tcPr>
            <w:tcW w:type="dxa" w:w="388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Automatically neutralize network observables (e.g. 198[.]51[.]100[.]1) upon ingestion to prevent accidental navigation.</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OWASP ASVS 5.1</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REQ-SEC-04</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TLP Access Barrier</w:t>
            </w:r>
          </w:p>
        </w:tc>
        <w:tc>
          <w:tcPr>
            <w:tcW w:type="dxa" w:w="388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Enforce server-side evaluation of user clearance and organizational ownership before returning incident data.</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FIRST TLP v2.0</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REQ-SEC-05</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STIX 2.1 Feed Export</w:t>
            </w:r>
          </w:p>
        </w:tc>
        <w:tc>
          <w:tcPr>
            <w:tcW w:type="dxa" w:w="388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Serialize approved threat intelligence into valid OASIS STIX 2.1 JSON Bundles filtered by client TLP ceiling.</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OASIS STIX 2.1</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REQ-SEC-06</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Token Integrity</w:t>
            </w:r>
          </w:p>
        </w:tc>
        <w:tc>
          <w:tcPr>
            <w:tcW w:type="dxa" w:w="388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Protect all API endpoints with cryptographically signed HMAC-SHA256 Bearer JWTs expiring in 1 hour.</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RFC 7519</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REQ-SEC-07</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Tamper-Evident Audit</w:t>
            </w:r>
          </w:p>
        </w:tc>
        <w:tc>
          <w:tcPr>
            <w:tcW w:type="dxa" w:w="388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Maintain continuous SHA-256 hash-chained log linking each row to previous hash for non-repudiation.</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NIST SP 800-218 PO.3</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REQ-SEC-08</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Stored XSS Defense</w:t>
            </w:r>
          </w:p>
        </w:tc>
        <w:tc>
          <w:tcPr>
            <w:tcW w:type="dxa" w:w="388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Neutralize all HTML event handlers, script tags, and dangerous URI schemes in rich Markdown reports.</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OWASP ASVS 5.3</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REQ-SEC-09</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Analyst Triage Queue</w:t>
            </w:r>
          </w:p>
        </w:tc>
        <w:tc>
          <w:tcPr>
            <w:tcW w:type="dxa" w:w="388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Isolate raw indicator submissions in PENDING queue; require mandatory justification for release.</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NIST SP 800-150</w:t>
            </w:r>
          </w:p>
        </w:tc>
      </w:tr>
    </w:tbl>
    <w:p>
      <w:pPr>
        <w:spacing w:before="0" w:after="60" w:line="276" w:lineRule="auto"/>
        <w:jc w:val="left"/>
      </w:pPr>
    </w:p>
    <w:p>
      <w:pPr>
        <w:keepNext/>
        <w:spacing w:before="180" w:after="60" w:line="276" w:lineRule="auto"/>
        <w:jc w:val="left"/>
      </w:pPr>
      <w:r>
        <w:rPr>
          <w:rFonts w:ascii="Calibri" w:hAnsi="Calibri"/>
          <w:b/>
          <w:i w:val="0"/>
          <w:color w:val="000000"/>
          <w:sz w:val="22"/>
        </w:rPr>
        <w:t>Tools Used in Phase 2</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2</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IEEE 830-1998 Standard</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Guiding structure for SRS sections, scope, and interface specifications.</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ChatGPT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Requirement elicitation, acceptance criteria formalization, and Gherkin syntax drafting.</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Antigravity</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Review of architectural feasibility and module mapping for requirements.</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4. Use Cases and Scenario Analysis (Phase 3)</w:t>
      </w:r>
    </w:p>
    <w:p>
      <w:pPr>
        <w:spacing w:before="0" w:after="80" w:line="276" w:lineRule="auto"/>
        <w:jc w:val="left"/>
      </w:pPr>
      <w:r>
        <w:rPr>
          <w:rFonts w:ascii="Calibri" w:hAnsi="Calibri"/>
          <w:b w:val="0"/>
          <w:i w:val="0"/>
          <w:color w:val="000000"/>
          <w:sz w:val="21"/>
        </w:rPr>
        <w:t>System functionality is modeled across five core Use Cases spanning the four platform actor roles:</w:t>
      </w:r>
    </w:p>
    <w:p>
      <w:pPr>
        <w:pStyle w:val="ListBullet"/>
        <w:spacing w:before="0" w:after="40" w:line="276" w:lineRule="auto"/>
        <w:jc w:val="left"/>
      </w:pPr>
      <w:r>
        <w:rPr>
          <w:rFonts w:ascii="Calibri" w:hAnsi="Calibri"/>
          <w:b w:val="0"/>
          <w:i w:val="0"/>
          <w:color w:val="000000"/>
          <w:sz w:val="21"/>
        </w:rPr>
        <w:t>UC-01: Ingest Threat Observable (Contributor submits IPv4, IPv6, Domain, or File Hash with preliminary TLP).</w:t>
      </w:r>
    </w:p>
    <w:p>
      <w:pPr>
        <w:pStyle w:val="ListBullet"/>
        <w:spacing w:before="0" w:after="40" w:line="276" w:lineRule="auto"/>
        <w:jc w:val="left"/>
      </w:pPr>
      <w:r>
        <w:rPr>
          <w:rFonts w:ascii="Calibri" w:hAnsi="Calibri"/>
          <w:b w:val="0"/>
          <w:i w:val="0"/>
          <w:color w:val="000000"/>
          <w:sz w:val="21"/>
        </w:rPr>
        <w:t>UC-02: Analyst Triage &amp; Classification (Vetted Analyst reviews pending queue, assigns confidence score, and approves to TLP:GREEN).</w:t>
      </w:r>
    </w:p>
    <w:p>
      <w:pPr>
        <w:pStyle w:val="ListBullet"/>
        <w:spacing w:before="0" w:after="40" w:line="276" w:lineRule="auto"/>
        <w:jc w:val="left"/>
      </w:pPr>
      <w:r>
        <w:rPr>
          <w:rFonts w:ascii="Calibri" w:hAnsi="Calibri"/>
          <w:b w:val="0"/>
          <w:i w:val="0"/>
          <w:color w:val="000000"/>
          <w:sz w:val="21"/>
        </w:rPr>
        <w:t>UC-03: Export STIX 2.1 Feed (Threat Consumer requests machine-readable intelligence bundle with TLP filtering).</w:t>
      </w:r>
    </w:p>
    <w:p>
      <w:pPr>
        <w:pStyle w:val="ListBullet"/>
        <w:spacing w:before="0" w:after="40" w:line="276" w:lineRule="auto"/>
        <w:jc w:val="left"/>
      </w:pPr>
      <w:r>
        <w:rPr>
          <w:rFonts w:ascii="Calibri" w:hAnsi="Calibri"/>
          <w:b w:val="0"/>
          <w:i w:val="0"/>
          <w:color w:val="000000"/>
          <w:sz w:val="21"/>
        </w:rPr>
        <w:t>UC-04: Verify Audit Chain (Platform Administrator triggers cryptographic SHA-256 hash-chain verification).</w:t>
      </w:r>
    </w:p>
    <w:p>
      <w:pPr>
        <w:pStyle w:val="ListBullet"/>
        <w:spacing w:before="0" w:after="40" w:line="276" w:lineRule="auto"/>
        <w:jc w:val="left"/>
      </w:pPr>
      <w:r>
        <w:rPr>
          <w:rFonts w:ascii="Calibri" w:hAnsi="Calibri"/>
          <w:b w:val="0"/>
          <w:i w:val="0"/>
          <w:color w:val="000000"/>
          <w:sz w:val="21"/>
        </w:rPr>
        <w:t>UC-05: Authenticate with MFA (User provides primary credentials and completes RFC 6238 TOTP challenge).</w:t>
      </w:r>
    </w:p>
    <w:p>
      <w:pPr>
        <w:keepNext/>
        <w:spacing w:before="120" w:after="60" w:line="276" w:lineRule="auto"/>
        <w:jc w:val="center"/>
      </w:pPr>
      <w:r>
        <w:rPr>
          <w:color w:val="000000"/>
        </w:rPr>
        <w:drawing>
          <wp:inline xmlns:a="http://schemas.openxmlformats.org/drawingml/2006/main" xmlns:pic="http://schemas.openxmlformats.org/drawingml/2006/picture">
            <wp:extent cx="5303520" cy="3928533"/>
            <wp:docPr id="1" name="Picture 1"/>
            <wp:cNvGraphicFramePr>
              <a:graphicFrameLocks noChangeAspect="1"/>
            </wp:cNvGraphicFramePr>
            <a:graphic>
              <a:graphicData uri="http://schemas.openxmlformats.org/drawingml/2006/picture">
                <pic:pic>
                  <pic:nvPicPr>
                    <pic:cNvPr id="0" name="CTI Sharing Platform Use Case Diagram.png"/>
                    <pic:cNvPicPr/>
                  </pic:nvPicPr>
                  <pic:blipFill>
                    <a:blip r:embed="rId11"/>
                    <a:stretch>
                      <a:fillRect/>
                    </a:stretch>
                  </pic:blipFill>
                  <pic:spPr>
                    <a:xfrm>
                      <a:off x="0" y="0"/>
                      <a:ext cx="5303520" cy="3928533"/>
                    </a:xfrm>
                    <a:prstGeom prst="rect"/>
                  </pic:spPr>
                </pic:pic>
              </a:graphicData>
            </a:graphic>
          </wp:inline>
        </w:drawing>
      </w:r>
    </w:p>
    <w:p>
      <w:pPr>
        <w:spacing w:before="40" w:after="160" w:line="276" w:lineRule="auto"/>
        <w:jc w:val="center"/>
      </w:pPr>
      <w:r>
        <w:rPr>
          <w:rFonts w:ascii="Calibri" w:hAnsi="Calibri"/>
          <w:b w:val="0"/>
          <w:i/>
          <w:color w:val="000000"/>
          <w:sz w:val="17"/>
        </w:rPr>
        <w:t>Figure 4.1: UML Use Case Diagram — Actors, Use Cases, and System Trust Boundaries</w:t>
      </w:r>
    </w:p>
    <w:p>
      <w:pPr>
        <w:keepNext/>
        <w:spacing w:before="180" w:after="60" w:line="276" w:lineRule="auto"/>
        <w:jc w:val="left"/>
      </w:pPr>
      <w:r>
        <w:rPr>
          <w:rFonts w:ascii="Calibri" w:hAnsi="Calibri"/>
          <w:b/>
          <w:i w:val="0"/>
          <w:color w:val="000000"/>
          <w:sz w:val="22"/>
        </w:rPr>
        <w:t>Tools Used in Phase 3</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3</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Mermaid</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Synthesis of UML use case syntax and actor relationships.</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Eraser AI</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Initial architectural wireframing and actor boundary exploration.</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ChatGPT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Structuring detailed use case scenario specifications and exception flows.</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5. Relational Data Modeling, DFDs &amp; Trust Boundaries (Phase 4)</w:t>
      </w:r>
    </w:p>
    <w:p>
      <w:pPr>
        <w:spacing w:before="0" w:after="80" w:line="276" w:lineRule="auto"/>
        <w:jc w:val="left"/>
      </w:pPr>
      <w:r>
        <w:rPr>
          <w:rFonts w:ascii="Calibri" w:hAnsi="Calibri"/>
          <w:b w:val="0"/>
          <w:i w:val="0"/>
          <w:color w:val="000000"/>
          <w:sz w:val="21"/>
        </w:rPr>
        <w:t>The persistence layer is structured as a normalized relational schema comprising 6 core entities: organizations, users, threat_reports, threat_indicators, review_logs, and audit_logs. SQLite WAL mode enforces transactional ACID guarantees and foreign key constraints.</w:t>
      </w:r>
    </w:p>
    <w:p>
      <w:pPr>
        <w:keepNext/>
        <w:spacing w:before="120" w:after="60" w:line="276" w:lineRule="auto"/>
        <w:jc w:val="center"/>
      </w:pPr>
      <w:r>
        <w:rPr>
          <w:color w:val="000000"/>
        </w:rPr>
        <w:drawing>
          <wp:inline xmlns:a="http://schemas.openxmlformats.org/drawingml/2006/main" xmlns:pic="http://schemas.openxmlformats.org/drawingml/2006/picture">
            <wp:extent cx="5303520" cy="2951131"/>
            <wp:docPr id="2" name="Picture 2"/>
            <wp:cNvGraphicFramePr>
              <a:graphicFrameLocks noChangeAspect="1"/>
            </wp:cNvGraphicFramePr>
            <a:graphic>
              <a:graphicData uri="http://schemas.openxmlformats.org/drawingml/2006/picture">
                <pic:pic>
                  <pic:nvPicPr>
                    <pic:cNvPr id="0" name="ER.png"/>
                    <pic:cNvPicPr/>
                  </pic:nvPicPr>
                  <pic:blipFill>
                    <a:blip r:embed="rId12"/>
                    <a:stretch>
                      <a:fillRect/>
                    </a:stretch>
                  </pic:blipFill>
                  <pic:spPr>
                    <a:xfrm>
                      <a:off x="0" y="0"/>
                      <a:ext cx="5303520" cy="2951131"/>
                    </a:xfrm>
                    <a:prstGeom prst="rect"/>
                  </pic:spPr>
                </pic:pic>
              </a:graphicData>
            </a:graphic>
          </wp:inline>
        </w:drawing>
      </w:r>
    </w:p>
    <w:p>
      <w:pPr>
        <w:spacing w:before="40" w:after="160" w:line="276" w:lineRule="auto"/>
        <w:jc w:val="center"/>
      </w:pPr>
      <w:r>
        <w:rPr>
          <w:rFonts w:ascii="Calibri" w:hAnsi="Calibri"/>
          <w:b w:val="0"/>
          <w:i/>
          <w:color w:val="000000"/>
          <w:sz w:val="17"/>
        </w:rPr>
        <w:t>Figure 5.1: Relational Entity-Relationship (ER) Diagram — 6 Core Tables with Foreign Key Constraints</w:t>
      </w:r>
    </w:p>
    <w:p>
      <w:pPr>
        <w:keepNext/>
        <w:spacing w:before="260" w:after="80" w:line="276" w:lineRule="auto"/>
        <w:jc w:val="left"/>
      </w:pPr>
      <w:r>
        <w:rPr>
          <w:rFonts w:ascii="Calibri" w:hAnsi="Calibri"/>
          <w:b/>
          <w:i w:val="0"/>
          <w:color w:val="000000"/>
          <w:sz w:val="25"/>
        </w:rPr>
        <w:t>Data Flow Diagrams (Level 0 Context &amp; Level 1 Operational)</w:t>
      </w:r>
    </w:p>
    <w:p>
      <w:pPr>
        <w:spacing w:before="0" w:after="80" w:line="276" w:lineRule="auto"/>
        <w:jc w:val="left"/>
      </w:pPr>
      <w:r>
        <w:rPr>
          <w:rFonts w:ascii="Calibri" w:hAnsi="Calibri"/>
          <w:b w:val="0"/>
          <w:i w:val="0"/>
          <w:color w:val="000000"/>
          <w:sz w:val="21"/>
        </w:rPr>
        <w:t>Data flow analysis formalizes how intelligence, credentials, and audit entries traverse system trust boundaries:</w:t>
      </w:r>
    </w:p>
    <w:p>
      <w:pPr>
        <w:keepNext/>
        <w:spacing w:before="120" w:after="60" w:line="276" w:lineRule="auto"/>
        <w:jc w:val="center"/>
      </w:pPr>
      <w:r>
        <w:rPr>
          <w:color w:val="000000"/>
        </w:rPr>
        <w:drawing>
          <wp:inline xmlns:a="http://schemas.openxmlformats.org/drawingml/2006/main" xmlns:pic="http://schemas.openxmlformats.org/drawingml/2006/picture">
            <wp:extent cx="5303520" cy="4122962"/>
            <wp:docPr id="3" name="Picture 3"/>
            <wp:cNvGraphicFramePr>
              <a:graphicFrameLocks noChangeAspect="1"/>
            </wp:cNvGraphicFramePr>
            <a:graphic>
              <a:graphicData uri="http://schemas.openxmlformats.org/drawingml/2006/picture">
                <pic:pic>
                  <pic:nvPicPr>
                    <pic:cNvPr id="0" name="CTI Sharing Platform Level 0 DFD.png"/>
                    <pic:cNvPicPr/>
                  </pic:nvPicPr>
                  <pic:blipFill>
                    <a:blip r:embed="rId13"/>
                    <a:stretch>
                      <a:fillRect/>
                    </a:stretch>
                  </pic:blipFill>
                  <pic:spPr>
                    <a:xfrm>
                      <a:off x="0" y="0"/>
                      <a:ext cx="5303520" cy="4122962"/>
                    </a:xfrm>
                    <a:prstGeom prst="rect"/>
                  </pic:spPr>
                </pic:pic>
              </a:graphicData>
            </a:graphic>
          </wp:inline>
        </w:drawing>
      </w:r>
    </w:p>
    <w:p>
      <w:pPr>
        <w:spacing w:before="40" w:after="160" w:line="276" w:lineRule="auto"/>
        <w:jc w:val="center"/>
      </w:pPr>
      <w:r>
        <w:rPr>
          <w:rFonts w:ascii="Calibri" w:hAnsi="Calibri"/>
          <w:b w:val="0"/>
          <w:i/>
          <w:color w:val="000000"/>
          <w:sz w:val="17"/>
        </w:rPr>
        <w:t>Figure 5.2: Level 0 Context Data Flow Diagram — External Actors &amp; Primary Platform Boundary</w:t>
      </w:r>
    </w:p>
    <w:p>
      <w:pPr>
        <w:keepNext/>
        <w:spacing w:before="120" w:after="60" w:line="276" w:lineRule="auto"/>
        <w:jc w:val="center"/>
      </w:pPr>
      <w:r>
        <w:rPr>
          <w:color w:val="000000"/>
        </w:rPr>
        <w:drawing>
          <wp:inline xmlns:a="http://schemas.openxmlformats.org/drawingml/2006/main" xmlns:pic="http://schemas.openxmlformats.org/drawingml/2006/picture">
            <wp:extent cx="5303520" cy="3570092"/>
            <wp:docPr id="4" name="Picture 4"/>
            <wp:cNvGraphicFramePr>
              <a:graphicFrameLocks noChangeAspect="1"/>
            </wp:cNvGraphicFramePr>
            <a:graphic>
              <a:graphicData uri="http://schemas.openxmlformats.org/drawingml/2006/picture">
                <pic:pic>
                  <pic:nvPicPr>
                    <pic:cNvPr id="0" name="CTI Sharing Platform Level 1 DFD.png"/>
                    <pic:cNvPicPr/>
                  </pic:nvPicPr>
                  <pic:blipFill>
                    <a:blip r:embed="rId14"/>
                    <a:stretch>
                      <a:fillRect/>
                    </a:stretch>
                  </pic:blipFill>
                  <pic:spPr>
                    <a:xfrm>
                      <a:off x="0" y="0"/>
                      <a:ext cx="5303520" cy="3570092"/>
                    </a:xfrm>
                    <a:prstGeom prst="rect"/>
                  </pic:spPr>
                </pic:pic>
              </a:graphicData>
            </a:graphic>
          </wp:inline>
        </w:drawing>
      </w:r>
    </w:p>
    <w:p>
      <w:pPr>
        <w:spacing w:before="40" w:after="160" w:line="276" w:lineRule="auto"/>
        <w:jc w:val="center"/>
      </w:pPr>
      <w:r>
        <w:rPr>
          <w:rFonts w:ascii="Calibri" w:hAnsi="Calibri"/>
          <w:b w:val="0"/>
          <w:i/>
          <w:color w:val="000000"/>
          <w:sz w:val="17"/>
        </w:rPr>
        <w:t>Figure 5.3: Level 1 Detailed Data Flow Diagram — Subprocesses, Data Stores, and Ingestion Pathways</w:t>
      </w:r>
    </w:p>
    <w:p>
      <w:pPr>
        <w:keepNext/>
        <w:spacing w:before="120" w:after="60" w:line="276" w:lineRule="auto"/>
        <w:jc w:val="center"/>
      </w:pPr>
      <w:r>
        <w:rPr>
          <w:color w:val="000000"/>
        </w:rPr>
        <w:drawing>
          <wp:inline xmlns:a="http://schemas.openxmlformats.org/drawingml/2006/main" xmlns:pic="http://schemas.openxmlformats.org/drawingml/2006/picture">
            <wp:extent cx="5303520" cy="8904783"/>
            <wp:docPr id="5" name="Picture 5"/>
            <wp:cNvGraphicFramePr>
              <a:graphicFrameLocks noChangeAspect="1"/>
            </wp:cNvGraphicFramePr>
            <a:graphic>
              <a:graphicData uri="http://schemas.openxmlformats.org/drawingml/2006/picture">
                <pic:pic>
                  <pic:nvPicPr>
                    <pic:cNvPr id="0" name="TRUST BOUNDARY.png"/>
                    <pic:cNvPicPr/>
                  </pic:nvPicPr>
                  <pic:blipFill>
                    <a:blip r:embed="rId15"/>
                    <a:stretch>
                      <a:fillRect/>
                    </a:stretch>
                  </pic:blipFill>
                  <pic:spPr>
                    <a:xfrm>
                      <a:off x="0" y="0"/>
                      <a:ext cx="5303520" cy="8904783"/>
                    </a:xfrm>
                    <a:prstGeom prst="rect"/>
                  </pic:spPr>
                </pic:pic>
              </a:graphicData>
            </a:graphic>
          </wp:inline>
        </w:drawing>
      </w:r>
    </w:p>
    <w:p>
      <w:pPr>
        <w:spacing w:before="40" w:after="160" w:line="276" w:lineRule="auto"/>
        <w:jc w:val="center"/>
      </w:pPr>
      <w:r>
        <w:rPr>
          <w:rFonts w:ascii="Calibri" w:hAnsi="Calibri"/>
          <w:b w:val="0"/>
          <w:i/>
          <w:color w:val="000000"/>
          <w:sz w:val="17"/>
        </w:rPr>
        <w:t>Figure 5.4: Formal Trust Boundary Diagram — Internet Ingress, API Gateway, and Protected Persistence Vaults</w:t>
      </w:r>
    </w:p>
    <w:p>
      <w:pPr>
        <w:keepNext/>
        <w:spacing w:before="180" w:after="60" w:line="276" w:lineRule="auto"/>
        <w:jc w:val="left"/>
      </w:pPr>
      <w:r>
        <w:rPr>
          <w:rFonts w:ascii="Calibri" w:hAnsi="Calibri"/>
          <w:b/>
          <w:i w:val="0"/>
          <w:color w:val="000000"/>
          <w:sz w:val="22"/>
        </w:rPr>
        <w:t>Tools Used in Phase 4</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4</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Mermaid</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Generation of Level 0 DFD, Level 1 DFD, ERD, and Trust Boundary diagrams.</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SQLite3 CLI</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Direct relational schema compilation, foreign key testing, and WAL mode verification.</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Eraser AI</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Exploration of data flow paths and trust boundary transitions.</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6. Hexagonal Architecture &amp; Design Patterns (Phase 5)</w:t>
      </w:r>
    </w:p>
    <w:p>
      <w:pPr>
        <w:spacing w:before="0" w:after="80" w:line="276" w:lineRule="auto"/>
        <w:jc w:val="left"/>
      </w:pPr>
      <w:r>
        <w:rPr>
          <w:rFonts w:ascii="Calibri" w:hAnsi="Calibri"/>
          <w:b w:val="0"/>
          <w:i w:val="0"/>
          <w:color w:val="000000"/>
          <w:sz w:val="21"/>
        </w:rPr>
        <w:t>The CTI Sharing Platform employs a Hexagonal (Ports &amp; Adapters) layered architecture to ensure strict separation between HTTP transport, domain business logic, and cryptographic persistence.</w:t>
      </w:r>
    </w:p>
    <w:p>
      <w:pPr>
        <w:keepNext/>
        <w:spacing w:before="120" w:after="60" w:line="276" w:lineRule="auto"/>
        <w:jc w:val="center"/>
      </w:pPr>
      <w:r>
        <w:rPr>
          <w:color w:val="000000"/>
        </w:rPr>
        <w:drawing>
          <wp:inline xmlns:a="http://schemas.openxmlformats.org/drawingml/2006/main" xmlns:pic="http://schemas.openxmlformats.org/drawingml/2006/picture">
            <wp:extent cx="5303520" cy="6322722"/>
            <wp:docPr id="6" name="Picture 6"/>
            <wp:cNvGraphicFramePr>
              <a:graphicFrameLocks noChangeAspect="1"/>
            </wp:cNvGraphicFramePr>
            <a:graphic>
              <a:graphicData uri="http://schemas.openxmlformats.org/drawingml/2006/picture">
                <pic:pic>
                  <pic:nvPicPr>
                    <pic:cNvPr id="0" name="final_Arc.png"/>
                    <pic:cNvPicPr/>
                  </pic:nvPicPr>
                  <pic:blipFill>
                    <a:blip r:embed="rId16"/>
                    <a:stretch>
                      <a:fillRect/>
                    </a:stretch>
                  </pic:blipFill>
                  <pic:spPr>
                    <a:xfrm>
                      <a:off x="0" y="0"/>
                      <a:ext cx="5303520" cy="6322722"/>
                    </a:xfrm>
                    <a:prstGeom prst="rect"/>
                  </pic:spPr>
                </pic:pic>
              </a:graphicData>
            </a:graphic>
          </wp:inline>
        </w:drawing>
      </w:r>
    </w:p>
    <w:p>
      <w:pPr>
        <w:spacing w:before="40" w:after="160" w:line="276" w:lineRule="auto"/>
        <w:jc w:val="center"/>
      </w:pPr>
      <w:r>
        <w:rPr>
          <w:rFonts w:ascii="Calibri" w:hAnsi="Calibri"/>
          <w:b w:val="0"/>
          <w:i/>
          <w:color w:val="000000"/>
          <w:sz w:val="17"/>
        </w:rPr>
        <w:t>Figure 6.1: Hexagonal Layered Software Architecture — Ports, Adapters, Domain Core, and Security Guards</w:t>
      </w:r>
    </w:p>
    <w:p>
      <w:pPr>
        <w:keepNext/>
        <w:spacing w:before="260" w:after="80" w:line="276" w:lineRule="auto"/>
        <w:jc w:val="left"/>
      </w:pPr>
      <w:r>
        <w:rPr>
          <w:rFonts w:ascii="Calibri" w:hAnsi="Calibri"/>
          <w:b/>
          <w:i w:val="0"/>
          <w:color w:val="000000"/>
          <w:sz w:val="25"/>
        </w:rPr>
        <w:t>GoF Software Design Patterns Implemented</w:t>
      </w:r>
    </w:p>
    <w:p>
      <w:pPr>
        <w:pStyle w:val="ListBullet"/>
        <w:spacing w:before="0" w:after="40" w:line="276" w:lineRule="auto"/>
        <w:jc w:val="left"/>
      </w:pPr>
      <w:r>
        <w:rPr>
          <w:rFonts w:ascii="Calibri" w:hAnsi="Calibri"/>
          <w:b w:val="0"/>
          <w:i w:val="0"/>
          <w:color w:val="000000"/>
          <w:sz w:val="21"/>
        </w:rPr>
        <w:t>Strategy Pattern (IoCValidator): Encapsulates observable validation and canonical defanging into interchangeable strategy algorithms (IPv4, IPv6, Domain, File Hash).</w:t>
      </w:r>
    </w:p>
    <w:p>
      <w:pPr>
        <w:pStyle w:val="ListBullet"/>
        <w:spacing w:before="0" w:after="40" w:line="276" w:lineRule="auto"/>
        <w:jc w:val="left"/>
      </w:pPr>
      <w:r>
        <w:rPr>
          <w:rFonts w:ascii="Calibri" w:hAnsi="Calibri"/>
          <w:b w:val="0"/>
          <w:i w:val="0"/>
          <w:color w:val="000000"/>
          <w:sz w:val="21"/>
        </w:rPr>
        <w:t>Factory Pattern (STIXFactory): Encapsulates transformation of internal database entities into standardized OASIS STIX 2.1 Indicator Domain Objects (SDOs) and Bundles.</w:t>
      </w:r>
    </w:p>
    <w:p>
      <w:pPr>
        <w:pStyle w:val="ListBullet"/>
        <w:spacing w:before="0" w:after="40" w:line="276" w:lineRule="auto"/>
        <w:jc w:val="left"/>
      </w:pPr>
      <w:r>
        <w:rPr>
          <w:rFonts w:ascii="Calibri" w:hAnsi="Calibri"/>
          <w:b w:val="0"/>
          <w:i w:val="0"/>
          <w:color w:val="000000"/>
          <w:sz w:val="21"/>
        </w:rPr>
        <w:t>Observer / Chain Pattern (AuditService): Intercepts state modifications across all controllers to compute and link cryptographic SHA-256 hash records before committing database transactions.</w:t>
      </w:r>
    </w:p>
    <w:p>
      <w:pPr>
        <w:keepNext/>
        <w:spacing w:before="180" w:after="60" w:line="276" w:lineRule="auto"/>
        <w:jc w:val="left"/>
      </w:pPr>
      <w:r>
        <w:rPr>
          <w:rFonts w:ascii="Calibri" w:hAnsi="Calibri"/>
          <w:b/>
          <w:i w:val="0"/>
          <w:color w:val="000000"/>
          <w:sz w:val="22"/>
        </w:rPr>
        <w:t>Tools Used in Phase 5</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5</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Mermaid</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Hexagonal architecture visualization and layer mapping.</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Node.js / Express</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Layered middleware implementation (authGuard, rbacGuard, tlpGuard).</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ChatGPT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Design pattern selection advice and architectural trade-off analysis.</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7. User Interface Design and Usability Golden Rules (Phase 6)</w:t>
      </w:r>
    </w:p>
    <w:p>
      <w:pPr>
        <w:spacing w:before="0" w:after="80" w:line="276" w:lineRule="auto"/>
        <w:jc w:val="left"/>
      </w:pPr>
      <w:r>
        <w:rPr>
          <w:rFonts w:ascii="Calibri" w:hAnsi="Calibri"/>
          <w:b w:val="0"/>
          <w:i w:val="0"/>
          <w:color w:val="000000"/>
          <w:sz w:val="21"/>
        </w:rPr>
        <w:t>The frontend interface is engineered as a responsive, glassmorphic Single Page Application (SPA) serving four distinct functional workstations: (1) Executive Threat Telemetry Dashboard; (2) Threat Ingestion &amp; Defanging Terminal; (3) Analyst Triage Station; and (4) Tamper-Evident SHA-256 Audit Inspector.</w:t>
      </w:r>
    </w:p>
    <w:p>
      <w:pPr>
        <w:keepNext/>
        <w:spacing w:before="260" w:after="80" w:line="276" w:lineRule="auto"/>
        <w:jc w:val="left"/>
      </w:pPr>
      <w:r>
        <w:rPr>
          <w:rFonts w:ascii="Calibri" w:hAnsi="Calibri"/>
          <w:b/>
          <w:i w:val="0"/>
          <w:color w:val="000000"/>
          <w:sz w:val="25"/>
        </w:rPr>
        <w:t>Compliance with Shneiderman's Eight Golden Rules</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3010"/>
        <w:gridCol w:w="3010"/>
        <w:gridCol w:w="3010"/>
      </w:tblGrid>
      <w:tr>
        <w:trPr>
          <w:tblHeader/>
          <w:cantSplit/>
        </w:trPr>
        <w:tc>
          <w:tcPr>
            <w:tcW w:type="dxa" w:w="25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Golden Rule</w:t>
            </w:r>
          </w:p>
        </w:tc>
        <w:tc>
          <w:tcPr>
            <w:tcW w:type="dxa" w:w="5760"/>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Concrete Implementation in CTI Platform UI</w:t>
            </w:r>
          </w:p>
        </w:tc>
        <w:tc>
          <w:tcPr>
            <w:tcW w:type="dxa" w:w="1296"/>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Verification Status</w:t>
            </w:r>
          </w:p>
        </w:tc>
      </w:tr>
      <w:tr>
        <w:trPr>
          <w:cantSplit/>
        </w:trPr>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 Strive for Consistency</w:t>
            </w:r>
          </w:p>
        </w:tc>
        <w:tc>
          <w:tcPr>
            <w:tcW w:type="dxa" w:w="576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Uniform dark theme (#0A0E17), standardized typography, consistent TLP badge colors.</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VERIFIED</w:t>
            </w:r>
          </w:p>
        </w:tc>
      </w:tr>
      <w:tr>
        <w:trPr>
          <w:cantSplit/>
        </w:trPr>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 Enable Frequent Users to Use Shortcuts</w:t>
            </w:r>
          </w:p>
        </w:tc>
        <w:tc>
          <w:tcPr>
            <w:tcW w:type="dxa" w:w="576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Quick-action triage approval buttons and instant JSON copy shortcuts for STIX bundles.</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VERIFIED</w:t>
            </w:r>
          </w:p>
        </w:tc>
      </w:tr>
      <w:tr>
        <w:trPr>
          <w:cantSplit/>
        </w:trPr>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3. Offer Informative Feedback</w:t>
            </w:r>
          </w:p>
        </w:tc>
        <w:tc>
          <w:tcPr>
            <w:tcW w:type="dxa" w:w="576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Real-time toast notifications displaying SHA-256 hashes upon report ingestion and audit verification.</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VERIFIED</w:t>
            </w:r>
          </w:p>
        </w:tc>
      </w:tr>
      <w:tr>
        <w:trPr>
          <w:cantSplit/>
        </w:trPr>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4. Design Dialogs to Yield Closure</w:t>
            </w:r>
          </w:p>
        </w:tc>
        <w:tc>
          <w:tcPr>
            <w:tcW w:type="dxa" w:w="576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Explicit two-stage modal dialogs for indicator review requiring analyst justification before completion.</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VERIFIED</w:t>
            </w:r>
          </w:p>
        </w:tc>
      </w:tr>
      <w:tr>
        <w:trPr>
          <w:cantSplit/>
        </w:trPr>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5. Prevent Errors</w:t>
            </w:r>
          </w:p>
        </w:tc>
        <w:tc>
          <w:tcPr>
            <w:tcW w:type="dxa" w:w="576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Client-side regex defanging previews preventing submission of malformed IP addresses.</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VERIFIED</w:t>
            </w:r>
          </w:p>
        </w:tc>
      </w:tr>
      <w:tr>
        <w:trPr>
          <w:cantSplit/>
        </w:trPr>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6. Permit Easy Reversal of Actions</w:t>
            </w:r>
          </w:p>
        </w:tc>
        <w:tc>
          <w:tcPr>
            <w:tcW w:type="dxa" w:w="576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Draft mode for threat incident reports prior to final analyst queue dispatch.</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VERIFIED</w:t>
            </w:r>
          </w:p>
        </w:tc>
      </w:tr>
      <w:tr>
        <w:trPr>
          <w:cantSplit/>
        </w:trPr>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7. Support Internal Locus of Control</w:t>
            </w:r>
          </w:p>
        </w:tc>
        <w:tc>
          <w:tcPr>
            <w:tcW w:type="dxa" w:w="576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Analysts filter queues by organization, TLP rating, and confidence score at will.</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VERIFIED</w:t>
            </w:r>
          </w:p>
        </w:tc>
      </w:tr>
      <w:tr>
        <w:trPr>
          <w:cantSplit/>
        </w:trPr>
        <w:tc>
          <w:tcPr>
            <w:tcW w:type="dxa" w:w="25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8. Reduce Short-Term Memory Load</w:t>
            </w:r>
          </w:p>
        </w:tc>
        <w:tc>
          <w:tcPr>
            <w:tcW w:type="dxa" w:w="576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Side-by-side indicator preview showing raw observable alongside canonically defanged text.</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VERIFIED</w:t>
            </w:r>
          </w:p>
        </w:tc>
      </w:tr>
    </w:tbl>
    <w:p>
      <w:pPr>
        <w:spacing w:before="0" w:after="60" w:line="276" w:lineRule="auto"/>
        <w:jc w:val="left"/>
      </w:pPr>
    </w:p>
    <w:p>
      <w:pPr>
        <w:keepNext/>
        <w:spacing w:before="180" w:after="60" w:line="276" w:lineRule="auto"/>
        <w:jc w:val="left"/>
      </w:pPr>
      <w:r>
        <w:rPr>
          <w:rFonts w:ascii="Calibri" w:hAnsi="Calibri"/>
          <w:b/>
          <w:i w:val="0"/>
          <w:color w:val="000000"/>
          <w:sz w:val="22"/>
        </w:rPr>
        <w:t>Tools Used in Phase 6</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6</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Vanilla CSS / HTML5</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Modern glassmorphic interface, dark mode palette, responsive CSS grid.</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Antigravity</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Frontend controller authoring (app.js) and DOM event-handling verification.</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ChatGPT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Shneiderman's 8 Golden Rules alignment review.</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8. STRIDE Threat Modeling &amp; Vulnerability Analysis (Phase 7)</w:t>
      </w:r>
    </w:p>
    <w:p>
      <w:pPr>
        <w:spacing w:before="0" w:after="80" w:line="276" w:lineRule="auto"/>
        <w:jc w:val="left"/>
      </w:pPr>
      <w:r>
        <w:rPr>
          <w:rFonts w:ascii="Calibri" w:hAnsi="Calibri"/>
          <w:b w:val="0"/>
          <w:i w:val="0"/>
          <w:color w:val="000000"/>
          <w:sz w:val="21"/>
        </w:rPr>
        <w:t>Threat modeling was conducted following Microsoft's STRIDE methodology across all system components, data stores, and communication flows:</w:t>
      </w:r>
    </w:p>
    <w:p>
      <w:pPr>
        <w:keepNext/>
        <w:spacing w:before="120" w:after="60" w:line="276" w:lineRule="auto"/>
        <w:jc w:val="center"/>
      </w:pPr>
      <w:r>
        <w:rPr>
          <w:color w:val="000000"/>
        </w:rPr>
        <w:drawing>
          <wp:inline xmlns:a="http://schemas.openxmlformats.org/drawingml/2006/main" xmlns:pic="http://schemas.openxmlformats.org/drawingml/2006/picture">
            <wp:extent cx="5303520" cy="3833269"/>
            <wp:docPr id="7" name="Picture 7"/>
            <wp:cNvGraphicFramePr>
              <a:graphicFrameLocks noChangeAspect="1"/>
            </wp:cNvGraphicFramePr>
            <a:graphic>
              <a:graphicData uri="http://schemas.openxmlformats.org/drawingml/2006/picture">
                <pic:pic>
                  <pic:nvPicPr>
                    <pic:cNvPr id="0" name="threat_model_final.png"/>
                    <pic:cNvPicPr/>
                  </pic:nvPicPr>
                  <pic:blipFill>
                    <a:blip r:embed="rId17"/>
                    <a:stretch>
                      <a:fillRect/>
                    </a:stretch>
                  </pic:blipFill>
                  <pic:spPr>
                    <a:xfrm>
                      <a:off x="0" y="0"/>
                      <a:ext cx="5303520" cy="3833269"/>
                    </a:xfrm>
                    <a:prstGeom prst="rect"/>
                  </pic:spPr>
                </pic:pic>
              </a:graphicData>
            </a:graphic>
          </wp:inline>
        </w:drawing>
      </w:r>
    </w:p>
    <w:p>
      <w:pPr>
        <w:spacing w:before="40" w:after="160" w:line="276" w:lineRule="auto"/>
        <w:jc w:val="center"/>
      </w:pPr>
      <w:r>
        <w:rPr>
          <w:rFonts w:ascii="Calibri" w:hAnsi="Calibri"/>
          <w:b w:val="0"/>
          <w:i/>
          <w:color w:val="000000"/>
          <w:sz w:val="17"/>
        </w:rPr>
        <w:t>Figure 8.1: STRIDE Threat Model Decomposition — Component Vulnerabilities, Attack Vectors, and Controls</w:t>
      </w:r>
    </w:p>
    <w:p>
      <w:pPr>
        <w:keepNext/>
        <w:spacing w:before="260" w:after="80" w:line="276" w:lineRule="auto"/>
        <w:jc w:val="left"/>
      </w:pPr>
      <w:r>
        <w:rPr>
          <w:rFonts w:ascii="Calibri" w:hAnsi="Calibri"/>
          <w:b/>
          <w:i w:val="0"/>
          <w:color w:val="000000"/>
          <w:sz w:val="25"/>
        </w:rPr>
        <w:t>STRIDE Threat Decomposition Table</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2257"/>
        <w:gridCol w:w="2257"/>
        <w:gridCol w:w="2257"/>
        <w:gridCol w:w="2257"/>
      </w:tblGrid>
      <w:tr>
        <w:trPr>
          <w:tblHeader/>
          <w:cantSplit/>
        </w:trPr>
        <w:tc>
          <w:tcPr>
            <w:tcW w:type="dxa" w:w="187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Threat Category</w:t>
            </w:r>
          </w:p>
        </w:tc>
        <w:tc>
          <w:tcPr>
            <w:tcW w:type="dxa" w:w="100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Threat ID</w:t>
            </w:r>
          </w:p>
        </w:tc>
        <w:tc>
          <w:tcPr>
            <w:tcW w:type="dxa" w:w="3600"/>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Attack Vector &amp; Target Component</w:t>
            </w:r>
          </w:p>
        </w:tc>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Mitigation Control Implemented</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Spoofing</w:t>
            </w:r>
          </w:p>
        </w:tc>
        <w:tc>
          <w:tcPr>
            <w:tcW w:type="dxa" w:w="10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T01</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Adversary guesses passwords or forges Bearer tokens.</w:t>
            </w:r>
          </w:p>
        </w:tc>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Salted bcrypt hashing, RFC 6238 TOTP, HMAC-SHA256 JWT signature verification.</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Tampering</w:t>
            </w:r>
          </w:p>
        </w:tc>
        <w:tc>
          <w:tcPr>
            <w:tcW w:type="dxa" w:w="10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T02</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Submitting weaponized observables to crash analyst systems.</w:t>
            </w:r>
          </w:p>
        </w:tc>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Strategy pattern input validation and canonical defanging (198[.]51[.]100[.]1).</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Tampering</w:t>
            </w:r>
          </w:p>
        </w:tc>
        <w:tc>
          <w:tcPr>
            <w:tcW w:type="dxa" w:w="10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T07</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Injecting malicious event handlers in Markdown reports (V04).</w:t>
            </w:r>
          </w:p>
        </w:tc>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Context-aware SanitizerService with iterative tag stripping and event-handler neutralization.</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Tampering</w:t>
            </w:r>
          </w:p>
        </w:tc>
        <w:tc>
          <w:tcPr>
            <w:tcW w:type="dxa" w:w="10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T10</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Analyst poisons triage decisions with malicious approval.</w:t>
            </w:r>
          </w:p>
        </w:tc>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Mandatory recorded justification and immutable review log insertion.</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Repudiation</w:t>
            </w:r>
          </w:p>
        </w:tc>
        <w:tc>
          <w:tcPr>
            <w:tcW w:type="dxa" w:w="10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T03</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Rogue actor alters audit logs to conceal unauthorized access.</w:t>
            </w:r>
          </w:p>
        </w:tc>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Tamper-evident SHA-256 continuous hash-chain linking all log rows.</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Info Disclosure</w:t>
            </w:r>
          </w:p>
        </w:tc>
        <w:tc>
          <w:tcPr>
            <w:tcW w:type="dxa" w:w="10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T04</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External consumer queries confidential TLP:RED reports (V02).</w:t>
            </w:r>
          </w:p>
        </w:tc>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Server-side canAccessTLP barrier returning HTTP 403 Forbidden on cross-tenant access.</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Info Disclosure</w:t>
            </w:r>
          </w:p>
        </w:tc>
        <w:tc>
          <w:tcPr>
            <w:tcW w:type="dxa" w:w="10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T08</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Unvetted user scrapes threat feeds via public API.</w:t>
            </w:r>
          </w:p>
        </w:tc>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Explicit TLP ceiling filtering in FeedController omitting unapproved intelligence.</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Denial of Service</w:t>
            </w:r>
          </w:p>
        </w:tc>
        <w:tc>
          <w:tcPr>
            <w:tcW w:type="dxa" w:w="10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T05</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Automated script floods submission endpoints.</w:t>
            </w:r>
          </w:p>
        </w:tc>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Sliding-window IP rate limiting (100 req / 15 min) and SQLite WAL concurrency.</w:t>
            </w:r>
          </w:p>
        </w:tc>
      </w:tr>
      <w:tr>
        <w:trPr>
          <w:cantSplit/>
        </w:trPr>
        <w:tc>
          <w:tcPr>
            <w:tcW w:type="dxa" w:w="187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Elevation of Priv.</w:t>
            </w:r>
          </w:p>
        </w:tc>
        <w:tc>
          <w:tcPr>
            <w:tcW w:type="dxa" w:w="10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T06</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Standard consumer invokes analyst triage endpoint.</w:t>
            </w:r>
          </w:p>
        </w:tc>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Role-Based Access Control rbacGuard rejecting unauthorized roles with HTTP 403.</w:t>
            </w:r>
          </w:p>
        </w:tc>
      </w:tr>
    </w:tbl>
    <w:p>
      <w:pPr>
        <w:spacing w:before="0" w:after="60" w:line="276" w:lineRule="auto"/>
        <w:jc w:val="left"/>
      </w:pPr>
    </w:p>
    <w:p>
      <w:pPr>
        <w:keepNext/>
        <w:spacing w:before="180" w:after="60" w:line="276" w:lineRule="auto"/>
        <w:jc w:val="left"/>
      </w:pPr>
      <w:r>
        <w:rPr>
          <w:rFonts w:ascii="Calibri" w:hAnsi="Calibri"/>
          <w:b/>
          <w:i w:val="0"/>
          <w:color w:val="000000"/>
          <w:sz w:val="22"/>
        </w:rPr>
        <w:t>Tools Used in Phase 7</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7</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Microsoft Threat Modeling / STRIDE</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Methodology framework for categorizing threats across system boundaries.</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Mermaid</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Synthesis of the formal STRIDE Threat Model diagram.</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ChatGPT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Detailed threat analysis, CVSS scoring assistance, and mitigation mapping.</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9. Attack Tree Decomposition &amp; Mitigation Pathing (Phase 8)</w:t>
      </w:r>
    </w:p>
    <w:p>
      <w:pPr>
        <w:spacing w:before="0" w:after="80" w:line="276" w:lineRule="auto"/>
        <w:jc w:val="left"/>
      </w:pPr>
      <w:r>
        <w:rPr>
          <w:rFonts w:ascii="Calibri" w:hAnsi="Calibri"/>
          <w:b w:val="0"/>
          <w:i w:val="0"/>
          <w:color w:val="000000"/>
          <w:sz w:val="21"/>
        </w:rPr>
        <w:t>A formal hierarchical Attack Tree was decomposed targeting the primary adversary objective: "Exfiltrate Classified TLP:RED Threat Intelligence from Platform".</w:t>
      </w:r>
    </w:p>
    <w:p>
      <w:pPr>
        <w:keepNext/>
        <w:spacing w:before="120" w:after="60" w:line="276" w:lineRule="auto"/>
        <w:jc w:val="center"/>
      </w:pPr>
      <w:r>
        <w:rPr>
          <w:color w:val="000000"/>
        </w:rPr>
        <w:drawing>
          <wp:inline xmlns:a="http://schemas.openxmlformats.org/drawingml/2006/main" xmlns:pic="http://schemas.openxmlformats.org/drawingml/2006/picture">
            <wp:extent cx="5303520" cy="8037358"/>
            <wp:docPr id="8" name="Picture 8"/>
            <wp:cNvGraphicFramePr>
              <a:graphicFrameLocks noChangeAspect="1"/>
            </wp:cNvGraphicFramePr>
            <a:graphic>
              <a:graphicData uri="http://schemas.openxmlformats.org/drawingml/2006/picture">
                <pic:pic>
                  <pic:nvPicPr>
                    <pic:cNvPr id="0" name="attack_tree_final.png"/>
                    <pic:cNvPicPr/>
                  </pic:nvPicPr>
                  <pic:blipFill>
                    <a:blip r:embed="rId18"/>
                    <a:stretch>
                      <a:fillRect/>
                    </a:stretch>
                  </pic:blipFill>
                  <pic:spPr>
                    <a:xfrm>
                      <a:off x="0" y="0"/>
                      <a:ext cx="5303520" cy="8037358"/>
                    </a:xfrm>
                    <a:prstGeom prst="rect"/>
                  </pic:spPr>
                </pic:pic>
              </a:graphicData>
            </a:graphic>
          </wp:inline>
        </w:drawing>
      </w:r>
    </w:p>
    <w:p>
      <w:pPr>
        <w:spacing w:before="40" w:after="160" w:line="276" w:lineRule="auto"/>
        <w:jc w:val="center"/>
      </w:pPr>
      <w:r>
        <w:rPr>
          <w:rFonts w:ascii="Calibri" w:hAnsi="Calibri"/>
          <w:b w:val="0"/>
          <w:i/>
          <w:color w:val="000000"/>
          <w:sz w:val="17"/>
        </w:rPr>
        <w:t>Figure 9.1: Attack Tree Decomposition — Root Objective, 4 Attack Branches, AND/OR Logic, and Leaf Mitigations</w:t>
      </w:r>
    </w:p>
    <w:p>
      <w:pPr>
        <w:keepNext/>
        <w:spacing w:before="260" w:after="80" w:line="276" w:lineRule="auto"/>
        <w:jc w:val="left"/>
      </w:pPr>
      <w:r>
        <w:rPr>
          <w:rFonts w:ascii="Calibri" w:hAnsi="Calibri"/>
          <w:b/>
          <w:i w:val="0"/>
          <w:color w:val="000000"/>
          <w:sz w:val="25"/>
        </w:rPr>
        <w:t>Attack Tree Branches &amp; Leaf Mitigations</w:t>
      </w:r>
    </w:p>
    <w:p>
      <w:pPr>
        <w:pStyle w:val="ListBullet"/>
        <w:spacing w:before="0" w:after="40" w:line="276" w:lineRule="auto"/>
        <w:jc w:val="left"/>
      </w:pPr>
      <w:r>
        <w:rPr>
          <w:rFonts w:ascii="Calibri" w:hAnsi="Calibri"/>
          <w:b w:val="0"/>
          <w:i w:val="0"/>
          <w:color w:val="000000"/>
          <w:sz w:val="21"/>
        </w:rPr>
        <w:t>Branch A: Compromise Authentication (Leaf A1: Brute-Force Password -&gt; Mitigated by bcrypt &amp; rate limits; Leaf A2: Bypass TOTP -&gt; Mitigated by crypto time-step validation).</w:t>
      </w:r>
    </w:p>
    <w:p>
      <w:pPr>
        <w:pStyle w:val="ListBullet"/>
        <w:spacing w:before="0" w:after="40" w:line="276" w:lineRule="auto"/>
        <w:jc w:val="left"/>
      </w:pPr>
      <w:r>
        <w:rPr>
          <w:rFonts w:ascii="Calibri" w:hAnsi="Calibri"/>
          <w:b w:val="0"/>
          <w:i w:val="0"/>
          <w:color w:val="000000"/>
          <w:sz w:val="21"/>
        </w:rPr>
        <w:t>Branch B: Exploit Authorization &amp; BOLA/IDOR (Leaf B1: Unvetted Feed Scraping -&gt; Mitigated by TLP egress filter; Leaf B2: Direct Object Enumeration -&gt; Mitigated by canAccessTLP 403 guard).</w:t>
      </w:r>
    </w:p>
    <w:p>
      <w:pPr>
        <w:pStyle w:val="ListBullet"/>
        <w:spacing w:before="0" w:after="40" w:line="276" w:lineRule="auto"/>
        <w:jc w:val="left"/>
      </w:pPr>
      <w:r>
        <w:rPr>
          <w:rFonts w:ascii="Calibri" w:hAnsi="Calibri"/>
          <w:b w:val="0"/>
          <w:i w:val="0"/>
          <w:color w:val="000000"/>
          <w:sz w:val="21"/>
        </w:rPr>
        <w:t>Branch C: Poison Ingestion Pipeline (Leaf C1: ReDoS regex stall -&gt; Mitigated by linear-time regex; Leaf C2: Stored XSS -&gt; Mitigated by SanitizerService).</w:t>
      </w:r>
    </w:p>
    <w:p>
      <w:pPr>
        <w:pStyle w:val="ListBullet"/>
        <w:spacing w:before="0" w:after="40" w:line="276" w:lineRule="auto"/>
        <w:jc w:val="left"/>
      </w:pPr>
      <w:r>
        <w:rPr>
          <w:rFonts w:ascii="Calibri" w:hAnsi="Calibri"/>
          <w:b w:val="0"/>
          <w:i w:val="0"/>
          <w:color w:val="000000"/>
          <w:sz w:val="21"/>
        </w:rPr>
        <w:t>Branch D: Subvert Audit Integrity (Leaf D1: Direct DB Row Alteration -&gt; Mitigated by SHA-256 hash-chain verification; Leaf D2: Log Truncation -&gt; Mitigated by genesis block anchoring).</w:t>
      </w:r>
    </w:p>
    <w:p>
      <w:pPr>
        <w:keepNext/>
        <w:spacing w:before="180" w:after="60" w:line="276" w:lineRule="auto"/>
        <w:jc w:val="left"/>
      </w:pPr>
      <w:r>
        <w:rPr>
          <w:rFonts w:ascii="Calibri" w:hAnsi="Calibri"/>
          <w:b/>
          <w:i w:val="0"/>
          <w:color w:val="000000"/>
          <w:sz w:val="22"/>
        </w:rPr>
        <w:t>Tools Used in Phase 8</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8</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Mermaid</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Synthesis of the formal Attack Tree diagram with hierarchical branch styling.</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Eraser AI</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Attack path exploration and vulnerability impact modeling.</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ChatGPT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Attack tree node decomposition and leaf mitigation analysis.</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10. Product Backlog, Jira Stories &amp; Estimation (Phase 9)</w:t>
      </w:r>
    </w:p>
    <w:p>
      <w:pPr>
        <w:spacing w:before="0" w:after="80" w:line="276" w:lineRule="auto"/>
        <w:jc w:val="left"/>
      </w:pPr>
      <w:r>
        <w:rPr>
          <w:rFonts w:ascii="Calibri" w:hAnsi="Calibri"/>
          <w:b w:val="0"/>
          <w:i w:val="0"/>
          <w:color w:val="000000"/>
          <w:sz w:val="21"/>
        </w:rPr>
        <w:t>Ten formal User Stories were structured in Jira, adhering to the INVEST criteria (Independent, Negotiable, Valuable, Estimable, Small, Testable) with explicit Gherkin Given-When-Then acceptance criteria.</w:t>
      </w:r>
    </w:p>
    <w:p>
      <w:pPr>
        <w:keepNext/>
        <w:spacing w:before="260" w:after="80" w:line="276" w:lineRule="auto"/>
        <w:jc w:val="left"/>
      </w:pPr>
      <w:r>
        <w:rPr>
          <w:rFonts w:ascii="Calibri" w:hAnsi="Calibri"/>
          <w:b/>
          <w:i w:val="0"/>
          <w:color w:val="000000"/>
          <w:sz w:val="25"/>
        </w:rPr>
        <w:t>Product Backlog Summary Table</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1806"/>
        <w:gridCol w:w="1806"/>
        <w:gridCol w:w="1806"/>
        <w:gridCol w:w="1806"/>
        <w:gridCol w:w="1806"/>
      </w:tblGrid>
      <w:tr>
        <w:trPr>
          <w:tblHeader/>
          <w:cantSplit/>
        </w:trPr>
        <w:tc>
          <w:tcPr>
            <w:tcW w:type="dxa" w:w="1440"/>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Key</w:t>
            </w:r>
          </w:p>
        </w:tc>
        <w:tc>
          <w:tcPr>
            <w:tcW w:type="dxa" w:w="460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User Story Summary</w:t>
            </w:r>
          </w:p>
        </w:tc>
        <w:tc>
          <w:tcPr>
            <w:tcW w:type="dxa" w:w="1296"/>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Story Points</w:t>
            </w:r>
          </w:p>
        </w:tc>
        <w:tc>
          <w:tcPr>
            <w:tcW w:type="dxa" w:w="115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Priority</w:t>
            </w:r>
          </w:p>
        </w:tc>
        <w:tc>
          <w:tcPr>
            <w:tcW w:type="dxa" w:w="115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Target Milestone</w:t>
            </w:r>
          </w:p>
        </w:tc>
      </w:tr>
      <w:tr>
        <w:trPr>
          <w:cantSplit/>
        </w:trPr>
        <w:tc>
          <w:tcPr>
            <w:tcW w:type="dxa" w:w="144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CTI-101</w:t>
            </w:r>
          </w:p>
        </w:tc>
        <w:tc>
          <w:tcPr>
            <w:tcW w:type="dxa" w:w="46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User Authentication with MFA &amp; Salted bcrypt Hashing</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5 SP</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Highest</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M1 / Sprint 1</w:t>
            </w:r>
          </w:p>
        </w:tc>
      </w:tr>
      <w:tr>
        <w:trPr>
          <w:cantSplit/>
        </w:trPr>
        <w:tc>
          <w:tcPr>
            <w:tcW w:type="dxa" w:w="144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CTI-102</w:t>
            </w:r>
          </w:p>
        </w:tc>
        <w:tc>
          <w:tcPr>
            <w:tcW w:type="dxa" w:w="46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Role-Based Access Control (RBAC) with Express Guards</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3 SP</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High</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M2 / Sprint 1</w:t>
            </w:r>
          </w:p>
        </w:tc>
      </w:tr>
      <w:tr>
        <w:trPr>
          <w:cantSplit/>
        </w:trPr>
        <w:tc>
          <w:tcPr>
            <w:tcW w:type="dxa" w:w="144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CTI-103</w:t>
            </w:r>
          </w:p>
        </w:tc>
        <w:tc>
          <w:tcPr>
            <w:tcW w:type="dxa" w:w="46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Threat Observable Ingestion API (IPv4, IPv6, Domain, Hash)</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5 SP</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High</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M3 / Sprint 1</w:t>
            </w:r>
          </w:p>
        </w:tc>
      </w:tr>
      <w:tr>
        <w:trPr>
          <w:cantSplit/>
        </w:trPr>
        <w:tc>
          <w:tcPr>
            <w:tcW w:type="dxa" w:w="144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CTI-104</w:t>
            </w:r>
          </w:p>
        </w:tc>
        <w:tc>
          <w:tcPr>
            <w:tcW w:type="dxa" w:w="46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Strategy Pattern Observable Validation &amp; Canonical Defanging</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3 SP</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High</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M4 / Sprint 1</w:t>
            </w:r>
          </w:p>
        </w:tc>
      </w:tr>
      <w:tr>
        <w:trPr>
          <w:cantSplit/>
        </w:trPr>
        <w:tc>
          <w:tcPr>
            <w:tcW w:type="dxa" w:w="144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CTI-105</w:t>
            </w:r>
          </w:p>
        </w:tc>
        <w:tc>
          <w:tcPr>
            <w:tcW w:type="dxa" w:w="46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Structured Threat Incident Report Submission with XSS Defense</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5 SP</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High</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M5 / Sprint 1</w:t>
            </w:r>
          </w:p>
        </w:tc>
      </w:tr>
      <w:tr>
        <w:trPr>
          <w:cantSplit/>
        </w:trPr>
        <w:tc>
          <w:tcPr>
            <w:tcW w:type="dxa" w:w="144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CTI-106</w:t>
            </w:r>
          </w:p>
        </w:tc>
        <w:tc>
          <w:tcPr>
            <w:tcW w:type="dxa" w:w="46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Analyst Triage Workbench &amp; Review Decision Logging</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3 SP</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High</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M6 / Sprint 1</w:t>
            </w:r>
          </w:p>
        </w:tc>
      </w:tr>
      <w:tr>
        <w:trPr>
          <w:cantSplit/>
        </w:trPr>
        <w:tc>
          <w:tcPr>
            <w:tcW w:type="dxa" w:w="144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CTI-107</w:t>
            </w:r>
          </w:p>
        </w:tc>
        <w:tc>
          <w:tcPr>
            <w:tcW w:type="dxa" w:w="46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Traffic Light Protocol (TLP) Classification &amp; Access Guard</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5 SP</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Highest</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M7 / Sprint 1</w:t>
            </w:r>
          </w:p>
        </w:tc>
      </w:tr>
      <w:tr>
        <w:trPr>
          <w:cantSplit/>
        </w:trPr>
        <w:tc>
          <w:tcPr>
            <w:tcW w:type="dxa" w:w="144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CTI-108</w:t>
            </w:r>
          </w:p>
        </w:tc>
        <w:tc>
          <w:tcPr>
            <w:tcW w:type="dxa" w:w="46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OASIS STIX 2.1 Threat Feed Serialization &amp; Egress</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3 SP</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Medium</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M8 / Sprint 1</w:t>
            </w:r>
          </w:p>
        </w:tc>
      </w:tr>
      <w:tr>
        <w:trPr>
          <w:cantSplit/>
        </w:trPr>
        <w:tc>
          <w:tcPr>
            <w:tcW w:type="dxa" w:w="144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CTI-109</w:t>
            </w:r>
          </w:p>
        </w:tc>
        <w:tc>
          <w:tcPr>
            <w:tcW w:type="dxa" w:w="46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Tamper-Evident SHA-256 Hash-Chained Audit Trail</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5 SP</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Highest</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M9 / Sprint 1</w:t>
            </w:r>
          </w:p>
        </w:tc>
      </w:tr>
      <w:tr>
        <w:trPr>
          <w:cantSplit/>
        </w:trPr>
        <w:tc>
          <w:tcPr>
            <w:tcW w:type="dxa" w:w="144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CTI-110</w:t>
            </w:r>
          </w:p>
        </w:tc>
        <w:tc>
          <w:tcPr>
            <w:tcW w:type="dxa" w:w="460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Operational Security Monitoring &amp; Prometheus Metrics Export</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 SP</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Low</w:t>
            </w:r>
          </w:p>
        </w:tc>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M10 / Sprint 1</w:t>
            </w:r>
          </w:p>
        </w:tc>
      </w:tr>
    </w:tbl>
    <w:p>
      <w:pPr>
        <w:spacing w:before="0" w:after="60" w:line="276" w:lineRule="auto"/>
        <w:jc w:val="left"/>
      </w:pPr>
    </w:p>
    <w:p>
      <w:pPr>
        <w:keepNext/>
        <w:spacing w:before="180" w:after="60" w:line="276" w:lineRule="auto"/>
        <w:jc w:val="left"/>
      </w:pPr>
      <w:r>
        <w:rPr>
          <w:rFonts w:ascii="Calibri" w:hAnsi="Calibri"/>
          <w:b/>
          <w:i w:val="0"/>
          <w:color w:val="000000"/>
          <w:sz w:val="22"/>
        </w:rPr>
        <w:t>Tools Used in Phase 9</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9</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Jira Software</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Product backlog creation, user story formulation, and sprint estimation.</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Planning Poker (Fibonacci)</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Consensus-based story point estimation across development team.</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ChatGPT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Formulation of Gherkin Given-When-Then acceptance criteria.</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11. Scrum Execution, Metrics, Burndown &amp; Retrospective (Phase 10)</w:t>
      </w:r>
    </w:p>
    <w:p>
      <w:pPr>
        <w:spacing w:before="0" w:after="80" w:line="276" w:lineRule="auto"/>
        <w:jc w:val="left"/>
      </w:pPr>
      <w:r>
        <w:rPr>
          <w:rFonts w:ascii="Calibri" w:hAnsi="Calibri"/>
          <w:b w:val="0"/>
          <w:i w:val="0"/>
          <w:color w:val="000000"/>
          <w:sz w:val="21"/>
        </w:rPr>
        <w:t>Sprint 1 executed over a 10-day timeline with a total team commitment of 38 Story Points across stories CTI-101 through CTI-110. All 38 Story Points were successfully delivered, verified, and accepted according to the Definition of Done (DoD).</w:t>
      </w:r>
    </w:p>
    <w:p>
      <w:pPr>
        <w:keepNext/>
        <w:spacing w:before="260" w:after="80" w:line="276" w:lineRule="auto"/>
        <w:jc w:val="left"/>
      </w:pPr>
      <w:r>
        <w:rPr>
          <w:rFonts w:ascii="Calibri" w:hAnsi="Calibri"/>
          <w:b/>
          <w:i w:val="0"/>
          <w:color w:val="000000"/>
          <w:sz w:val="25"/>
        </w:rPr>
        <w:t>Sprint 1 Burndown Execution Tracking</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1806"/>
        <w:gridCol w:w="1806"/>
        <w:gridCol w:w="1806"/>
        <w:gridCol w:w="1806"/>
        <w:gridCol w:w="1806"/>
      </w:tblGrid>
      <w:tr>
        <w:trPr>
          <w:tblHeader/>
          <w:cantSplit/>
        </w:trPr>
        <w:tc>
          <w:tcPr>
            <w:tcW w:type="dxa" w:w="115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Day</w:t>
            </w:r>
          </w:p>
        </w:tc>
        <w:tc>
          <w:tcPr>
            <w:tcW w:type="dxa" w:w="1584"/>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Date</w:t>
            </w:r>
          </w:p>
        </w:tc>
        <w:tc>
          <w:tcPr>
            <w:tcW w:type="dxa" w:w="172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Ideal Remaining</w:t>
            </w:r>
          </w:p>
        </w:tc>
        <w:tc>
          <w:tcPr>
            <w:tcW w:type="dxa" w:w="172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Actual Remaining</w:t>
            </w:r>
          </w:p>
        </w:tc>
        <w:tc>
          <w:tcPr>
            <w:tcW w:type="dxa" w:w="3456"/>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Work Delivered &amp; Key Scrum Activities</w:t>
            </w:r>
          </w:p>
        </w:tc>
      </w:tr>
      <w:tr>
        <w:trPr>
          <w:cantSplit/>
        </w:trPr>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Day 1</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2026-10-01</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38.0 SP</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38.0 SP</w:t>
            </w:r>
          </w:p>
        </w:tc>
        <w:tc>
          <w:tcPr>
            <w:tcW w:type="dxa" w:w="345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Sprint planning finalized; initial repository and SQLite schema configured.</w:t>
            </w:r>
          </w:p>
        </w:tc>
      </w:tr>
      <w:tr>
        <w:trPr>
          <w:cantSplit/>
        </w:trPr>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Day 2</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2026-10-02</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34.2 SP</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33.0 SP</w:t>
            </w:r>
          </w:p>
        </w:tc>
        <w:tc>
          <w:tcPr>
            <w:tcW w:type="dxa" w:w="345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CTI-101 completed: Salted bcrypt authentication &amp; TOTP generation.</w:t>
            </w:r>
          </w:p>
        </w:tc>
      </w:tr>
      <w:tr>
        <w:trPr>
          <w:cantSplit/>
        </w:trPr>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Day 3</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2026-10-03</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30.4 SP</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30.0 SP</w:t>
            </w:r>
          </w:p>
        </w:tc>
        <w:tc>
          <w:tcPr>
            <w:tcW w:type="dxa" w:w="345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CTI-102 completed: RBAC route guards for 4 roles deployed.</w:t>
            </w:r>
          </w:p>
        </w:tc>
      </w:tr>
      <w:tr>
        <w:trPr>
          <w:cantSplit/>
        </w:trPr>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Day 4</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2026-10-04</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26.6 SP</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25.0 SP</w:t>
            </w:r>
          </w:p>
        </w:tc>
        <w:tc>
          <w:tcPr>
            <w:tcW w:type="dxa" w:w="345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CTI-103 completed: Observable ingestion endpoints active.</w:t>
            </w:r>
          </w:p>
        </w:tc>
      </w:tr>
      <w:tr>
        <w:trPr>
          <w:cantSplit/>
        </w:trPr>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Day 5</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2026-10-05</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22.8 SP</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22.0 SP</w:t>
            </w:r>
          </w:p>
        </w:tc>
        <w:tc>
          <w:tcPr>
            <w:tcW w:type="dxa" w:w="345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CTI-104 completed: Strategy pattern defangers and ReDoS guards.</w:t>
            </w:r>
          </w:p>
        </w:tc>
      </w:tr>
      <w:tr>
        <w:trPr>
          <w:cantSplit/>
        </w:trPr>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Day 6</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2026-10-06</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19.0 SP</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17.0 SP</w:t>
            </w:r>
          </w:p>
        </w:tc>
        <w:tc>
          <w:tcPr>
            <w:tcW w:type="dxa" w:w="345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CTI-105 completed: Threat report submission active.</w:t>
            </w:r>
          </w:p>
        </w:tc>
      </w:tr>
      <w:tr>
        <w:trPr>
          <w:cantSplit/>
        </w:trPr>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Day 7</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2026-10-07</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15.2 SP</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14.0 SP</w:t>
            </w:r>
          </w:p>
        </w:tc>
        <w:tc>
          <w:tcPr>
            <w:tcW w:type="dxa" w:w="345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CTI-106 completed: Analyst triage workbench deployed.</w:t>
            </w:r>
          </w:p>
        </w:tc>
      </w:tr>
      <w:tr>
        <w:trPr>
          <w:cantSplit/>
        </w:trPr>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Day 8</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2026-10-08</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11.4 SP</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9.0 SP</w:t>
            </w:r>
          </w:p>
        </w:tc>
        <w:tc>
          <w:tcPr>
            <w:tcW w:type="dxa" w:w="345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CTI-107 completed: Server-side TLP barrier guards active.</w:t>
            </w:r>
          </w:p>
        </w:tc>
      </w:tr>
      <w:tr>
        <w:trPr>
          <w:cantSplit/>
        </w:trPr>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Day 9</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2026-10-09</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7.6 SP</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6.0 SP</w:t>
            </w:r>
          </w:p>
        </w:tc>
        <w:tc>
          <w:tcPr>
            <w:tcW w:type="dxa" w:w="345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CTI-108 completed: STIX 2.1 feed distribution active.</w:t>
            </w:r>
          </w:p>
        </w:tc>
      </w:tr>
      <w:tr>
        <w:trPr>
          <w:cantSplit/>
        </w:trPr>
        <w:tc>
          <w:tcPr>
            <w:tcW w:type="dxa" w:w="115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Day 10</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2026-10-10</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0.0 SP</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0.0 SP</w:t>
            </w:r>
          </w:p>
        </w:tc>
        <w:tc>
          <w:tcPr>
            <w:tcW w:type="dxa" w:w="345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CTI-109 &amp; CTI-110 completed: Audit hash-chain and Prometheus metrics.</w:t>
            </w:r>
          </w:p>
        </w:tc>
      </w:tr>
    </w:tbl>
    <w:p>
      <w:pPr>
        <w:spacing w:before="0" w:after="60" w:line="276" w:lineRule="auto"/>
        <w:jc w:val="left"/>
      </w:pPr>
    </w:p>
    <w:p>
      <w:pPr>
        <w:keepNext/>
        <w:spacing w:before="260" w:after="80" w:line="276" w:lineRule="auto"/>
        <w:jc w:val="left"/>
      </w:pPr>
      <w:r>
        <w:rPr>
          <w:rFonts w:ascii="Calibri" w:hAnsi="Calibri"/>
          <w:b/>
          <w:i w:val="0"/>
          <w:color w:val="000000"/>
          <w:sz w:val="25"/>
        </w:rPr>
        <w:t>Sprint Review &amp; Retrospective Findings</w:t>
      </w:r>
    </w:p>
    <w:p>
      <w:pPr>
        <w:pStyle w:val="ListBullet"/>
        <w:spacing w:before="0" w:after="40" w:line="276" w:lineRule="auto"/>
        <w:jc w:val="left"/>
      </w:pPr>
      <w:r>
        <w:rPr>
          <w:rFonts w:ascii="Calibri" w:hAnsi="Calibri"/>
          <w:b w:val="0"/>
          <w:i w:val="0"/>
          <w:color w:val="000000"/>
          <w:sz w:val="21"/>
        </w:rPr>
        <w:t>What Went Well: Zero defect carry-over; 100% test automation pass rate; seamless integration between SQLite WAL mode and Express.</w:t>
      </w:r>
    </w:p>
    <w:p>
      <w:pPr>
        <w:pStyle w:val="ListBullet"/>
        <w:spacing w:before="0" w:after="40" w:line="276" w:lineRule="auto"/>
        <w:jc w:val="left"/>
      </w:pPr>
      <w:r>
        <w:rPr>
          <w:rFonts w:ascii="Calibri" w:hAnsi="Calibri"/>
          <w:b w:val="0"/>
          <w:i w:val="0"/>
          <w:color w:val="000000"/>
          <w:sz w:val="21"/>
        </w:rPr>
        <w:t>What Could Be Improved: Initial regex-based XSS filtering in CTI-105 proved vulnerable to event handlers (subsequently remediated in Phase 12).</w:t>
      </w:r>
    </w:p>
    <w:p>
      <w:pPr>
        <w:pStyle w:val="ListBullet"/>
        <w:spacing w:before="0" w:after="40" w:line="276" w:lineRule="auto"/>
        <w:jc w:val="left"/>
      </w:pPr>
      <w:r>
        <w:rPr>
          <w:rFonts w:ascii="Calibri" w:hAnsi="Calibri"/>
          <w:b w:val="0"/>
          <w:i w:val="0"/>
          <w:color w:val="000000"/>
          <w:sz w:val="21"/>
        </w:rPr>
        <w:t>Action Items: Adopt dedicated SanitizerService; expand pre-commit security hooks before Phase 11 build pipeline.</w:t>
      </w:r>
    </w:p>
    <w:p>
      <w:pPr>
        <w:keepNext/>
        <w:spacing w:before="180" w:after="60" w:line="276" w:lineRule="auto"/>
        <w:jc w:val="left"/>
      </w:pPr>
      <w:r>
        <w:rPr>
          <w:rFonts w:ascii="Calibri" w:hAnsi="Calibri"/>
          <w:b/>
          <w:i w:val="0"/>
          <w:color w:val="000000"/>
          <w:sz w:val="22"/>
        </w:rPr>
        <w:t>Tools Used in Phase 10</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10</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Jira Software</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Daily standup logs, sprint burndown charting, and velocity tracking.</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Excel / Python</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Burndown curve calculation and velocity metrics visualization.</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ChatGPT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Structuring sprint review summaries and retrospective action item logs.</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12. Secure Build and Repository Security (Phase 11)</w:t>
      </w:r>
    </w:p>
    <w:p>
      <w:pPr>
        <w:spacing w:before="0" w:after="80" w:line="276" w:lineRule="auto"/>
        <w:jc w:val="left"/>
      </w:pPr>
      <w:r>
        <w:rPr>
          <w:rFonts w:ascii="Calibri" w:hAnsi="Calibri"/>
          <w:b w:val="0"/>
          <w:i w:val="0"/>
          <w:color w:val="000000"/>
          <w:sz w:val="21"/>
        </w:rPr>
        <w:t>Phase 11 established automated security checking across the development build pipeline, enforcing NIST SP 800-218 (SSDF) controls:</w:t>
      </w:r>
    </w:p>
    <w:p>
      <w:pPr>
        <w:pStyle w:val="ListBullet"/>
        <w:spacing w:before="0" w:after="40" w:line="276" w:lineRule="auto"/>
        <w:jc w:val="left"/>
      </w:pPr>
      <w:r>
        <w:rPr>
          <w:rFonts w:ascii="Calibri" w:hAnsi="Calibri"/>
          <w:b w:val="0"/>
          <w:i w:val="0"/>
          <w:color w:val="000000"/>
          <w:sz w:val="21"/>
        </w:rPr>
        <w:t>Control 1: Secret Detection (scripts/detect-secrets.js) scans source trees using high-entropy regexes to block hardcoded keys.</w:t>
      </w:r>
    </w:p>
    <w:p>
      <w:pPr>
        <w:pStyle w:val="ListBullet"/>
        <w:spacing w:before="0" w:after="40" w:line="276" w:lineRule="auto"/>
        <w:jc w:val="left"/>
      </w:pPr>
      <w:r>
        <w:rPr>
          <w:rFonts w:ascii="Calibri" w:hAnsi="Calibri"/>
          <w:b w:val="0"/>
          <w:i w:val="0"/>
          <w:color w:val="000000"/>
          <w:sz w:val="21"/>
        </w:rPr>
        <w:t>Control 2: Dependency Security Auditing (npm audit) audits transitive dependencies, logging CVEs in package-lock.json.</w:t>
      </w:r>
    </w:p>
    <w:p>
      <w:pPr>
        <w:pStyle w:val="ListBullet"/>
        <w:spacing w:before="0" w:after="40" w:line="276" w:lineRule="auto"/>
        <w:jc w:val="left"/>
      </w:pPr>
      <w:r>
        <w:rPr>
          <w:rFonts w:ascii="Calibri" w:hAnsi="Calibri"/>
          <w:b w:val="0"/>
          <w:i w:val="0"/>
          <w:color w:val="000000"/>
          <w:sz w:val="21"/>
        </w:rPr>
        <w:t>Control 3: Static Application Security Testing (scripts/security-scan.js) inspects source code for SQLi and eval() patterns.</w:t>
      </w:r>
    </w:p>
    <w:p>
      <w:pPr>
        <w:pStyle w:val="ListBullet"/>
        <w:spacing w:before="0" w:after="40" w:line="276" w:lineRule="auto"/>
        <w:jc w:val="left"/>
      </w:pPr>
      <w:r>
        <w:rPr>
          <w:rFonts w:ascii="Calibri" w:hAnsi="Calibri"/>
          <w:b w:val="0"/>
          <w:i w:val="0"/>
          <w:color w:val="000000"/>
          <w:sz w:val="21"/>
        </w:rPr>
        <w:t>Control 4: Automated Security Regression (npm test) executes 53 core baseline tests with 100% pass rate.</w:t>
      </w:r>
    </w:p>
    <w:p>
      <w:pPr>
        <w:pStyle w:val="ListBullet"/>
        <w:spacing w:before="0" w:after="40" w:line="276" w:lineRule="auto"/>
        <w:jc w:val="left"/>
      </w:pPr>
      <w:r>
        <w:rPr>
          <w:rFonts w:ascii="Calibri" w:hAnsi="Calibri"/>
          <w:b w:val="0"/>
          <w:i w:val="0"/>
          <w:color w:val="000000"/>
          <w:sz w:val="21"/>
        </w:rPr>
        <w:t>Control 5: Cryptographic Audit Verification (scripts/verify-audit-chain.js) validates continuous SHA-256 log continuity.</w:t>
      </w:r>
    </w:p>
    <w:p>
      <w:pPr>
        <w:pStyle w:val="ListBullet"/>
        <w:spacing w:before="0" w:after="40" w:line="276" w:lineRule="auto"/>
        <w:jc w:val="left"/>
      </w:pPr>
      <w:r>
        <w:rPr>
          <w:rFonts w:ascii="Calibri" w:hAnsi="Calibri"/>
          <w:b w:val="0"/>
          <w:i w:val="0"/>
          <w:color w:val="000000"/>
          <w:sz w:val="21"/>
        </w:rPr>
        <w:t>Control 6: Reproducible Build Manifest (scripts/generate-build-manifest.js) seals repository artifacts with SHA-256 hashes.</w:t>
      </w:r>
    </w:p>
    <w:p>
      <w:pPr>
        <w:keepNext/>
        <w:spacing w:before="180" w:after="60" w:line="276" w:lineRule="auto"/>
        <w:jc w:val="left"/>
      </w:pPr>
      <w:r>
        <w:rPr>
          <w:rFonts w:ascii="Calibri" w:hAnsi="Calibri"/>
          <w:b/>
          <w:i w:val="0"/>
          <w:color w:val="000000"/>
          <w:sz w:val="22"/>
        </w:rPr>
        <w:t>Tools Used in Phase 11</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11</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Git Hooks (.githooks/pre-commit)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Client-side pre-commit hook preventing commits containing hardcoded secrets.</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Node.js / npm audit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Dependency vulnerability inspection and lockfile validation.</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Antigravity</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Development of custom SAST and secret detection inspection engines.</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13. Secure Coding, Refactoring &amp; Vulnerability Remediation (Phase 12)</w:t>
      </w:r>
    </w:p>
    <w:p>
      <w:pPr>
        <w:spacing w:before="0" w:after="80" w:line="276" w:lineRule="auto"/>
        <w:jc w:val="left"/>
      </w:pPr>
      <w:r>
        <w:rPr>
          <w:rFonts w:ascii="Calibri" w:hAnsi="Calibri"/>
          <w:b w:val="0"/>
          <w:i w:val="0"/>
          <w:color w:val="000000"/>
          <w:sz w:val="21"/>
        </w:rPr>
        <w:t>Phase 12 executed targeted security refactoring to permanently remediate the two vulnerabilities demonstrated in Phase 11:</w:t>
      </w:r>
    </w:p>
    <w:p>
      <w:pPr>
        <w:keepNext/>
        <w:spacing w:before="260" w:after="80" w:line="276" w:lineRule="auto"/>
        <w:jc w:val="left"/>
      </w:pPr>
      <w:r>
        <w:rPr>
          <w:rFonts w:ascii="Calibri" w:hAnsi="Calibri"/>
          <w:b/>
          <w:i w:val="0"/>
          <w:color w:val="000000"/>
          <w:sz w:val="25"/>
        </w:rPr>
        <w:t>Remediation of V02 — Broken Object-Level Authorization / IDOR (CWE-639)</w:t>
      </w:r>
    </w:p>
    <w:p>
      <w:pPr>
        <w:pStyle w:val="ListBullet"/>
        <w:spacing w:before="0" w:after="40" w:line="276" w:lineRule="auto"/>
        <w:jc w:val="left"/>
      </w:pPr>
      <w:r>
        <w:rPr>
          <w:rFonts w:ascii="Calibri" w:hAnsi="Calibri"/>
          <w:b w:val="0"/>
          <w:i w:val="0"/>
          <w:color w:val="000000"/>
          <w:sz w:val="21"/>
        </w:rPr>
        <w:t>BEFORE: ReportController.getReportById directly returned threat reports without checking user organization or TLP clearance.</w:t>
      </w:r>
    </w:p>
    <w:p>
      <w:pPr>
        <w:pStyle w:val="ListBullet"/>
        <w:spacing w:before="0" w:after="40" w:line="276" w:lineRule="auto"/>
        <w:jc w:val="left"/>
      </w:pPr>
      <w:r>
        <w:rPr>
          <w:rFonts w:ascii="Calibri" w:hAnsi="Calibri"/>
          <w:b w:val="0"/>
          <w:i w:val="0"/>
          <w:color w:val="000000"/>
          <w:sz w:val="21"/>
        </w:rPr>
        <w:t>REFACTOR: Integrated canAccessTLP(req.user, report) guard enforcing tenancy boundaries and analyst clearance.</w:t>
      </w:r>
    </w:p>
    <w:p>
      <w:pPr>
        <w:pStyle w:val="ListBullet"/>
        <w:spacing w:before="0" w:after="40" w:line="276" w:lineRule="auto"/>
        <w:jc w:val="left"/>
      </w:pPr>
      <w:r>
        <w:rPr>
          <w:rFonts w:ascii="Calibri" w:hAnsi="Calibri"/>
          <w:b w:val="0"/>
          <w:i w:val="0"/>
          <w:color w:val="000000"/>
          <w:sz w:val="21"/>
        </w:rPr>
        <w:t>AFTER: Unauthorized cross-tenant queries return HTTP 403 Forbidden and record UNAUTHORIZED_REPORT_ACCESS_BLOCKED in the audit log.</w:t>
      </w:r>
    </w:p>
    <w:p>
      <w:pPr>
        <w:keepNext/>
        <w:spacing w:before="260" w:after="80" w:line="276" w:lineRule="auto"/>
        <w:jc w:val="left"/>
      </w:pPr>
      <w:r>
        <w:rPr>
          <w:rFonts w:ascii="Calibri" w:hAnsi="Calibri"/>
          <w:b/>
          <w:i w:val="0"/>
          <w:color w:val="000000"/>
          <w:sz w:val="25"/>
        </w:rPr>
        <w:t>Remediation of V04 — Stored Cross-Site Scripting (CWE-79)</w:t>
      </w:r>
    </w:p>
    <w:p>
      <w:pPr>
        <w:pStyle w:val="ListBullet"/>
        <w:spacing w:before="0" w:after="40" w:line="276" w:lineRule="auto"/>
        <w:jc w:val="left"/>
      </w:pPr>
      <w:r>
        <w:rPr>
          <w:rFonts w:ascii="Calibri" w:hAnsi="Calibri"/>
          <w:b w:val="0"/>
          <w:i w:val="0"/>
          <w:color w:val="000000"/>
          <w:sz w:val="21"/>
        </w:rPr>
        <w:t>BEFORE: A naive regex filter stripped &lt;script&gt; tags but permitted onmouseover and ontoggle event handlers to persist.</w:t>
      </w:r>
    </w:p>
    <w:p>
      <w:pPr>
        <w:pStyle w:val="ListBullet"/>
        <w:spacing w:before="0" w:after="40" w:line="276" w:lineRule="auto"/>
        <w:jc w:val="left"/>
      </w:pPr>
      <w:r>
        <w:rPr>
          <w:rFonts w:ascii="Calibri" w:hAnsi="Calibri"/>
          <w:b w:val="0"/>
          <w:i w:val="0"/>
          <w:color w:val="000000"/>
          <w:sz w:val="21"/>
        </w:rPr>
        <w:t>REFACTOR: Replaced regex blacklist with SanitizerService.sanitizeMarkdown implementing context-aware attribute stripping.</w:t>
      </w:r>
    </w:p>
    <w:p>
      <w:pPr>
        <w:pStyle w:val="ListBullet"/>
        <w:spacing w:before="0" w:after="40" w:line="276" w:lineRule="auto"/>
        <w:jc w:val="left"/>
      </w:pPr>
      <w:r>
        <w:rPr>
          <w:rFonts w:ascii="Calibri" w:hAnsi="Calibri"/>
          <w:b w:val="0"/>
          <w:i w:val="0"/>
          <w:color w:val="000000"/>
          <w:sz w:val="21"/>
        </w:rPr>
        <w:t>AFTER: Event handlers and dangerous schemes (javascript:, data:) are neutralized; content renders harmlessly.</w:t>
      </w:r>
    </w:p>
    <w:p>
      <w:pPr>
        <w:spacing w:before="0" w:after="80" w:line="276" w:lineRule="auto"/>
        <w:jc w:val="left"/>
      </w:pPr>
      <w:r>
        <w:rPr>
          <w:rFonts w:ascii="Calibri" w:hAnsi="Calibri"/>
          <w:b w:val="0"/>
          <w:i w:val="0"/>
          <w:color w:val="000000"/>
          <w:sz w:val="21"/>
        </w:rPr>
        <w:t>Verification: tests/vulnerability/vulnerabilityDemo.test.js executed 8/8 tests with 100% PASS.</w:t>
      </w:r>
    </w:p>
    <w:p>
      <w:pPr>
        <w:keepNext/>
        <w:spacing w:before="180" w:after="60" w:line="276" w:lineRule="auto"/>
        <w:jc w:val="left"/>
      </w:pPr>
      <w:r>
        <w:rPr>
          <w:rFonts w:ascii="Calibri" w:hAnsi="Calibri"/>
          <w:b/>
          <w:i w:val="0"/>
          <w:color w:val="000000"/>
          <w:sz w:val="22"/>
        </w:rPr>
        <w:t>Tools Used in Phase 12</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12</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Node.js test runner</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Execution of 8 vulnerability demonstration and remediation regression assertions.</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Antigravity</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Source code refactoring in reportController.js and creation of SanitizerService.</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ChatGPT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XSS evasion vector analysis and BOLA authorization design patterns.</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14. Containerization — Docker and Kubernetes (Phase 13)</w:t>
      </w:r>
    </w:p>
    <w:p>
      <w:pPr>
        <w:spacing w:before="0" w:after="80" w:line="276" w:lineRule="auto"/>
        <w:jc w:val="left"/>
      </w:pPr>
      <w:r>
        <w:rPr>
          <w:rFonts w:ascii="Calibri" w:hAnsi="Calibri"/>
          <w:b w:val="0"/>
          <w:i w:val="0"/>
          <w:color w:val="000000"/>
          <w:sz w:val="21"/>
        </w:rPr>
        <w:t>Phase 13 containerized the CTI platform using hardened production standards following CIS Docker Benchmark v1.6 and NIST SP 800-190:</w:t>
      </w:r>
    </w:p>
    <w:p>
      <w:pPr>
        <w:keepNext/>
        <w:spacing w:before="260" w:after="80" w:line="276" w:lineRule="auto"/>
        <w:jc w:val="left"/>
      </w:pPr>
      <w:r>
        <w:rPr>
          <w:rFonts w:ascii="Calibri" w:hAnsi="Calibri"/>
          <w:b/>
          <w:i w:val="0"/>
          <w:color w:val="000000"/>
          <w:sz w:val="25"/>
        </w:rPr>
        <w:t>Hardened Docker Image Build Evidence</w:t>
      </w:r>
    </w:p>
    <w:p>
      <w:pPr>
        <w:pStyle w:val="ListBullet"/>
        <w:spacing w:before="0" w:after="40" w:line="276" w:lineRule="auto"/>
        <w:jc w:val="left"/>
      </w:pPr>
      <w:r>
        <w:rPr>
          <w:rFonts w:ascii="Calibri" w:hAnsi="Calibri"/>
          <w:b w:val="0"/>
          <w:i w:val="0"/>
          <w:color w:val="000000"/>
          <w:sz w:val="21"/>
        </w:rPr>
        <w:t>Docker Image Repository: cti-platform:latest</w:t>
      </w:r>
    </w:p>
    <w:p>
      <w:pPr>
        <w:pStyle w:val="ListBullet"/>
        <w:spacing w:before="0" w:after="40" w:line="276" w:lineRule="auto"/>
        <w:jc w:val="left"/>
      </w:pPr>
      <w:r>
        <w:rPr>
          <w:rFonts w:ascii="Calibri" w:hAnsi="Calibri"/>
          <w:b w:val="0"/>
          <w:i w:val="0"/>
          <w:color w:val="000000"/>
          <w:sz w:val="21"/>
        </w:rPr>
        <w:t>Image ID: 76fdaa4920a1 (Content Size: 77.1 MB, Total Disk Usage: 316 MB)</w:t>
      </w:r>
    </w:p>
    <w:p>
      <w:pPr>
        <w:pStyle w:val="ListBullet"/>
        <w:spacing w:before="0" w:after="40" w:line="276" w:lineRule="auto"/>
        <w:jc w:val="left"/>
      </w:pPr>
      <w:r>
        <w:rPr>
          <w:rFonts w:ascii="Calibri" w:hAnsi="Calibri"/>
          <w:b w:val="0"/>
          <w:i w:val="0"/>
          <w:color w:val="000000"/>
          <w:sz w:val="21"/>
        </w:rPr>
        <w:t>Docker Engine Version: Docker version 29.5.2, build 79eb04c</w:t>
      </w:r>
    </w:p>
    <w:p>
      <w:pPr>
        <w:pStyle w:val="ListBullet"/>
        <w:spacing w:before="0" w:after="40" w:line="276" w:lineRule="auto"/>
        <w:jc w:val="left"/>
      </w:pPr>
      <w:r>
        <w:rPr>
          <w:rFonts w:ascii="Calibri" w:hAnsi="Calibri"/>
          <w:b w:val="0"/>
          <w:i w:val="0"/>
          <w:color w:val="000000"/>
          <w:sz w:val="21"/>
        </w:rPr>
        <w:t>Base Image: node:20-bookworm-slim (multi-stage build omitting development toolchains)</w:t>
      </w:r>
    </w:p>
    <w:p>
      <w:pPr>
        <w:pStyle w:val="ListBullet"/>
        <w:spacing w:before="0" w:after="40" w:line="276" w:lineRule="auto"/>
        <w:jc w:val="left"/>
      </w:pPr>
      <w:r>
        <w:rPr>
          <w:rFonts w:ascii="Calibri" w:hAnsi="Calibri"/>
          <w:b w:val="0"/>
          <w:i w:val="0"/>
          <w:color w:val="000000"/>
          <w:sz w:val="21"/>
        </w:rPr>
        <w:t>Unprivileged Execution: USER appuser (UID 10001, GID 10001)</w:t>
      </w:r>
    </w:p>
    <w:p>
      <w:pPr>
        <w:pStyle w:val="ListBullet"/>
        <w:spacing w:before="0" w:after="40" w:line="276" w:lineRule="auto"/>
        <w:jc w:val="left"/>
      </w:pPr>
      <w:r>
        <w:rPr>
          <w:rFonts w:ascii="Calibri" w:hAnsi="Calibri"/>
          <w:b w:val="0"/>
          <w:i w:val="0"/>
          <w:color w:val="000000"/>
          <w:sz w:val="21"/>
        </w:rPr>
        <w:t>Healthcheck: Native probe querying GET /api/health every 30s</w:t>
      </w:r>
    </w:p>
    <w:p>
      <w:pPr>
        <w:keepNext/>
        <w:spacing w:before="260" w:after="80" w:line="276" w:lineRule="auto"/>
        <w:jc w:val="left"/>
      </w:pPr>
      <w:r>
        <w:rPr>
          <w:rFonts w:ascii="Calibri" w:hAnsi="Calibri"/>
          <w:b/>
          <w:i w:val="0"/>
          <w:color w:val="000000"/>
          <w:sz w:val="25"/>
        </w:rPr>
        <w:t>Kubernetes Manifest Auditing &amp; Limitations</w:t>
      </w:r>
    </w:p>
    <w:p>
      <w:pPr>
        <w:spacing w:before="0" w:after="80" w:line="276" w:lineRule="auto"/>
        <w:jc w:val="left"/>
      </w:pPr>
      <w:r>
        <w:rPr>
          <w:rFonts w:ascii="Calibri" w:hAnsi="Calibri"/>
          <w:b w:val="0"/>
          <w:i w:val="0"/>
          <w:color w:val="000000"/>
          <w:sz w:val="21"/>
        </w:rPr>
        <w:t>Kubernetes manifests (k8s/configmap.yaml, deployment.yaml, secret.yaml, service.yaml) were validated via PyYAML. The deployment manifest enforces: runAsNonRoot: true, allowPrivilegeEscalation: false, readOnlyRootFilesystem: true, capabilities drop ALL, and replicas: 1 (protecting SQLite single-writer consistency). Limitation Statement: Live Kubernetes cluster deployment was not executed; manifest security contexts are verified via STATIC VALIDATION.</w:t>
      </w:r>
    </w:p>
    <w:p>
      <w:pPr>
        <w:keepNext/>
        <w:spacing w:before="180" w:after="60" w:line="276" w:lineRule="auto"/>
        <w:jc w:val="left"/>
      </w:pPr>
      <w:r>
        <w:rPr>
          <w:rFonts w:ascii="Calibri" w:hAnsi="Calibri"/>
          <w:b/>
          <w:i w:val="0"/>
          <w:color w:val="000000"/>
          <w:sz w:val="22"/>
        </w:rPr>
        <w:t>Tools Used in Phase 13</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13</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Docker Desktop / Docker CLI</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Building and auditing the cti-platform:latest image (ID 76fdaa4920a1).</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PyYAML / Python</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Static syntactic and structural validation of all 4 Kubernetes manifests.</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kubectl CLI</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Client-side manifest dry-run validation (Client Version v1.34.1).</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15. CI/CD, Automated Security Testing and Fuzzing (Phase 14)</w:t>
      </w:r>
    </w:p>
    <w:p>
      <w:pPr>
        <w:spacing w:before="0" w:after="80" w:line="276" w:lineRule="auto"/>
        <w:jc w:val="left"/>
      </w:pPr>
      <w:r>
        <w:rPr>
          <w:rFonts w:ascii="Calibri" w:hAnsi="Calibri"/>
          <w:b w:val="0"/>
          <w:i w:val="0"/>
          <w:color w:val="000000"/>
          <w:sz w:val="21"/>
        </w:rPr>
        <w:t>Phase 14 established an unbroken 11-stage CI/CD pipeline, executed 172 automated verification checkpoints, and applied deterministic application-level security fuzzing.</w:t>
      </w:r>
    </w:p>
    <w:p>
      <w:pPr>
        <w:keepNext/>
        <w:spacing w:before="260" w:after="80" w:line="276" w:lineRule="auto"/>
        <w:jc w:val="left"/>
      </w:pPr>
      <w:r>
        <w:rPr>
          <w:rFonts w:ascii="Calibri" w:hAnsi="Calibri"/>
          <w:b/>
          <w:i w:val="0"/>
          <w:color w:val="000000"/>
          <w:sz w:val="25"/>
        </w:rPr>
        <w:t>Automated Testing Separation &amp; Exact Counts</w:t>
      </w:r>
    </w:p>
    <w:p>
      <w:pPr>
        <w:pStyle w:val="ListBullet"/>
        <w:spacing w:before="0" w:after="40" w:line="276" w:lineRule="auto"/>
        <w:jc w:val="left"/>
      </w:pPr>
      <w:r>
        <w:rPr>
          <w:rFonts w:ascii="Calibri" w:hAnsi="Calibri"/>
          <w:b w:val="0"/>
          <w:i w:val="0"/>
          <w:color w:val="000000"/>
          <w:sz w:val="21"/>
        </w:rPr>
        <w:t>Unit Testing (tests/unit/*.test.js): 31 tests across 5 suites (100% PASS).</w:t>
      </w:r>
    </w:p>
    <w:p>
      <w:pPr>
        <w:pStyle w:val="ListBullet"/>
        <w:spacing w:before="0" w:after="40" w:line="276" w:lineRule="auto"/>
        <w:jc w:val="left"/>
      </w:pPr>
      <w:r>
        <w:rPr>
          <w:rFonts w:ascii="Calibri" w:hAnsi="Calibri"/>
          <w:b w:val="0"/>
          <w:i w:val="0"/>
          <w:color w:val="000000"/>
          <w:sz w:val="21"/>
        </w:rPr>
        <w:t>Integration Testing (tests/integration/*.test.js): 30 tests across 5 suites (100% PASS).</w:t>
      </w:r>
    </w:p>
    <w:p>
      <w:pPr>
        <w:pStyle w:val="ListBullet"/>
        <w:spacing w:before="0" w:after="40" w:line="276" w:lineRule="auto"/>
        <w:jc w:val="left"/>
      </w:pPr>
      <w:r>
        <w:rPr>
          <w:rFonts w:ascii="Calibri" w:hAnsi="Calibri"/>
          <w:b w:val="0"/>
          <w:i w:val="0"/>
          <w:color w:val="000000"/>
          <w:sz w:val="21"/>
        </w:rPr>
        <w:t>End-to-End CTI Workflow (tests/e2e/ctiWorkflow.test.js): 9 contiguous lifecycle steps (100% PASS).</w:t>
      </w:r>
    </w:p>
    <w:p>
      <w:pPr>
        <w:pStyle w:val="ListBullet"/>
        <w:spacing w:before="0" w:after="40" w:line="276" w:lineRule="auto"/>
        <w:jc w:val="left"/>
      </w:pPr>
      <w:r>
        <w:rPr>
          <w:rFonts w:ascii="Calibri" w:hAnsi="Calibri"/>
          <w:b w:val="0"/>
          <w:i w:val="0"/>
          <w:color w:val="000000"/>
          <w:sz w:val="21"/>
        </w:rPr>
        <w:t>Vulnerability Regression (tests/vulnerability/*.test.js): 8 tests confirming V02 and V04 remediations (100% PASS).</w:t>
      </w:r>
    </w:p>
    <w:p>
      <w:pPr>
        <w:pStyle w:val="ListBullet"/>
        <w:spacing w:before="0" w:after="40" w:line="276" w:lineRule="auto"/>
        <w:jc w:val="left"/>
      </w:pPr>
      <w:r>
        <w:rPr>
          <w:rFonts w:ascii="Calibri" w:hAnsi="Calibri"/>
          <w:b w:val="0"/>
          <w:i w:val="0"/>
          <w:color w:val="000000"/>
          <w:sz w:val="21"/>
        </w:rPr>
        <w:t>Total Automated Test Assertions: 78 tests across 14 suites.</w:t>
      </w:r>
    </w:p>
    <w:p>
      <w:pPr>
        <w:keepNext/>
        <w:spacing w:before="260" w:after="80" w:line="276" w:lineRule="auto"/>
        <w:jc w:val="left"/>
      </w:pPr>
      <w:r>
        <w:rPr>
          <w:rFonts w:ascii="Calibri" w:hAnsi="Calibri"/>
          <w:b/>
          <w:i w:val="0"/>
          <w:color w:val="000000"/>
          <w:sz w:val="25"/>
        </w:rPr>
        <w:t>Deterministic Application-Level Security Fuzzing (94 Cases)</w:t>
      </w:r>
    </w:p>
    <w:p>
      <w:pPr>
        <w:spacing w:before="0" w:after="80" w:line="276" w:lineRule="auto"/>
        <w:jc w:val="left"/>
      </w:pPr>
      <w:r>
        <w:rPr>
          <w:rFonts w:ascii="Calibri" w:hAnsi="Calibri"/>
          <w:b w:val="0"/>
          <w:i w:val="0"/>
          <w:color w:val="000000"/>
          <w:sz w:val="21"/>
        </w:rPr>
        <w:t>The fuzzer (scripts/fuzz-security.js) applied 94 deterministic test cases across 10 functional categories against platform API routes: IPv4 (10), IPv6 (8), Domains (10), Hashes (12), Report Titles (8), Report Markdown (10), Confidence (8), TLP Enums (8), Malformed IDs &amp; Traversal (12), and Auth Integrity (8). Results: Zero server crashes (HTTP 500: 0), zero authorization bypasses, zero stored XSS persistence, and 100% controlled responses.</w:t>
      </w:r>
    </w:p>
    <w:p>
      <w:pPr>
        <w:keepNext/>
        <w:spacing w:before="260" w:after="80" w:line="276" w:lineRule="auto"/>
        <w:jc w:val="left"/>
      </w:pPr>
      <w:r>
        <w:rPr>
          <w:rFonts w:ascii="Calibri" w:hAnsi="Calibri"/>
          <w:b/>
          <w:i w:val="0"/>
          <w:color w:val="000000"/>
          <w:sz w:val="25"/>
        </w:rPr>
        <w:t>Defects Discovered, Remediated, and Retested</w:t>
      </w:r>
    </w:p>
    <w:p>
      <w:pPr>
        <w:pStyle w:val="ListBullet"/>
        <w:spacing w:before="0" w:after="40" w:line="276" w:lineRule="auto"/>
        <w:jc w:val="left"/>
      </w:pPr>
      <w:r>
        <w:rPr>
          <w:rFonts w:ascii="Calibri" w:hAnsi="Calibri"/>
          <w:b w:val="0"/>
          <w:i w:val="0"/>
          <w:color w:val="000000"/>
          <w:sz w:val="21"/>
        </w:rPr>
        <w:t>DEF-01 (CWE-20 / CWE-754): Passing numeric 1 as tlp crashed .toUpperCase(). Fixed by adding explicit typeof tlp !== 'string' checks in iocController, reportController, and triageController.</w:t>
      </w:r>
    </w:p>
    <w:p>
      <w:pPr>
        <w:pStyle w:val="ListBullet"/>
        <w:spacing w:before="0" w:after="40" w:line="276" w:lineRule="auto"/>
        <w:jc w:val="left"/>
      </w:pPr>
      <w:r>
        <w:rPr>
          <w:rFonts w:ascii="Calibri" w:hAnsi="Calibri"/>
          <w:b w:val="0"/>
          <w:i w:val="0"/>
          <w:color w:val="000000"/>
          <w:sz w:val="21"/>
        </w:rPr>
        <w:t>DEF-02 (CWE-182 / CWE-79): Nested script tags (&lt;&lt;SCRIPT&gt;script&gt;) bypassed single-pass regex sanitization. Fixed by adding iterative do...while tag stripping loop in SanitizerService.</w:t>
      </w:r>
    </w:p>
    <w:p>
      <w:pPr>
        <w:pStyle w:val="ListBullet"/>
        <w:spacing w:before="0" w:after="40" w:line="276" w:lineRule="auto"/>
        <w:jc w:val="left"/>
      </w:pPr>
      <w:r>
        <w:rPr>
          <w:rFonts w:ascii="Calibri" w:hAnsi="Calibri"/>
          <w:b w:val="0"/>
          <w:i w:val="0"/>
          <w:color w:val="000000"/>
          <w:sz w:val="21"/>
        </w:rPr>
        <w:t>Final CI Pipeline (scripts/ci-runner.js): All 11 stages PASSED under commit 9722377.</w:t>
      </w:r>
    </w:p>
    <w:p>
      <w:pPr>
        <w:keepNext/>
        <w:spacing w:before="180" w:after="60" w:line="276" w:lineRule="auto"/>
        <w:jc w:val="left"/>
      </w:pPr>
      <w:r>
        <w:rPr>
          <w:rFonts w:ascii="Calibri" w:hAnsi="Calibri"/>
          <w:b/>
          <w:i w:val="0"/>
          <w:color w:val="000000"/>
          <w:sz w:val="22"/>
        </w:rPr>
        <w:t>Tools Used in Phase 14</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14</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Node.js test runner</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Execution of 78 automated test assertions across 14 test suites.</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Supertest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Simulating live HTTP requests and payload mutations against Express API routes.</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Antigravity</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Authoring the deterministic security fuzzer and 11-stage CI runner.</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GitHub Actions</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CI workflow configuration (.github/workflows/secure-build.yml).</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16. Logging, Monitoring, Hardening and Secure Deployment (Phase 15)</w:t>
      </w:r>
    </w:p>
    <w:p>
      <w:pPr>
        <w:spacing w:before="0" w:after="80" w:line="276" w:lineRule="auto"/>
        <w:jc w:val="left"/>
      </w:pPr>
      <w:r>
        <w:rPr>
          <w:rFonts w:ascii="Calibri" w:hAnsi="Calibri"/>
          <w:b w:val="0"/>
          <w:i w:val="0"/>
          <w:color w:val="000000"/>
          <w:sz w:val="21"/>
        </w:rPr>
        <w:t>Phase 15 operationalized security logging, real-time metrics monitoring, and comprehensive environment hardening.</w:t>
      </w:r>
    </w:p>
    <w:p>
      <w:pPr>
        <w:keepNext/>
        <w:spacing w:before="260" w:after="80" w:line="276" w:lineRule="auto"/>
        <w:jc w:val="left"/>
      </w:pPr>
      <w:r>
        <w:rPr>
          <w:rFonts w:ascii="Calibri" w:hAnsi="Calibri"/>
          <w:b/>
          <w:i w:val="0"/>
          <w:color w:val="000000"/>
          <w:sz w:val="25"/>
        </w:rPr>
        <w:t>Tamper-Evident SHA-256 Hash-Chained Audit Logging</w:t>
      </w:r>
    </w:p>
    <w:p>
      <w:pPr>
        <w:spacing w:before="0" w:after="80" w:line="276" w:lineRule="auto"/>
        <w:jc w:val="left"/>
      </w:pPr>
      <w:r>
        <w:rPr>
          <w:rFonts w:ascii="Calibri" w:hAnsi="Calibri"/>
          <w:b w:val="0"/>
          <w:i w:val="0"/>
          <w:color w:val="000000"/>
          <w:sz w:val="21"/>
        </w:rPr>
        <w:t>All security-relevant events (authentication, access denials, IoC submissions, triage, and feed egress) are recorded in the SQLite audit_logs table. Each record computes a SHA-256 digest linking the current record to the previous record's hash. Execution of npm run audit:verify confirmed: 1,127 records verified, zero tampering detected.</w:t>
      </w:r>
    </w:p>
    <w:p>
      <w:pPr>
        <w:keepNext/>
        <w:spacing w:before="260" w:after="80" w:line="276" w:lineRule="auto"/>
        <w:jc w:val="left"/>
      </w:pPr>
      <w:r>
        <w:rPr>
          <w:rFonts w:ascii="Calibri" w:hAnsi="Calibri"/>
          <w:b/>
          <w:i w:val="0"/>
          <w:color w:val="000000"/>
          <w:sz w:val="25"/>
        </w:rPr>
        <w:t>Prometheus Operational &amp; Security Metrics (/metrics)</w:t>
      </w:r>
    </w:p>
    <w:p>
      <w:pPr>
        <w:spacing w:before="0" w:after="80" w:line="276" w:lineRule="auto"/>
        <w:jc w:val="left"/>
      </w:pPr>
      <w:r>
        <w:rPr>
          <w:rFonts w:ascii="Calibri" w:hAnsi="Calibri"/>
          <w:b w:val="0"/>
          <w:i w:val="0"/>
          <w:color w:val="000000"/>
          <w:sz w:val="21"/>
        </w:rPr>
        <w:t>Exposes 5 core metrics with formal alerting rules:</w:t>
      </w:r>
    </w:p>
    <w:p>
      <w:pPr>
        <w:pStyle w:val="ListBullet"/>
        <w:spacing w:before="0" w:after="40" w:line="276" w:lineRule="auto"/>
        <w:jc w:val="left"/>
      </w:pPr>
      <w:r>
        <w:rPr>
          <w:rFonts w:ascii="Calibri" w:hAnsi="Calibri"/>
          <w:b w:val="0"/>
          <w:i w:val="0"/>
          <w:color w:val="000000"/>
          <w:sz w:val="21"/>
        </w:rPr>
        <w:t>cti_failed_logins_total: Counter tracking brute-force attempts. Alert: rate &gt; 5 in 5m.</w:t>
      </w:r>
    </w:p>
    <w:p>
      <w:pPr>
        <w:pStyle w:val="ListBullet"/>
        <w:spacing w:before="0" w:after="40" w:line="276" w:lineRule="auto"/>
        <w:jc w:val="left"/>
      </w:pPr>
      <w:r>
        <w:rPr>
          <w:rFonts w:ascii="Calibri" w:hAnsi="Calibri"/>
          <w:b w:val="0"/>
          <w:i w:val="0"/>
          <w:color w:val="000000"/>
          <w:sz w:val="21"/>
        </w:rPr>
        <w:t>cti_http_requests_total: Counter tracking incoming API volume. Alert: rate &gt; 100 in 1m.</w:t>
      </w:r>
    </w:p>
    <w:p>
      <w:pPr>
        <w:pStyle w:val="ListBullet"/>
        <w:spacing w:before="0" w:after="40" w:line="276" w:lineRule="auto"/>
        <w:jc w:val="left"/>
      </w:pPr>
      <w:r>
        <w:rPr>
          <w:rFonts w:ascii="Calibri" w:hAnsi="Calibri"/>
          <w:b w:val="0"/>
          <w:i w:val="0"/>
          <w:color w:val="000000"/>
          <w:sz w:val="21"/>
        </w:rPr>
        <w:t>cti_authorization_denials_total: Counter tracking RBAC &amp; TLP blocks. Alert: rate &gt; 3 in 5m.</w:t>
      </w:r>
    </w:p>
    <w:p>
      <w:pPr>
        <w:pStyle w:val="ListBullet"/>
        <w:spacing w:before="0" w:after="40" w:line="276" w:lineRule="auto"/>
        <w:jc w:val="left"/>
      </w:pPr>
      <w:r>
        <w:rPr>
          <w:rFonts w:ascii="Calibri" w:hAnsi="Calibri"/>
          <w:b w:val="0"/>
          <w:i w:val="0"/>
          <w:color w:val="000000"/>
          <w:sz w:val="21"/>
        </w:rPr>
        <w:t>cti_rate_limit_exceeded_total: Counter tracking rate-limit triggers. Alert: rate &gt; 10 in 1m.</w:t>
      </w:r>
    </w:p>
    <w:p>
      <w:pPr>
        <w:pStyle w:val="ListBullet"/>
        <w:spacing w:before="0" w:after="40" w:line="276" w:lineRule="auto"/>
        <w:jc w:val="left"/>
      </w:pPr>
      <w:r>
        <w:rPr>
          <w:rFonts w:ascii="Calibri" w:hAnsi="Calibri"/>
          <w:b w:val="0"/>
          <w:i w:val="0"/>
          <w:color w:val="000000"/>
          <w:sz w:val="21"/>
        </w:rPr>
        <w:t>cti_audit_chain_status: Gauge tracking cryptographic integrity. Alert: value == 0 (SEV-1 incident).</w:t>
      </w:r>
    </w:p>
    <w:p>
      <w:pPr>
        <w:keepNext/>
        <w:spacing w:before="260" w:after="80" w:line="276" w:lineRule="auto"/>
        <w:jc w:val="left"/>
      </w:pPr>
      <w:r>
        <w:rPr>
          <w:rFonts w:ascii="Calibri" w:hAnsi="Calibri"/>
          <w:b/>
          <w:i w:val="0"/>
          <w:color w:val="000000"/>
          <w:sz w:val="25"/>
        </w:rPr>
        <w:t>Environment Hardening Status Summary</w:t>
      </w:r>
    </w:p>
    <w:p>
      <w:pPr>
        <w:spacing w:before="0" w:after="80" w:line="276" w:lineRule="auto"/>
        <w:jc w:val="left"/>
      </w:pPr>
      <w:r>
        <w:rPr>
          <w:rFonts w:ascii="Calibri" w:hAnsi="Calibri"/>
          <w:b w:val="0"/>
          <w:i w:val="0"/>
          <w:color w:val="000000"/>
          <w:sz w:val="21"/>
        </w:rPr>
        <w:t>Application Layer: VERIFIED (MFA, bcrypt, JWT, RBAC, IDOR 403, TLP barriers, XSS sanitization, rate limits, Helmet).</w:t>
        <w:br/>
        <w:t>Repository Layer: VERIFIED (Secret detection, SAST, dependency audits, regression suites, CI runner).</w:t>
        <w:br/>
        <w:t>Container Layer: VERIFIED (node:20-bookworm-slim, non-root UID 10001, healthchecks, /data isolation).</w:t>
        <w:br/>
        <w:t>Kubernetes Layer: STATIC VALIDATION (runAsNonRoot, readOnlyRootFilesystem, drop ALL capabilities, replicas: 1).</w:t>
      </w:r>
    </w:p>
    <w:p>
      <w:pPr>
        <w:keepNext/>
        <w:spacing w:before="180" w:after="60" w:line="276" w:lineRule="auto"/>
        <w:jc w:val="left"/>
      </w:pPr>
      <w:r>
        <w:rPr>
          <w:rFonts w:ascii="Calibri" w:hAnsi="Calibri"/>
          <w:b/>
          <w:i w:val="0"/>
          <w:color w:val="000000"/>
          <w:sz w:val="22"/>
        </w:rPr>
        <w:t>Tools Used in Phase 15</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15</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Prometheus format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Standard exposition format for real-time application and security metrics.</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Crypto (Node.js)</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SHA-256 cryptographic hash-chain computation and tamper detection.</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SQLite3</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Write-Ahead Logging (WAL) persistent storage for audit trail.</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17. Final Security Review, Risk Assessment &amp; Traceability (Phase 16)</w:t>
      </w:r>
    </w:p>
    <w:p>
      <w:pPr>
        <w:spacing w:before="0" w:after="80" w:line="276" w:lineRule="auto"/>
        <w:jc w:val="left"/>
      </w:pPr>
      <w:r>
        <w:rPr>
          <w:rFonts w:ascii="Calibri" w:hAnsi="Calibri"/>
          <w:b w:val="0"/>
          <w:i w:val="0"/>
          <w:color w:val="000000"/>
          <w:sz w:val="21"/>
        </w:rPr>
        <w:t>A comprehensive security review was conducted across the entire engineering portfolio. The evaluation affirmed that all 9 core security requirements are fully enforced and audited.</w:t>
      </w:r>
    </w:p>
    <w:p>
      <w:pPr>
        <w:keepNext/>
        <w:spacing w:before="260" w:after="80" w:line="276" w:lineRule="auto"/>
        <w:jc w:val="left"/>
      </w:pPr>
      <w:r>
        <w:rPr>
          <w:rFonts w:ascii="Calibri" w:hAnsi="Calibri"/>
          <w:b/>
          <w:i w:val="0"/>
          <w:color w:val="000000"/>
          <w:sz w:val="25"/>
        </w:rPr>
        <w:t>Top Three Security Risks &amp; Mitigations</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1806"/>
        <w:gridCol w:w="1806"/>
        <w:gridCol w:w="1806"/>
        <w:gridCol w:w="1806"/>
        <w:gridCol w:w="1806"/>
      </w:tblGrid>
      <w:tr>
        <w:trPr>
          <w:tblHeader/>
          <w:cantSplit/>
        </w:trPr>
        <w:tc>
          <w:tcPr>
            <w:tcW w:type="dxa" w:w="2160"/>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Risk Title</w:t>
            </w:r>
          </w:p>
        </w:tc>
        <w:tc>
          <w:tcPr>
            <w:tcW w:type="dxa" w:w="1296"/>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STRIDE Threat</w:t>
            </w:r>
          </w:p>
        </w:tc>
        <w:tc>
          <w:tcPr>
            <w:tcW w:type="dxa" w:w="172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Impact &amp; Likelihood</w:t>
            </w:r>
          </w:p>
        </w:tc>
        <w:tc>
          <w:tcPr>
            <w:tcW w:type="dxa" w:w="2880"/>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Current Mitigation Control</w:t>
            </w:r>
          </w:p>
        </w:tc>
        <w:tc>
          <w:tcPr>
            <w:tcW w:type="dxa" w:w="1584"/>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Residual Risk</w:t>
            </w:r>
          </w:p>
        </w:tc>
      </w:tr>
      <w:tr>
        <w:trPr>
          <w:cantSplit/>
        </w:trPr>
        <w:tc>
          <w:tcPr>
            <w:tcW w:type="dxa" w:w="216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 SQLite Single-Writer Lock Contention</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T05 (DoS)</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Impact: High</w:t>
              <w:br/>
              <w:t>Likelihood: Low-Mod</w:t>
            </w:r>
          </w:p>
        </w:tc>
        <w:tc>
          <w:tcPr>
            <w:tcW w:type="dxa" w:w="288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Kubernetes replicas: 1, Recreate strategy, SQLite WAL mode with 5000ms busy_timeout.</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Moderate if horizontally scaled without DB migration.</w:t>
            </w:r>
          </w:p>
        </w:tc>
      </w:tr>
      <w:tr>
        <w:trPr>
          <w:cantSplit/>
        </w:trPr>
        <w:tc>
          <w:tcPr>
            <w:tcW w:type="dxa" w:w="216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 Client-Side Token Theft via XSS</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T06 (Privilege)</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Impact: Critical</w:t>
              <w:br/>
              <w:t>Likelihood: Low</w:t>
            </w:r>
          </w:p>
        </w:tc>
        <w:tc>
          <w:tcPr>
            <w:tcW w:type="dxa" w:w="288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SanitizerService iterative tag stripping, event handler neutralization, CSP headers, 1h JWT.</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Low under current sanitization regimen.</w:t>
            </w:r>
          </w:p>
        </w:tc>
      </w:tr>
      <w:tr>
        <w:trPr>
          <w:cantSplit/>
        </w:trPr>
        <w:tc>
          <w:tcPr>
            <w:tcW w:type="dxa" w:w="216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3. Upstream Transitive Dependency CVEs</w:t>
            </w:r>
          </w:p>
        </w:tc>
        <w:tc>
          <w:tcPr>
            <w:tcW w:type="dxa" w:w="129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T06 (Privilege)</w:t>
            </w:r>
          </w:p>
        </w:tc>
        <w:tc>
          <w:tcPr>
            <w:tcW w:type="dxa" w:w="172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Impact: High</w:t>
              <w:br/>
              <w:t>Likelihood: Low-Mod</w:t>
            </w:r>
          </w:p>
        </w:tc>
        <w:tc>
          <w:tcPr>
            <w:tcW w:type="dxa" w:w="288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Minimal dependency set (7 pkgs), package-lock.json pinning, automated npm audit in CI.</w:t>
            </w:r>
          </w:p>
        </w:tc>
        <w:tc>
          <w:tcPr>
            <w:tcW w:type="dxa" w:w="158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Low to Moderate due to supply chain evolution.</w:t>
            </w:r>
          </w:p>
        </w:tc>
      </w:tr>
    </w:tbl>
    <w:p>
      <w:pPr>
        <w:spacing w:before="0" w:after="60" w:line="276" w:lineRule="auto"/>
        <w:jc w:val="left"/>
      </w:pPr>
    </w:p>
    <w:p>
      <w:pPr>
        <w:keepNext/>
        <w:spacing w:before="260" w:after="80" w:line="276" w:lineRule="auto"/>
        <w:jc w:val="left"/>
      </w:pPr>
      <w:r>
        <w:rPr>
          <w:rFonts w:ascii="Calibri" w:hAnsi="Calibri"/>
          <w:b/>
          <w:i w:val="0"/>
          <w:color w:val="000000"/>
          <w:sz w:val="25"/>
        </w:rPr>
        <w:t>Future Architectural Improvements (Clearly Labeled FUTURE)</w:t>
      </w:r>
    </w:p>
    <w:p>
      <w:pPr>
        <w:pStyle w:val="ListBullet"/>
        <w:spacing w:before="0" w:after="40" w:line="276" w:lineRule="auto"/>
        <w:jc w:val="left"/>
      </w:pPr>
      <w:r>
        <w:rPr>
          <w:rFonts w:ascii="Calibri" w:hAnsi="Calibri"/>
          <w:b w:val="0"/>
          <w:i w:val="0"/>
          <w:color w:val="000000"/>
          <w:sz w:val="21"/>
        </w:rPr>
        <w:t>[FUTURE-01] Migration to Distributed PostgreSQL with Row-Level Security (RLS) &amp; TAXII 2.1 Egress Server.</w:t>
      </w:r>
    </w:p>
    <w:p>
      <w:pPr>
        <w:pStyle w:val="ListBullet"/>
        <w:spacing w:before="0" w:after="40" w:line="276" w:lineRule="auto"/>
        <w:jc w:val="left"/>
      </w:pPr>
      <w:r>
        <w:rPr>
          <w:rFonts w:ascii="Calibri" w:hAnsi="Calibri"/>
          <w:b w:val="0"/>
          <w:i w:val="0"/>
          <w:color w:val="000000"/>
          <w:sz w:val="21"/>
        </w:rPr>
        <w:t>[FUTURE-02] Enterprise Hardware Security Module (HSM) / HashiCorp Vault Key Management &amp; Centralized SIEM Forwarder.</w:t>
      </w:r>
    </w:p>
    <w:p>
      <w:pPr>
        <w:keepNext/>
        <w:spacing w:before="260" w:after="80" w:line="276" w:lineRule="auto"/>
        <w:jc w:val="left"/>
      </w:pPr>
      <w:r>
        <w:rPr>
          <w:rFonts w:ascii="Calibri" w:hAnsi="Calibri"/>
          <w:b/>
          <w:i w:val="0"/>
          <w:color w:val="000000"/>
          <w:sz w:val="25"/>
        </w:rPr>
        <w:t>Critical End-to-End Traceability Thread</w:t>
      </w:r>
    </w:p>
    <w:p>
      <w:pPr>
        <w:spacing w:before="0" w:after="80" w:line="276" w:lineRule="auto"/>
        <w:jc w:val="left"/>
      </w:pPr>
      <w:r>
        <w:rPr>
          <w:rFonts w:ascii="Calibri" w:hAnsi="Calibri"/>
          <w:b w:val="0"/>
          <w:i w:val="0"/>
          <w:color w:val="000000"/>
          <w:sz w:val="21"/>
        </w:rPr>
        <w:t>The unbroken continuity thread connecting all artifacts for Confidentiality &amp; TLP Intelligence Access Control:</w:t>
      </w:r>
    </w:p>
    <w:p>
      <w:pPr>
        <w:spacing w:before="80" w:after="120" w:line="240" w:lineRule="auto"/>
        <w:ind w:left="288"/>
        <w:jc w:val="left"/>
        <w:pBdr>
          <w:left w:val="single" w:sz="18" w:space="8" w:color="000000"/>
        </w:pBdr>
        <w:shd w:fill="F4F5F7"/>
      </w:pPr>
      <w:r>
        <w:rPr>
          <w:rFonts w:ascii="Consolas" w:hAnsi="Consolas"/>
          <w:b w:val="0"/>
          <w:i w:val="0"/>
          <w:color w:val="000000"/>
          <w:sz w:val="17"/>
        </w:rPr>
        <w:t>Requirement:       REQ-SEC-04 (Traffic Light Protocol Enforcement)</w:t>
        <w:br/>
        <w:t xml:space="preserve">  ↓</w:t>
        <w:br/>
        <w:t>Use Case:          UC-02 (Review &amp; Classify Threat Intelligence with TLP Clearance)</w:t>
        <w:br/>
        <w:t xml:space="preserve">  ↓</w:t>
        <w:br/>
        <w:t>Data Flow Diagram: IF-03 / Process 3.0 (Threat Feed Egress Intercepting Queries)</w:t>
        <w:br/>
        <w:t xml:space="preserve">  ↓</w:t>
        <w:br/>
        <w:t>STRIDE Threat:     T04 / T08 (Unauthorized Egress of TLP:RED Intelligence / Info Disclosure)</w:t>
        <w:br/>
        <w:t xml:space="preserve">  ↓</w:t>
        <w:br/>
        <w:t>Vulnerability:     V02 / CWE-639 (Broken Object-Level Authorization / BOLA / IDOR)</w:t>
        <w:br/>
        <w:t xml:space="preserve">  ↓</w:t>
        <w:br/>
        <w:t>Attack Tree:       Root -&gt; Branch B -&gt; Leaf B2 (Exfiltrate TLP:RED -&gt; Exploit API -&gt; BOLA)</w:t>
        <w:br/>
        <w:t xml:space="preserve">  ↓</w:t>
        <w:br/>
        <w:t>Jira Story:        CTI-107 (TLP Classification &amp; Access Control Enforcement)</w:t>
        <w:br/>
        <w:t xml:space="preserve">  ↓</w:t>
        <w:br/>
        <w:t>Jira Task:         CTI-107-T1 (Implement canAccessTLP Guard and Block Cross-Tenant Egress)</w:t>
        <w:br/>
        <w:t xml:space="preserve">  ↓</w:t>
        <w:br/>
        <w:t>Implementation:    src/middleware/tlpGuard.js &amp; src/controllers/reportController.js</w:t>
        <w:br/>
        <w:t xml:space="preserve">  ↓</w:t>
        <w:br/>
        <w:t>Security Test:     tests/vulnerability/vulnerabilityDemo.test.js &amp; tests/e2e/ctiWorkflow.test.js</w:t>
        <w:br/>
        <w:t xml:space="preserve">  ↓</w:t>
        <w:br/>
        <w:t>Deployment:        k8s/deployment.yaml (runAsNonRoot: true, readOnlyRootFilesystem: true)</w:t>
      </w:r>
    </w:p>
    <w:p>
      <w:pPr>
        <w:keepNext/>
        <w:spacing w:before="260" w:after="80" w:line="276" w:lineRule="auto"/>
        <w:jc w:val="left"/>
      </w:pPr>
      <w:r>
        <w:rPr>
          <w:rFonts w:ascii="Calibri" w:hAnsi="Calibri"/>
          <w:b/>
          <w:i w:val="0"/>
          <w:color w:val="000000"/>
          <w:sz w:val="25"/>
        </w:rPr>
        <w:t>Final Exam Phase Checklist (Phases 1–16)</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1806"/>
        <w:gridCol w:w="1806"/>
        <w:gridCol w:w="1806"/>
        <w:gridCol w:w="1806"/>
        <w:gridCol w:w="1806"/>
      </w:tblGrid>
      <w:tr>
        <w:trPr>
          <w:tblHeader/>
          <w:cantSplit/>
        </w:trPr>
        <w:tc>
          <w:tcPr>
            <w:tcW w:type="dxa" w:w="864"/>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Phase</w:t>
            </w:r>
          </w:p>
        </w:tc>
        <w:tc>
          <w:tcPr>
            <w:tcW w:type="dxa" w:w="2016"/>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Curriculum Topic</w:t>
            </w:r>
          </w:p>
        </w:tc>
        <w:tc>
          <w:tcPr>
            <w:tcW w:type="dxa" w:w="3600"/>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Actual Project Artifact Produced</w:t>
            </w:r>
          </w:p>
        </w:tc>
        <w:tc>
          <w:tcPr>
            <w:tcW w:type="dxa" w:w="2304"/>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Verification Evidence</w:t>
            </w:r>
          </w:p>
        </w:tc>
        <w:tc>
          <w:tcPr>
            <w:tcW w:type="dxa" w:w="864"/>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Exam Status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Agile Methodology</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docs/PHASE_01_AGILE.md</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Scrum + XP hybrid plan, sprint cadence</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2</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Requirements / SRS</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docs/PHASE_02_SRS.md, PHASE_02_REQUIREMENTS.md</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9 Security requirements specified</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3</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UML &amp; Use Cases</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docs/PHASE_03_UML.md, IMAGE/*.png</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5 Use cases with actors modeled</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4</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Data Flow &amp; ERD</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docs/PHASE_04_DATA_FLOW.md, IMAGE/*.png</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6 Relational tables, Level 0/1 DFDs</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5</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Architecture</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docs/PHASE_05_ARCHITECTURE.md, IMAGE/*.png</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Hexagonal architecture specification</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6</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UI Design</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docs/PHASE_06_UI_DESIGN.md, src/public/*</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4 Responsive glassmorphic screens served</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7</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Threat Modeling</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docs/PHASE_07_THREAT_MODEL.md, IMAGE/*.png</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12 STRIDE threats categorized</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8</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Attack Tree</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docs/PHASE_08_ATTACK_TREE.md, IMAGE/*.png</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4 Attack branches decomposed to leaves</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9</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Product Backlog</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docs/PHASE_09_BACKLOG.md</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10 Jira stories with INVEST criteria</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10</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Scrum Execution</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docs/PHASE_10_SCRUM_METRICS.md</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38 SP velocity, sprint burndown logged</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11</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Secure Build</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docs/PHASE_11_SECURE_BUILD.md, scripts/*</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Secret scan, SAST, CI runner verified</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12</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Secure Coding</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docs/PHASE_12_REFACTORING.md, src/*</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V02 &amp; V04 remediations verified (8/8)</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13</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Containerization</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Dockerfile, k8s/*.yaml, Image 76fdaa4920a1</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Docker built; K8s static validation</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14</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CI/CD &amp; Testing</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scripts/ci-runner.js, scripts/fuzz-security.js</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172 Checkpoints 100% pass rate</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15</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Logging &amp; Monitor</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docs/PHASE_15_LOGGING_MONITORING_HARDENING.md</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1,127 audit records, /metrics verified</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r>
        <w:trPr>
          <w:cantSplit/>
        </w:trPr>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16</w:t>
            </w:r>
          </w:p>
        </w:tc>
        <w:tc>
          <w:tcPr>
            <w:tcW w:type="dxa" w:w="2016"/>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Review &amp; Trace</w:t>
            </w:r>
          </w:p>
        </w:tc>
        <w:tc>
          <w:tcPr>
            <w:tcW w:type="dxa" w:w="3600"/>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docs/PHASE_16_FINAL_SECURITY_REVIEW_TRACEABILITY.md</w:t>
            </w:r>
          </w:p>
        </w:tc>
        <w:tc>
          <w:tcPr>
            <w:tcW w:type="dxa" w:w="230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Master Trace verified across 11 stages</w:t>
            </w:r>
          </w:p>
        </w:tc>
        <w:tc>
          <w:tcPr>
            <w:tcW w:type="dxa" w:w="864"/>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PASS</w:t>
            </w:r>
          </w:p>
        </w:tc>
      </w:tr>
    </w:tbl>
    <w:p>
      <w:pPr>
        <w:spacing w:before="0" w:after="60" w:line="276" w:lineRule="auto"/>
        <w:jc w:val="left"/>
      </w:pPr>
    </w:p>
    <w:p>
      <w:pPr>
        <w:keepNext/>
        <w:spacing w:before="180" w:after="60" w:line="276" w:lineRule="auto"/>
        <w:jc w:val="left"/>
      </w:pPr>
      <w:r>
        <w:rPr>
          <w:rFonts w:ascii="Calibri" w:hAnsi="Calibri"/>
          <w:b/>
          <w:i w:val="0"/>
          <w:color w:val="000000"/>
          <w:sz w:val="22"/>
        </w:rPr>
        <w:t>Tools Used in Phase 16</w:t>
      </w:r>
    </w:p>
    <w:tbl>
      <w:tblPr>
        <w:tblW w:type="auto" w:w="0"/>
        <w:jc w:val="center"/>
        <w:tblLook w:firstColumn="1" w:firstRow="1" w:lastColumn="0" w:lastRow="0" w:noHBand="0" w:noVBand="1" w:val="04A0"/>
        <w:tblBorders>
          <w:top w:val="single" w:sz="6" w:space="0" w:color="000000"/>
          <w:bottom w:val="single" w:sz="8" w:space="0" w:color="000000"/>
          <w:left w:val="none"/>
          <w:right w:val="none"/>
          <w:insideH w:val="single" w:sz="4" w:space="0" w:color="E0E0E0"/>
          <w:insideV w:val="none"/>
        </w:tblBorders>
      </w:tblPr>
      <w:tblGrid>
        <w:gridCol w:w="4514"/>
        <w:gridCol w:w="4514"/>
      </w:tblGrid>
      <w:tr>
        <w:trPr>
          <w:tblHeader/>
          <w:cantSplit/>
        </w:trPr>
        <w:tc>
          <w:tcPr>
            <w:tcW w:type="dxa" w:w="3168"/>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Tool / Technology</w:t>
            </w:r>
          </w:p>
        </w:tc>
        <w:tc>
          <w:tcPr>
            <w:tcW w:type="dxa" w:w="6192"/>
            <w:vAlign w:val="center"/>
            <w:shd w:fill="EEEEEE"/>
            <w:tcBorders>
              <w:top w:val="single" w:sz="4" w:space="0" w:color="D3D3D3"/>
              <w:left w:val="single" w:sz="4" w:space="0" w:color="D3D3D3"/>
              <w:bottom w:val="single" w:sz="4" w:space="0" w:color="D3D3D3"/>
              <w:right w:val="single" w:sz="4" w:space="0" w:color="D3D3D3"/>
            </w:tcBorders>
          </w:tcPr>
          <w:p>
            <w:pPr>
              <w:spacing w:before="80" w:after="80" w:line="276" w:lineRule="auto"/>
              <w:jc w:val="left"/>
            </w:pPr>
            <w:r>
              <w:rPr>
                <w:rFonts w:ascii="Calibri" w:hAnsi="Calibri"/>
                <w:b/>
                <w:i w:val="0"/>
                <w:color w:val="000000"/>
                <w:sz w:val="18"/>
              </w:rPr>
              <w:t>Specific Purpose &amp; Contribution in Phase 16</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Antigravity</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Comprehensive security auditing, risk assessment, and traceability compilation.</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python-docx</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Automated Word document synthesis adhering to pure black text and XML table styling.</w:t>
            </w:r>
          </w:p>
        </w:tc>
      </w:tr>
      <w:tr>
        <w:trPr>
          <w:cantSplit/>
        </w:trPr>
        <w:tc>
          <w:tcPr>
            <w:tcW w:type="dxa" w:w="3168"/>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ChatGPT</w:t>
            </w:r>
          </w:p>
        </w:tc>
        <w:tc>
          <w:tcPr>
            <w:tcW w:type="dxa" w:w="6192"/>
            <w:vAlign w:val="center"/>
            <w:tcBorders>
              <w:top w:val="single" w:sz="4" w:space="0" w:color="D3D3D3"/>
              <w:left w:val="single" w:sz="4" w:space="0" w:color="D3D3D3"/>
              <w:bottom w:val="single" w:sz="4" w:space="0" w:color="D3D3D3"/>
              <w:right w:val="single" w:sz="4" w:space="0" w:color="D3D3D3"/>
            </w:tcBorders>
          </w:tcPr>
          <w:p>
            <w:pPr>
              <w:spacing w:before="60" w:after="60" w:line="276" w:lineRule="auto"/>
              <w:jc w:val="left"/>
            </w:pPr>
            <w:r>
              <w:rPr>
                <w:rFonts w:ascii="Calibri" w:hAnsi="Calibri"/>
                <w:b w:val="0"/>
                <w:i w:val="0"/>
                <w:color w:val="000000"/>
                <w:sz w:val="17"/>
              </w:rPr>
              <w:t>Cross-phase consistency verification and standards compliance review.</w:t>
            </w:r>
          </w:p>
        </w:tc>
      </w:tr>
    </w:tbl>
    <w:p>
      <w:pPr>
        <w:spacing w:before="0" w:after="60" w:line="276" w:lineRule="auto"/>
        <w:jc w:val="left"/>
      </w:pPr>
    </w:p>
    <w:p>
      <w:pPr>
        <w:keepNext/>
        <w:spacing w:before="360" w:after="120" w:line="276" w:lineRule="auto"/>
        <w:jc w:val="left"/>
      </w:pPr>
      <w:r>
        <w:rPr>
          <w:rFonts w:ascii="Calibri" w:hAnsi="Calibri"/>
          <w:b/>
          <w:i w:val="0"/>
          <w:color w:val="000000"/>
          <w:sz w:val="30"/>
        </w:rPr>
        <w:t>18. Final Exam Conclusion &amp; Readiness Declaration</w:t>
      </w:r>
    </w:p>
    <w:p>
      <w:pPr>
        <w:spacing w:before="0" w:after="80" w:line="276" w:lineRule="auto"/>
        <w:jc w:val="left"/>
      </w:pPr>
      <w:r>
        <w:rPr>
          <w:rFonts w:ascii="Calibri" w:hAnsi="Calibri"/>
          <w:b w:val="0"/>
          <w:i w:val="0"/>
          <w:color w:val="000000"/>
          <w:sz w:val="21"/>
        </w:rPr>
        <w:t>The Cyber Threat Intelligence (CTI) Sharing Platform has satisfied all academic and practical requirements prescribed for the 24CYS401 Secure Software Engineering End-Semester Examination. Across all 16 exam phases, security was integrated directly into every phase of the software engineering lifecycle—from Agile backlog formulation to architectural modeling, threat decomposition, secure coding, automated multi-tier testing, container hardening, application fuzzing, and cryptographic audit enforcement.</w:t>
      </w:r>
    </w:p>
    <w:p>
      <w:pPr>
        <w:spacing w:before="0" w:after="80" w:line="276" w:lineRule="auto"/>
        <w:jc w:val="left"/>
      </w:pPr>
      <w:r>
        <w:rPr>
          <w:rFonts w:ascii="Calibri" w:hAnsi="Calibri"/>
          <w:b w:val="0"/>
          <w:i w:val="0"/>
          <w:color w:val="000000"/>
          <w:sz w:val="21"/>
        </w:rPr>
        <w:t>The platform demonstrably prevents Broken Object-Level Authorization (IDOR) through server-side TLP clearance barriers, eliminates Stored Cross-Site Scripting (XSS) through context-aware iterative sanitization, defends against brute-force attacks via rate limiting and TOTP MFA, and provides tamper-evident audit non-repudiation across 1,127 cryptographically chained log records. The system is declared fully verified, hardened, and ready for final academic evaluation.</w:t>
      </w:r>
    </w:p>
    <w:p>
      <w:pPr>
        <w:keepNext/>
        <w:spacing w:before="360" w:after="120" w:line="276" w:lineRule="auto"/>
        <w:jc w:val="left"/>
      </w:pPr>
      <w:r>
        <w:rPr>
          <w:rFonts w:ascii="Calibri" w:hAnsi="Calibri"/>
          <w:b/>
          <w:i w:val="0"/>
          <w:color w:val="000000"/>
          <w:sz w:val="30"/>
        </w:rPr>
        <w:t>19. Formal References &amp; International Standards</w:t>
      </w:r>
    </w:p>
    <w:p>
      <w:pPr>
        <w:pStyle w:val="ListBullet"/>
        <w:spacing w:before="0" w:after="40" w:line="276" w:lineRule="auto"/>
        <w:jc w:val="left"/>
      </w:pPr>
      <w:r>
        <w:rPr>
          <w:rFonts w:ascii="Calibri" w:hAnsi="Calibri"/>
          <w:b w:val="0"/>
          <w:i w:val="0"/>
          <w:color w:val="000000"/>
          <w:sz w:val="21"/>
        </w:rPr>
        <w:t>NIST Special Publication 800-218: Secure Software Development Framework (SSDF) Version 1.1, February 2022.</w:t>
      </w:r>
    </w:p>
    <w:p>
      <w:pPr>
        <w:pStyle w:val="ListBullet"/>
        <w:spacing w:before="0" w:after="40" w:line="276" w:lineRule="auto"/>
        <w:jc w:val="left"/>
      </w:pPr>
      <w:r>
        <w:rPr>
          <w:rFonts w:ascii="Calibri" w:hAnsi="Calibri"/>
          <w:b w:val="0"/>
          <w:i w:val="0"/>
          <w:color w:val="000000"/>
          <w:sz w:val="21"/>
        </w:rPr>
        <w:t>NIST Special Publication 800-190: Application Container Security Guide, September 2017.</w:t>
      </w:r>
    </w:p>
    <w:p>
      <w:pPr>
        <w:pStyle w:val="ListBullet"/>
        <w:spacing w:before="0" w:after="40" w:line="276" w:lineRule="auto"/>
        <w:jc w:val="left"/>
      </w:pPr>
      <w:r>
        <w:rPr>
          <w:rFonts w:ascii="Calibri" w:hAnsi="Calibri"/>
          <w:b w:val="0"/>
          <w:i w:val="0"/>
          <w:color w:val="000000"/>
          <w:sz w:val="21"/>
        </w:rPr>
        <w:t>NIST Special Publication 800-63B: Digital Identity Guidelines — Authentication and Lifecycle Management, June 2017.</w:t>
      </w:r>
    </w:p>
    <w:p>
      <w:pPr>
        <w:pStyle w:val="ListBullet"/>
        <w:spacing w:before="0" w:after="40" w:line="276" w:lineRule="auto"/>
        <w:jc w:val="left"/>
      </w:pPr>
      <w:r>
        <w:rPr>
          <w:rFonts w:ascii="Calibri" w:hAnsi="Calibri"/>
          <w:b w:val="0"/>
          <w:i w:val="0"/>
          <w:color w:val="000000"/>
          <w:sz w:val="21"/>
        </w:rPr>
        <w:t>OWASP Application Security Verification Standard (ASVS): Version 4.0.3, 2021.</w:t>
      </w:r>
    </w:p>
    <w:p>
      <w:pPr>
        <w:pStyle w:val="ListBullet"/>
        <w:spacing w:before="0" w:after="40" w:line="276" w:lineRule="auto"/>
        <w:jc w:val="left"/>
      </w:pPr>
      <w:r>
        <w:rPr>
          <w:rFonts w:ascii="Calibri" w:hAnsi="Calibri"/>
          <w:b w:val="0"/>
          <w:i w:val="0"/>
          <w:color w:val="000000"/>
          <w:sz w:val="21"/>
        </w:rPr>
        <w:t>OWASP Top 10: The Ten Most Critical Web Application Security Risks, 2021.</w:t>
      </w:r>
    </w:p>
    <w:p>
      <w:pPr>
        <w:pStyle w:val="ListBullet"/>
        <w:spacing w:before="0" w:after="40" w:line="276" w:lineRule="auto"/>
        <w:jc w:val="left"/>
      </w:pPr>
      <w:r>
        <w:rPr>
          <w:rFonts w:ascii="Calibri" w:hAnsi="Calibri"/>
          <w:b w:val="0"/>
          <w:i w:val="0"/>
          <w:color w:val="000000"/>
          <w:sz w:val="21"/>
        </w:rPr>
        <w:t>FIRST: Traffic Light Protocol (TLP) Standard Version 2.0, August 2022.</w:t>
      </w:r>
    </w:p>
    <w:p>
      <w:pPr>
        <w:pStyle w:val="ListBullet"/>
        <w:spacing w:before="0" w:after="40" w:line="276" w:lineRule="auto"/>
        <w:jc w:val="left"/>
      </w:pPr>
      <w:r>
        <w:rPr>
          <w:rFonts w:ascii="Calibri" w:hAnsi="Calibri"/>
          <w:b w:val="0"/>
          <w:i w:val="0"/>
          <w:color w:val="000000"/>
          <w:sz w:val="21"/>
        </w:rPr>
        <w:t>OASIS: Structured Threat Information Expression (STIX) Version 2.1, OASIS Standard, January 2021.</w:t>
      </w:r>
    </w:p>
    <w:p>
      <w:pPr>
        <w:pStyle w:val="ListBullet"/>
        <w:spacing w:before="0" w:after="40" w:line="276" w:lineRule="auto"/>
        <w:jc w:val="left"/>
      </w:pPr>
      <w:r>
        <w:rPr>
          <w:rFonts w:ascii="Calibri" w:hAnsi="Calibri"/>
          <w:b w:val="0"/>
          <w:i w:val="0"/>
          <w:color w:val="000000"/>
          <w:sz w:val="21"/>
        </w:rPr>
        <w:t>IETF RFC 6238: TOTP: Time-Based One-Time Password Algorithm, May 2011.</w:t>
      </w:r>
    </w:p>
    <w:p>
      <w:pPr>
        <w:pStyle w:val="ListBullet"/>
        <w:spacing w:before="0" w:after="40" w:line="276" w:lineRule="auto"/>
        <w:jc w:val="left"/>
      </w:pPr>
      <w:r>
        <w:rPr>
          <w:rFonts w:ascii="Calibri" w:hAnsi="Calibri"/>
          <w:b w:val="0"/>
          <w:i w:val="0"/>
          <w:color w:val="000000"/>
          <w:sz w:val="21"/>
        </w:rPr>
        <w:t>IETF RFC 7519: JSON Web Token (JWT), May 2015.</w:t>
      </w:r>
    </w:p>
    <w:p>
      <w:pPr>
        <w:pStyle w:val="ListBullet"/>
        <w:spacing w:before="0" w:after="40" w:line="276" w:lineRule="auto"/>
        <w:jc w:val="left"/>
      </w:pPr>
      <w:r>
        <w:rPr>
          <w:rFonts w:ascii="Calibri" w:hAnsi="Calibri"/>
          <w:b w:val="0"/>
          <w:i w:val="0"/>
          <w:color w:val="000000"/>
          <w:sz w:val="21"/>
        </w:rPr>
        <w:t>IEEE Std 830-1998: IEEE Recommended Practice for Software Requirements Specifications.</w:t>
      </w:r>
    </w:p>
    <w:p>
      <w:pPr>
        <w:pStyle w:val="ListBullet"/>
        <w:spacing w:before="0" w:after="40" w:line="276" w:lineRule="auto"/>
        <w:jc w:val="left"/>
      </w:pPr>
      <w:r>
        <w:rPr>
          <w:rFonts w:ascii="Calibri" w:hAnsi="Calibri"/>
          <w:b w:val="0"/>
          <w:i w:val="0"/>
          <w:color w:val="000000"/>
          <w:sz w:val="21"/>
        </w:rPr>
        <w:t>CIS Docker Community Edition Benchmark: Version 1.6.0, Center for Internet Security.</w:t>
      </w:r>
    </w:p>
    <w:p>
      <w:pPr>
        <w:pStyle w:val="ListBullet"/>
        <w:spacing w:before="0" w:after="40" w:line="276" w:lineRule="auto"/>
        <w:jc w:val="left"/>
      </w:pPr>
      <w:r>
        <w:rPr>
          <w:rFonts w:ascii="Calibri" w:hAnsi="Calibri"/>
          <w:b w:val="0"/>
          <w:i w:val="0"/>
          <w:color w:val="000000"/>
          <w:sz w:val="21"/>
        </w:rPr>
        <w:t>Supply-chain Levels for Software Artifacts (SLSA): Version 0.2 / 1.0 Specification.</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left"/>
    </w:pPr>
    <w:r>
      <w:rPr>
        <w:rFonts w:ascii="Calibri" w:hAnsi="Calibri"/>
        <w:b w:val="0"/>
        <w:i w:val="0"/>
        <w:color w:val="000000"/>
        <w:sz w:val="17"/>
      </w:rPr>
      <w:t>Final End-Semester Examination Technical Report — Academic Year 2025–2026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left"/>
    </w:pPr>
    <w:r>
      <w:rPr>
        <w:rFonts w:ascii="Calibri" w:hAnsi="Calibri"/>
        <w:b w:val="0"/>
        <w:i/>
        <w:color w:val="000000"/>
        <w:sz w:val="17"/>
      </w:rPr>
      <w:t>24CYS401 Secure Software Engineering | Topic 29: CTI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