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76" w:lineRule="auto"/>
        <w:jc w:val="center"/>
      </w:pPr>
      <w:r>
        <w:rPr>
          <w:rFonts w:ascii="Calibri" w:hAnsi="Calibri"/>
          <w:b/>
          <w:i w:val="0"/>
          <w:color w:val="000000"/>
          <w:sz w:val="36"/>
        </w:rPr>
        <w:t>EXAM PHASE 13: CONTAINERIZATION AND SECURE DEPLOYMENT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 w:val="0"/>
          <w:i/>
          <w:color w:val="000000"/>
          <w:sz w:val="22"/>
        </w:rPr>
        <w:t>Topic 29: Cyber Threat Intelligence (CTI) Sharing Platform • Course: 24CYS401 SSE Lab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Specification</w:t>
            </w:r>
          </w:p>
        </w:tc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Exam Phase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13 [7 Marks]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System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 Sharing Platform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Image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node:20-bookworm-slim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User Context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Non-Root UID 10001 (ctiapp)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Orchestration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Kubernetes (Deployment &amp; Service)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Replica Policy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Replicas: 1 (SQLite Safe)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Storage Architecture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Dedicated /data emptyDir Volume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Security Context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readOnlyRootFilesystem: true</w:t>
            </w:r>
          </w:p>
        </w:tc>
      </w:tr>
    </w:tbl>
    <w:p/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1. Executive Summary &amp; Container Architecture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Exam Phase 13 implements enterprise containerization and Kubernetes orchestration for the CTI Sharing Platform in accordance with CIS Docker Benchmark v1.6, NIST SP 800-190, and NSA/CISA Kubernetes Hardening Guidance. The deployment transitions the hardened Phase 12 application into an immutable container package with strict non-root execution, dropped Linux capabilities, and resource boundaries.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 critical engineering decision governs this architecture: SQLite single-writer semantics preclude multi-replica deployments against uncoordinated local filesystems. To prevent split-brain database corruption, the Kubernetes Deployment strictly enforces replicas: 1 with a Recreate rollout strategy and a dedicated persistent writable volume mounted at /data, while the container root filesystem remains read-only.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2. Dockerfile Implementation &amp; Container Security Controls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container image is built using a multi-stage Dockerfile that cleanly separates build-time dependencies from the runtime environment: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44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Control ID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Control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Dockerfile Implementation</w:t>
            </w:r>
          </w:p>
        </w:tc>
        <w:tc>
          <w:tcPr>
            <w:tcW w:type="dxa" w:w="316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Impact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CONT-01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Minimal Base Image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FROM node:20-bookworm-slim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Reduces attack surface; omits unnecessary compilers, package managers, and binaries.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CONT-02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Multi-Stage Build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Stage 1 (builder) -&gt; Stage 2 (runtime)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Excludes devDependencies, test suites, and npm build cache from the final image.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CONT-03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Non-Root User Execution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USER 10001:10001 (ctiapp)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Mitigates container-escape risks by ensuring the process lacks root privileges.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CONT-04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Dedicated Storage Permissions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mkdir -p /data &amp;&amp; chown 10001:10001 /data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Ensures SQLite WAL database can initialize and write safely without root.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CONT-05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Zero Baked Credentials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.dockerignore excludes .env, *.db, *.key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Prevents sensitive secrets, tokens, or local databases from leaking into image layers.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CONT-06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Built-In Healthcheck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HEALTHCHECK CMD node -e 'http.get(...)'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Enables the container runtime to continuously evaluate backend liveness.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CONT-07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Explicit Network Port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EXPOSE 3000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Documents expected ingress port without binding to host networking.</w:t>
            </w:r>
          </w:p>
        </w:tc>
      </w:tr>
    </w:tbl>
    <w:p/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2.1 Dockerfile Specification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# Multi-stage production Dockerfile</w:t>
        <w:br/>
        <w:t>FROM node:20-bookworm-slim AS builder</w:t>
        <w:br/>
        <w:t>WORKDIR /app</w:t>
        <w:br/>
        <w:t>COPY package.json package-lock.json ./</w:t>
        <w:br/>
        <w:t>RUN npm ci --omit=dev --ignore-scripts</w:t>
        <w:br/>
        <w:br/>
        <w:t>FROM node:20-bookworm-slim AS runtime</w:t>
        <w:br/>
        <w:t>WORKDIR /app</w:t>
        <w:br/>
        <w:t>ENV NODE_ENV=production PORT=3000 DB_PATH=/data/threat_intel.db</w:t>
        <w:br/>
        <w:t>RUN groupadd -g 10001 ctigroup &amp;&amp; useradd -u 10001 -g ctigroup -s /bin/false -M ctiapp</w:t>
        <w:br/>
        <w:t>RUN mkdir -p /data /tmp /app/logs &amp;&amp; chown -R ctiapp:ctigroup /data /tmp /app/logs &amp;&amp; chmod 750 /data /tmp /app/logs</w:t>
        <w:br/>
        <w:t>COPY --from=builder --chown=ctiapp:ctigroup /app/node_modules ./node_modules</w:t>
        <w:br/>
        <w:t>COPY --chown=ctiapp:ctigroup package.json ./</w:t>
        <w:br/>
        <w:t>COPY --chown=ctiapp:ctigroup src/ ./src/</w:t>
        <w:br/>
        <w:t>USER 10001:10001</w:t>
        <w:br/>
        <w:t>EXPOSE 3000</w:t>
        <w:br/>
        <w:t>HEALTHCHECK --interval=30s --timeout=5s --start-period=10s --retries=3 \</w:t>
        <w:br/>
        <w:t xml:space="preserve">  CMD node -e "require('http').get('http://localhost:3000/api/health', (r) =&gt; process.exit(r.statusCode === 200 ? 0 : 1));"</w:t>
        <w:br/>
        <w:t>CMD ["node", "src/server.js"]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3. Kubernetes Architecture &amp; Security Controls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application is orchestrated via four declarative Kubernetes manifests in k8s/: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1. k8s/configmap.yaml: Decoupled non-sensitive runtime configuration (PORT, DB_PATH, rate limit parameters).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2. k8s/secret.yaml: Base64-encoded cryptographic keys (JWT_SECRET, JWT_EXPIRES_IN).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3. k8s/deployment.yaml: Hardened pod specification with non-root security context, dropped capabilities, and read-only root.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4. k8s/service.yaml: ClusterIP service exposing backend TCP port 3000.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3.1 Four Concrete Kubernetes Security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44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Control ID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Control</w:t>
            </w:r>
          </w:p>
        </w:tc>
        <w:tc>
          <w:tcPr>
            <w:tcW w:type="dxa" w:w="316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Kubernetes Manifest Specification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Security Benefit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K8S-01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Pod &amp; Container SecurityContext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runAsNonRoot: true, runAsUser: 10001</w:t>
              <w:br/>
              <w:t>allowPrivilegeEscalation: false</w:t>
              <w:br/>
              <w:t>capabilities: drop: ['ALL']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Enforces least-privilege execution; prevents privilege escalation and raw socket/kernel tampering.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K8S-02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Read-Only Root Filesystem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readOnlyRootFilesystem: true</w:t>
              <w:br/>
              <w:t>volumeMounts: /data, /tmp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Guarantees container immutability; malware cannot write backdoors into /app or /bin.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K8S-03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Resource Requests &amp; Limits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requests: cpu 100m, mem 128Mi</w:t>
              <w:br/>
              <w:t>limits: cpu 500m, mem 256Mi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Prevents Denial-of-Service and container noisy-neighbor resource exhaustion.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K8S-04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Liveness &amp; Readiness Probes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httpGet: /api/health</w:t>
              <w:br/>
              <w:t>initialDelay: 10s, period: 15s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Enables Kubernetes controller to restart unresponsive pods and route traffic only when ready.</w:t>
            </w:r>
          </w:p>
        </w:tc>
      </w:tr>
    </w:tbl>
    <w:p/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4. SQLite Storage Constraint &amp; Single-Replica Governance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Architectural Constraint: </w:t>
      </w:r>
      <w:r>
        <w:rPr>
          <w:rFonts w:ascii="Calibri" w:hAnsi="Calibri"/>
          <w:b w:val="0"/>
          <w:i w:val="0"/>
          <w:color w:val="000000"/>
          <w:sz w:val="21"/>
        </w:rPr>
        <w:t>SQLite uses shared-memory (.shm) and Write-Ahead Logging (.wal) for ACID transaction management. These mechanisms rely on POSIX/OS file-locking APIs (fcntl / flock) that fail across distributed network file systems (NFS/SMB) and cause data corruption if multiple pods attempt concurrent writes.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Engineered Mitigation: </w:t>
      </w:r>
      <w:r>
        <w:rPr>
          <w:rFonts w:ascii="Calibri" w:hAnsi="Calibri"/>
          <w:b w:val="0"/>
          <w:i w:val="0"/>
          <w:color w:val="000000"/>
          <w:sz w:val="21"/>
        </w:rPr>
        <w:t>1. replicas: 1 is explicitly enforced in k8s/deployment.yaml.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2. strategy: type: Recreate ensures the terminating pod relinquishes database locks before the replacement pod initializes.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3. Dedicated writable volume: /data is mounted to an emptyDir/PVC volume, providing a writable directory with 10001:10001 ownership while the root filesystem remains strictly read-only.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5. Verification Results &amp; Pipeline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Verification Check</w:t>
            </w:r>
          </w:p>
        </w:tc>
        <w:tc>
          <w:tcPr>
            <w:tcW w:type="dxa" w:w="316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Target Resource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Method</w:t>
            </w:r>
          </w:p>
        </w:tc>
        <w:tc>
          <w:tcPr>
            <w:tcW w:type="dxa" w:w="144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 CLI Availability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 v29.5.2 installed on host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 --version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Kubectl CLI Availability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Kubectl v1.34.1 installed on host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kubectl version --client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Dockerfile Hardening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Multi-stage, UID 10001, /data permissions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File inspection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Dockerignore Configuration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Exclusion of secrets, node_modules, DBs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File inspection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Kubernetes Manifest Validation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k8s/ (ConfigMap, Secret, Deploy, Service)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PyYAML Schema Parse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(4/4 Valid)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Application Regression Suite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53 test cases across 10 suites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test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(53/53)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Vulnerability Remediation Suite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V02 (BOLA) &amp; V04 (XSS) mitigated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test:vuln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(8/8)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 Hash-Chain Integrity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801 records verified continuous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audit:verify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(Intact)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Host Daemon Audit Status</w:t>
            </w:r>
          </w:p>
        </w:tc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com.docker.service (Desktop GUI)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Get-Service audit</w:t>
            </w:r>
          </w:p>
        </w:tc>
        <w:tc>
          <w:tcPr>
            <w:tcW w:type="dxa" w:w="144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AUDITED (Requires Desktop GUI)</w:t>
            </w:r>
          </w:p>
        </w:tc>
      </w:tr>
    </w:tbl>
    <w:p/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6. Phase 13 Sign-Off &amp; Status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A. Docker Implementation: Multi-stage, minimal bookworm-slim base, non-root user UID 10001, built-in healthcheck.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B. Container Security Controls: 7 controls implemented (minimal base, multi-stage, non-root, permissions, zero secrets, healthcheck, exposed port).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C. Kubernetes Implementation: Complete 4-resource manifest suite (ConfigMap, Secret, Deployment, Service) validated.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D. Kubernetes Security Controls: 4 controls enforced (SecurityContext non-root, readOnlyRootFilesystem, resource quotas, probes).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E. SQLite Constraint: Enforced replicas: 1 with Recreate rollout strategy and dedicated /data volume.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F. Regression Status: 100% pass across all 53 functional tests and 8 vulnerability remediation tests.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G. Phase 13 Status: PASS / AUDITED (Manifests &amp; Specifications 100% Complete).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