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CARTA SPONSOR</w:t>
      </w:r>
    </w:p>
    <w:p>
      <w:pPr>
        <w:spacing w:after="80"/>
        <w:jc w:val="center"/>
      </w:pPr>
      <w:r>
        <w:rPr>
          <w:b w:val="0"/>
          <w:i w:val="0"/>
          <w:sz w:val="24"/>
        </w:rPr>
        <w:t>Simulación de batería en realidad virtual</w:t>
        <w:br/>
        <w:t>con enfoque de musicoterapia</w:t>
      </w:r>
    </w:p>
    <w:p>
      <w:pPr>
        <w:spacing w:after="480"/>
        <w:jc w:val="center"/>
      </w:pPr>
      <w:r>
        <w:rPr>
          <w:b w:val="0"/>
          <w:i/>
          <w:sz w:val="21"/>
        </w:rPr>
        <w:t>Revisión 2  —  reorientación del proyecto a un fin terapéutico</w:t>
      </w: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Título del proyecto</w:t>
            </w:r>
          </w:p>
        </w:tc>
        <w:tc>
          <w:tcPr>
            <w:tcW w:type="dxa" w:w="6236"/>
          </w:tcPr>
          <w:p>
            <w:pPr>
              <w:spacing w:after="40"/>
            </w:pPr>
            <w:r/>
            <w:r>
              <w:rPr>
                <w:sz w:val="20"/>
              </w:rPr>
              <w:t>Simulación de batería en realidad virtual con enfoque de musicoterapia</w:t>
            </w:r>
          </w:p>
        </w:tc>
      </w:tr>
      <w:tr>
        <w:tc>
          <w:tcPr>
            <w:tcW w:type="dxa" w:w="2551"/>
          </w:tcPr>
          <w:p>
            <w:pPr>
              <w:spacing w:after="40"/>
            </w:pPr>
            <w:r/>
            <w:r>
              <w:rPr>
                <w:sz w:val="20"/>
              </w:rPr>
              <w:t>Fecha / Revisión</w:t>
            </w:r>
          </w:p>
        </w:tc>
        <w:tc>
          <w:tcPr>
            <w:tcW w:type="dxa" w:w="6236"/>
          </w:tcPr>
          <w:p>
            <w:pPr>
              <w:spacing w:after="40"/>
            </w:pPr>
            <w:r/>
            <w:r>
              <w:rPr>
                <w:sz w:val="20"/>
              </w:rPr>
              <w:t>3 de septiembre de 2026  ·  Revisión 2</w:t>
            </w:r>
          </w:p>
        </w:tc>
      </w:tr>
      <w:tr>
        <w:tc>
          <w:tcPr>
            <w:tcW w:type="dxa" w:w="2551"/>
          </w:tcPr>
          <w:p>
            <w:pPr>
              <w:spacing w:after="40"/>
            </w:pPr>
            <w:r/>
            <w:r>
              <w:rPr>
                <w:sz w:val="20"/>
              </w:rPr>
              <w:t>Revisión que sustituye</w:t>
            </w:r>
          </w:p>
        </w:tc>
        <w:tc>
          <w:tcPr>
            <w:tcW w:type="dxa" w:w="6236"/>
          </w:tcPr>
          <w:p>
            <w:pPr>
              <w:spacing w:after="40"/>
            </w:pPr>
            <w:r/>
            <w:r>
              <w:rPr>
                <w:sz w:val="20"/>
              </w:rPr>
              <w:t>Revisión 1 del 27 de agosto de 2026</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Periodo del proyecto</w:t>
            </w:r>
          </w:p>
        </w:tc>
        <w:tc>
          <w:tcPr>
            <w:tcW w:type="dxa" w:w="6236"/>
          </w:tcPr>
          <w:p>
            <w:pPr>
              <w:spacing w:after="40"/>
            </w:pPr>
            <w:r/>
            <w:r>
              <w:rPr>
                <w:sz w:val="20"/>
              </w:rPr>
              <w:t>1 de septiembre al 13 de noviembre de 2026</w:t>
            </w:r>
          </w:p>
        </w:tc>
      </w:tr>
    </w:tbl>
    <w:p>
      <w:pPr>
        <w:spacing w:after="40"/>
      </w:pPr>
    </w:p>
    <w:p>
      <w:r>
        <w:br w:type="page"/>
      </w:r>
    </w:p>
    <w:p>
      <w:pPr>
        <w:pStyle w:val="Heading1"/>
      </w:pPr>
      <w:r>
        <w:t>1. Motivo de la revisión</w:t>
      </w:r>
    </w:p>
    <w:p>
      <w:pPr>
        <w:spacing w:after="160"/>
        <w:jc w:val="both"/>
      </w:pPr>
      <w:r>
        <w:rPr>
          <w:b w:val="0"/>
          <w:i w:val="0"/>
        </w:rPr>
        <w:t>La revisión 1 de esta carta planteaba una simulación de batería en realidad virtual con un fin principalmente demostrativo: reproducir la experiencia de tocar el instrumento. La revisión 2 conserva íntegramente esa base técnica y le agrega un propósito terapéutico, que pasa a ser el fin principal del proyecto.</w:t>
      </w:r>
    </w:p>
    <w:p>
      <w:pPr>
        <w:spacing w:after="160"/>
        <w:jc w:val="both"/>
      </w:pPr>
      <w:r>
        <w:rPr>
          <w:b w:val="0"/>
          <w:i w:val="0"/>
        </w:rPr>
        <w:t>El cambio responde a tres razones:</w:t>
      </w:r>
    </w:p>
    <w:p>
      <w:pPr>
        <w:pStyle w:val="ListBullet"/>
        <w:spacing w:after="60"/>
      </w:pPr>
      <w:r>
        <w:t>El proyecto necesitaba un problema real que resolver. Una simulación de batería sin destinatario definido es un ejercicio técnico; una simulación diseñada para rehabilitación motriz tiene usuario, criterio de éxito medible y valor demostrable.</w:t>
      </w:r>
    </w:p>
    <w:p>
      <w:pPr>
        <w:pStyle w:val="ListBullet"/>
        <w:spacing w:after="60"/>
      </w:pPr>
      <w:r>
        <w:t>Existe evidencia clínica consolidada que respalda el uso de la percusión con fines terapéuticos. La estimulación auditiva rítmica y la ejecución instrumental terapéutica son técnicas reconocidas dentro de la musicoterapia neurológica, con protocolos publicados y resultados replicados.</w:t>
      </w:r>
    </w:p>
    <w:p>
      <w:pPr>
        <w:pStyle w:val="ListBullet"/>
        <w:spacing w:after="60"/>
      </w:pPr>
      <w:r>
        <w:t>El enfoque terapéutico permite definir métricas objetivas de éxito (precisión temporal, amplitud de movimiento, constancia del pulso) que sustituyen a criterios subjetivos como «que se sienta realista».</w:t>
      </w:r>
    </w:p>
    <w:p>
      <w:pPr>
        <w:spacing w:after="160"/>
        <w:jc w:val="both"/>
      </w:pPr>
      <w:r>
        <w:rPr>
          <w:b w:val="0"/>
          <w:i w:val="0"/>
        </w:rPr>
        <w:t>Los objetivos de esta revisión son los mismos entregables técnicos de la revisión 1, más el diseño y la validación de las rutinas terapéuticas que se ejecutan dentro del simulador.</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928"/>
          </w:tcPr>
          <w:p>
            <w:pPr>
              <w:spacing w:after="40"/>
              <w:jc w:val="center"/>
            </w:pPr>
            <w:r/>
            <w:r>
              <w:rPr>
                <w:b/>
                <w:sz w:val="19"/>
              </w:rPr>
              <w:t>Concepto</w:t>
            </w:r>
          </w:p>
        </w:tc>
        <w:tc>
          <w:tcPr>
            <w:tcW w:type="dxa" w:w="3175"/>
          </w:tcPr>
          <w:p>
            <w:pPr>
              <w:spacing w:after="40"/>
              <w:jc w:val="center"/>
            </w:pPr>
            <w:r/>
            <w:r>
              <w:rPr>
                <w:b/>
                <w:sz w:val="19"/>
              </w:rPr>
              <w:t>Revisión 1</w:t>
            </w:r>
          </w:p>
        </w:tc>
        <w:tc>
          <w:tcPr>
            <w:tcW w:type="dxa" w:w="3969"/>
          </w:tcPr>
          <w:p>
            <w:pPr>
              <w:spacing w:after="40"/>
              <w:jc w:val="center"/>
            </w:pPr>
            <w:r/>
            <w:r>
              <w:rPr>
                <w:b/>
                <w:sz w:val="19"/>
              </w:rPr>
              <w:t>Revisión 2</w:t>
            </w:r>
          </w:p>
        </w:tc>
      </w:tr>
      <w:tr>
        <w:tc>
          <w:tcPr>
            <w:tcW w:type="dxa" w:w="1928"/>
          </w:tcPr>
          <w:p>
            <w:pPr>
              <w:spacing w:after="40"/>
            </w:pPr>
            <w:r/>
            <w:r>
              <w:rPr>
                <w:sz w:val="19"/>
              </w:rPr>
              <w:t>Fin del proyecto</w:t>
            </w:r>
          </w:p>
        </w:tc>
        <w:tc>
          <w:tcPr>
            <w:tcW w:type="dxa" w:w="3175"/>
          </w:tcPr>
          <w:p>
            <w:pPr>
              <w:spacing w:after="40"/>
            </w:pPr>
            <w:r/>
            <w:r>
              <w:rPr>
                <w:sz w:val="19"/>
              </w:rPr>
              <w:t>Experiencia musical interactiva</w:t>
            </w:r>
          </w:p>
        </w:tc>
        <w:tc>
          <w:tcPr>
            <w:tcW w:type="dxa" w:w="3969"/>
          </w:tcPr>
          <w:p>
            <w:pPr>
              <w:spacing w:after="40"/>
            </w:pPr>
            <w:r/>
            <w:r>
              <w:rPr>
                <w:sz w:val="19"/>
              </w:rPr>
              <w:t>Herramienta de apoyo a la rehabilitación motriz, con beneficio emocional secundario</w:t>
            </w:r>
          </w:p>
        </w:tc>
      </w:tr>
      <w:tr>
        <w:tc>
          <w:tcPr>
            <w:tcW w:type="dxa" w:w="1928"/>
          </w:tcPr>
          <w:p>
            <w:pPr>
              <w:spacing w:after="40"/>
            </w:pPr>
            <w:r/>
            <w:r>
              <w:rPr>
                <w:sz w:val="19"/>
              </w:rPr>
              <w:t>Usuario objetivo</w:t>
            </w:r>
          </w:p>
        </w:tc>
        <w:tc>
          <w:tcPr>
            <w:tcW w:type="dxa" w:w="3175"/>
          </w:tcPr>
          <w:p>
            <w:pPr>
              <w:spacing w:after="40"/>
            </w:pPr>
            <w:r/>
            <w:r>
              <w:rPr>
                <w:sz w:val="19"/>
              </w:rPr>
              <w:t>No definido</w:t>
            </w:r>
          </w:p>
        </w:tc>
        <w:tc>
          <w:tcPr>
            <w:tcW w:type="dxa" w:w="3969"/>
          </w:tcPr>
          <w:p>
            <w:pPr>
              <w:spacing w:after="40"/>
            </w:pPr>
            <w:r/>
            <w:r>
              <w:rPr>
                <w:sz w:val="19"/>
              </w:rPr>
              <w:t>Persona en proceso de rehabilitación motriz de miembro superior, bajo supervisión de un terapeuta</w:t>
            </w:r>
          </w:p>
        </w:tc>
      </w:tr>
      <w:tr>
        <w:tc>
          <w:tcPr>
            <w:tcW w:type="dxa" w:w="1928"/>
          </w:tcPr>
          <w:p>
            <w:pPr>
              <w:spacing w:after="40"/>
            </w:pPr>
            <w:r/>
            <w:r>
              <w:rPr>
                <w:sz w:val="19"/>
              </w:rPr>
              <w:t>Validación</w:t>
            </w:r>
          </w:p>
        </w:tc>
        <w:tc>
          <w:tcPr>
            <w:tcW w:type="dxa" w:w="3175"/>
          </w:tcPr>
          <w:p>
            <w:pPr>
              <w:spacing w:after="40"/>
            </w:pPr>
            <w:r/>
            <w:r>
              <w:rPr>
                <w:sz w:val="19"/>
              </w:rPr>
              <w:t>Pruebas funcionales del equipo</w:t>
            </w:r>
          </w:p>
        </w:tc>
        <w:tc>
          <w:tcPr>
            <w:tcW w:type="dxa" w:w="3969"/>
          </w:tcPr>
          <w:p>
            <w:pPr>
              <w:spacing w:after="40"/>
            </w:pPr>
            <w:r/>
            <w:r>
              <w:rPr>
                <w:sz w:val="19"/>
              </w:rPr>
              <w:t>Pruebas funcionales más validación clínica de un asesor terapéutico externo</w:t>
            </w:r>
          </w:p>
        </w:tc>
      </w:tr>
      <w:tr>
        <w:tc>
          <w:tcPr>
            <w:tcW w:type="dxa" w:w="1928"/>
          </w:tcPr>
          <w:p>
            <w:pPr>
              <w:spacing w:after="40"/>
            </w:pPr>
            <w:r/>
            <w:r>
              <w:rPr>
                <w:sz w:val="19"/>
              </w:rPr>
              <w:t>Periodo</w:t>
            </w:r>
          </w:p>
        </w:tc>
        <w:tc>
          <w:tcPr>
            <w:tcW w:type="dxa" w:w="3175"/>
          </w:tcPr>
          <w:p>
            <w:pPr>
              <w:spacing w:after="40"/>
            </w:pPr>
            <w:r/>
            <w:r>
              <w:rPr>
                <w:sz w:val="19"/>
              </w:rPr>
              <w:t>1 sep – 26 oct 2026 (4 meses declarados, inconsistente)</w:t>
            </w:r>
          </w:p>
        </w:tc>
        <w:tc>
          <w:tcPr>
            <w:tcW w:type="dxa" w:w="3969"/>
          </w:tcPr>
          <w:p>
            <w:pPr>
              <w:spacing w:after="40"/>
            </w:pPr>
            <w:r/>
            <w:r>
              <w:rPr>
                <w:sz w:val="19"/>
              </w:rPr>
              <w:t>1 sep – 13 nov 2026 (11 semanas, verificado contra el cronograma)</w:t>
            </w:r>
          </w:p>
        </w:tc>
      </w:tr>
      <w:tr>
        <w:tc>
          <w:tcPr>
            <w:tcW w:type="dxa" w:w="1928"/>
          </w:tcPr>
          <w:p>
            <w:pPr>
              <w:spacing w:after="40"/>
            </w:pPr>
            <w:r/>
            <w:r>
              <w:rPr>
                <w:sz w:val="19"/>
              </w:rPr>
              <w:t>Presupuesto</w:t>
            </w:r>
          </w:p>
        </w:tc>
        <w:tc>
          <w:tcPr>
            <w:tcW w:type="dxa" w:w="3175"/>
          </w:tcPr>
          <w:p>
            <w:pPr>
              <w:spacing w:after="40"/>
            </w:pPr>
            <w:r/>
            <w:r>
              <w:rPr>
                <w:sz w:val="19"/>
              </w:rPr>
              <w:t>$460,000 MXN</w:t>
            </w:r>
          </w:p>
        </w:tc>
        <w:tc>
          <w:tcPr>
            <w:tcW w:type="dxa" w:w="3969"/>
          </w:tcPr>
          <w:p>
            <w:pPr>
              <w:spacing w:after="40"/>
            </w:pPr>
            <w:r/>
            <w:r>
              <w:rPr>
                <w:sz w:val="19"/>
              </w:rPr>
              <w:t>$384,201 MXN</w:t>
            </w:r>
          </w:p>
        </w:tc>
      </w:tr>
      <w:tr>
        <w:tc>
          <w:tcPr>
            <w:tcW w:type="dxa" w:w="1928"/>
          </w:tcPr>
          <w:p>
            <w:pPr>
              <w:spacing w:after="40"/>
            </w:pPr>
            <w:r/>
            <w:r>
              <w:rPr>
                <w:sz w:val="19"/>
              </w:rPr>
              <w:t>Equipo</w:t>
            </w:r>
          </w:p>
        </w:tc>
        <w:tc>
          <w:tcPr>
            <w:tcW w:type="dxa" w:w="3175"/>
          </w:tcPr>
          <w:p>
            <w:pPr>
              <w:spacing w:after="40"/>
            </w:pPr>
            <w:r/>
            <w:r>
              <w:rPr>
                <w:sz w:val="19"/>
              </w:rPr>
              <w:t>5 roles</w:t>
            </w:r>
          </w:p>
        </w:tc>
        <w:tc>
          <w:tcPr>
            <w:tcW w:type="dxa" w:w="3969"/>
          </w:tcPr>
          <w:p>
            <w:pPr>
              <w:spacing w:after="40"/>
            </w:pPr>
            <w:r/>
            <w:r>
              <w:rPr>
                <w:sz w:val="19"/>
              </w:rPr>
              <w:t>8 roles internos más un asesor terapéutico externo</w:t>
            </w:r>
          </w:p>
        </w:tc>
      </w:tr>
    </w:tbl>
    <w:p>
      <w:pPr>
        <w:spacing w:after="40"/>
      </w:pPr>
    </w:p>
    <w:p>
      <w:pPr>
        <w:pStyle w:val="Heading1"/>
      </w:pPr>
      <w:r>
        <w:t>2. Beneficios para la institución</w:t>
      </w:r>
    </w:p>
    <w:tbl>
      <w:tblPr>
        <w:tblStyle w:val="TableGrid"/>
        <w:tblW w:type="auto" w:w="0"/>
        <w:jc w:val="center"/>
        <w:tblLayout w:type="fixed"/>
        <w:tblLook w:firstColumn="1" w:firstRow="1" w:lastColumn="0" w:lastRow="0" w:noHBand="0" w:noVBand="1" w:val="04A0"/>
      </w:tblPr>
      <w:tblGrid>
        <w:gridCol w:w="4703"/>
        <w:gridCol w:w="4703"/>
      </w:tblGrid>
      <w:tr>
        <w:tc>
          <w:tcPr>
            <w:tcW w:type="dxa" w:w="2381"/>
          </w:tcPr>
          <w:p>
            <w:pPr>
              <w:spacing w:after="40"/>
              <w:jc w:val="center"/>
            </w:pPr>
            <w:r/>
            <w:r>
              <w:rPr>
                <w:b/>
                <w:sz w:val="19"/>
              </w:rPr>
              <w:t>Beneficio</w:t>
            </w:r>
          </w:p>
        </w:tc>
        <w:tc>
          <w:tcPr>
            <w:tcW w:type="dxa" w:w="6690"/>
          </w:tcPr>
          <w:p>
            <w:pPr>
              <w:spacing w:after="40"/>
              <w:jc w:val="center"/>
            </w:pPr>
            <w:r/>
            <w:r>
              <w:rPr>
                <w:b/>
                <w:sz w:val="19"/>
              </w:rPr>
              <w:t>Descripción</w:t>
            </w:r>
          </w:p>
        </w:tc>
      </w:tr>
      <w:tr>
        <w:tc>
          <w:tcPr>
            <w:tcW w:type="dxa" w:w="2381"/>
          </w:tcPr>
          <w:p>
            <w:pPr>
              <w:spacing w:after="40"/>
            </w:pPr>
            <w:r/>
            <w:r>
              <w:rPr>
                <w:sz w:val="19"/>
              </w:rPr>
              <w:t>Aplicación con destinatario real</w:t>
            </w:r>
          </w:p>
        </w:tc>
        <w:tc>
          <w:tcPr>
            <w:tcW w:type="dxa" w:w="6690"/>
          </w:tcPr>
          <w:p>
            <w:pPr>
              <w:spacing w:after="40"/>
            </w:pPr>
            <w:r/>
            <w:r>
              <w:rPr>
                <w:sz w:val="19"/>
              </w:rPr>
              <w:t>El proyecto deja de ser una demostración tecnológica y se convierte en una herramienta de apoyo a la terapia de rehabilitación motriz de miembro superior, con un usuario y un contexto de uso definidos.</w:t>
            </w:r>
          </w:p>
        </w:tc>
      </w:tr>
      <w:tr>
        <w:tc>
          <w:tcPr>
            <w:tcW w:type="dxa" w:w="2381"/>
          </w:tcPr>
          <w:p>
            <w:pPr>
              <w:spacing w:after="40"/>
            </w:pPr>
            <w:r/>
            <w:r>
              <w:rPr>
                <w:sz w:val="19"/>
              </w:rPr>
              <w:t>Respaldo en evidencia clínica</w:t>
            </w:r>
          </w:p>
        </w:tc>
        <w:tc>
          <w:tcPr>
            <w:tcW w:type="dxa" w:w="6690"/>
          </w:tcPr>
          <w:p>
            <w:pPr>
              <w:spacing w:after="40"/>
            </w:pPr>
            <w:r/>
            <w:r>
              <w:rPr>
                <w:sz w:val="19"/>
              </w:rPr>
              <w:t>El diseño se apoya en técnicas documentadas de musicoterapia neurológica: estimulación auditiva rítmica, ejecución instrumental terapéutica y realce sensorial por patrones. El proyecto no inventa un método: traslada a realidad virtual protocolos ya validados.</w:t>
            </w:r>
          </w:p>
        </w:tc>
      </w:tr>
      <w:tr>
        <w:tc>
          <w:tcPr>
            <w:tcW w:type="dxa" w:w="2381"/>
          </w:tcPr>
          <w:p>
            <w:pPr>
              <w:spacing w:after="40"/>
            </w:pPr>
            <w:r/>
            <w:r>
              <w:rPr>
                <w:sz w:val="19"/>
              </w:rPr>
              <w:t>Accesibilidad y costo de la terapia</w:t>
            </w:r>
          </w:p>
        </w:tc>
        <w:tc>
          <w:tcPr>
            <w:tcW w:type="dxa" w:w="6690"/>
          </w:tcPr>
          <w:p>
            <w:pPr>
              <w:spacing w:after="40"/>
            </w:pPr>
            <w:r/>
            <w:r>
              <w:rPr>
                <w:sz w:val="19"/>
              </w:rPr>
              <w:t>Un equipo de percusión completo es costoso, ocupa espacio y es difícil de graduar en dificultad. El simulador reproduce el instrumento, permite ajustar la exigencia sesión por sesión y registra automáticamente el desempeño del paciente.</w:t>
            </w:r>
          </w:p>
        </w:tc>
      </w:tr>
      <w:tr>
        <w:tc>
          <w:tcPr>
            <w:tcW w:type="dxa" w:w="2381"/>
          </w:tcPr>
          <w:p>
            <w:pPr>
              <w:spacing w:after="40"/>
            </w:pPr>
            <w:r/>
            <w:r>
              <w:rPr>
                <w:sz w:val="19"/>
              </w:rPr>
              <w:t>Medición objetiva del avance</w:t>
            </w:r>
          </w:p>
        </w:tc>
        <w:tc>
          <w:tcPr>
            <w:tcW w:type="dxa" w:w="6690"/>
          </w:tcPr>
          <w:p>
            <w:pPr>
              <w:spacing w:after="40"/>
            </w:pPr>
            <w:r/>
            <w:r>
              <w:rPr>
                <w:sz w:val="19"/>
              </w:rPr>
              <w:t>El sistema registra precisión temporal respecto al pulso, amplitud del movimiento y constancia entre sesiones. El terapeuta obtiene datos cuantitativos donde antes había apreciación cualitativa.</w:t>
            </w:r>
          </w:p>
        </w:tc>
      </w:tr>
      <w:tr>
        <w:tc>
          <w:tcPr>
            <w:tcW w:type="dxa" w:w="2381"/>
          </w:tcPr>
          <w:p>
            <w:pPr>
              <w:spacing w:after="40"/>
            </w:pPr>
            <w:r/>
            <w:r>
              <w:rPr>
                <w:sz w:val="19"/>
              </w:rPr>
              <w:t>Innovación tecnológica aplicada</w:t>
            </w:r>
          </w:p>
        </w:tc>
        <w:tc>
          <w:tcPr>
            <w:tcW w:type="dxa" w:w="6690"/>
          </w:tcPr>
          <w:p>
            <w:pPr>
              <w:spacing w:after="40"/>
            </w:pPr>
            <w:r/>
            <w:r>
              <w:rPr>
                <w:sz w:val="19"/>
              </w:rPr>
              <w:t>Integra realidad virtual autónoma, física de colisiones, audio de baja latencia y registro de métricas en un mismo producto, sobre hardware de consumo accesible.</w:t>
            </w:r>
          </w:p>
        </w:tc>
      </w:tr>
      <w:tr>
        <w:tc>
          <w:tcPr>
            <w:tcW w:type="dxa" w:w="2381"/>
          </w:tcPr>
          <w:p>
            <w:pPr>
              <w:spacing w:after="40"/>
            </w:pPr>
            <w:r/>
            <w:r>
              <w:rPr>
                <w:sz w:val="19"/>
              </w:rPr>
              <w:t>Base para trabajos posteriores</w:t>
            </w:r>
          </w:p>
        </w:tc>
        <w:tc>
          <w:tcPr>
            <w:tcW w:type="dxa" w:w="6690"/>
          </w:tcPr>
          <w:p>
            <w:pPr>
              <w:spacing w:after="40"/>
            </w:pPr>
            <w:r/>
            <w:r>
              <w:rPr>
                <w:sz w:val="19"/>
              </w:rPr>
              <w:t>La arquitectura de detección de golpe, medición de velocidad y disparo de audio es reutilizable para otros instrumentos de percusión y para otras rutinas terapéuticas.</w:t>
            </w:r>
          </w:p>
        </w:tc>
      </w:tr>
    </w:tbl>
    <w:p>
      <w:pPr>
        <w:spacing w:after="40"/>
      </w:pPr>
    </w:p>
    <w:p>
      <w:pPr>
        <w:pStyle w:val="Heading1"/>
      </w:pPr>
      <w:r>
        <w:t>3. Documentos y productos esperados</w:t>
      </w:r>
    </w:p>
    <w:p>
      <w:pPr>
        <w:spacing w:after="160"/>
        <w:jc w:val="both"/>
      </w:pPr>
      <w:r>
        <w:rPr>
          <w:b w:val="0"/>
          <w:i w:val="0"/>
        </w:rPr>
        <w:t>Se conservan los siete productos de la revisión 1 y se agregan cuatro derivados del enfoque terapéutico.</w:t>
      </w:r>
    </w:p>
    <w:p>
      <w:pPr>
        <w:pStyle w:val="Heading2"/>
      </w:pPr>
      <w:r>
        <w:t>3.1 Productos técnicos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510"/>
          </w:tcPr>
          <w:p>
            <w:pPr>
              <w:spacing w:after="40"/>
              <w:jc w:val="center"/>
            </w:pPr>
            <w:r/>
            <w:r>
              <w:rPr>
                <w:b/>
                <w:sz w:val="19"/>
              </w:rPr>
              <w:t>#</w:t>
            </w:r>
          </w:p>
        </w:tc>
        <w:tc>
          <w:tcPr>
            <w:tcW w:type="dxa" w:w="2268"/>
          </w:tcPr>
          <w:p>
            <w:pPr>
              <w:spacing w:after="40"/>
              <w:jc w:val="center"/>
            </w:pPr>
            <w:r/>
            <w:r>
              <w:rPr>
                <w:b/>
                <w:sz w:val="19"/>
              </w:rPr>
              <w:t>Producto</w:t>
            </w:r>
          </w:p>
        </w:tc>
        <w:tc>
          <w:tcPr>
            <w:tcW w:type="dxa" w:w="6293"/>
          </w:tcPr>
          <w:p>
            <w:pPr>
              <w:spacing w:after="40"/>
              <w:jc w:val="center"/>
            </w:pPr>
            <w:r/>
            <w:r>
              <w:rPr>
                <w:b/>
                <w:sz w:val="19"/>
              </w:rPr>
              <w:t>Descripción</w:t>
            </w:r>
          </w:p>
        </w:tc>
      </w:tr>
      <w:tr>
        <w:tc>
          <w:tcPr>
            <w:tcW w:type="dxa" w:w="510"/>
          </w:tcPr>
          <w:p>
            <w:pPr>
              <w:spacing w:after="40"/>
            </w:pPr>
            <w:r/>
            <w:r>
              <w:rPr>
                <w:sz w:val="19"/>
              </w:rPr>
              <w:t>1</w:t>
            </w:r>
          </w:p>
        </w:tc>
        <w:tc>
          <w:tcPr>
            <w:tcW w:type="dxa" w:w="2268"/>
          </w:tcPr>
          <w:p>
            <w:pPr>
              <w:spacing w:after="40"/>
            </w:pPr>
            <w:r/>
            <w:r>
              <w:rPr>
                <w:sz w:val="19"/>
              </w:rPr>
              <w:t>Prototipo funcional</w:t>
            </w:r>
          </w:p>
        </w:tc>
        <w:tc>
          <w:tcPr>
            <w:tcW w:type="dxa" w:w="6293"/>
          </w:tcPr>
          <w:p>
            <w:pPr>
              <w:spacing w:after="40"/>
            </w:pPr>
            <w:r/>
            <w:r>
              <w:rPr>
                <w:sz w:val="19"/>
              </w:rPr>
              <w:t>Simulación de realidad virtual ejecutable en visor autónomo, que permite visualizar e interactuar con una batería virtual.</w:t>
            </w:r>
          </w:p>
        </w:tc>
      </w:tr>
      <w:tr>
        <w:tc>
          <w:tcPr>
            <w:tcW w:type="dxa" w:w="510"/>
          </w:tcPr>
          <w:p>
            <w:pPr>
              <w:spacing w:after="40"/>
            </w:pPr>
            <w:r/>
            <w:r>
              <w:rPr>
                <w:sz w:val="19"/>
              </w:rPr>
              <w:t>2</w:t>
            </w:r>
          </w:p>
        </w:tc>
        <w:tc>
          <w:tcPr>
            <w:tcW w:type="dxa" w:w="2268"/>
          </w:tcPr>
          <w:p>
            <w:pPr>
              <w:spacing w:after="40"/>
            </w:pPr>
            <w:r/>
            <w:r>
              <w:rPr>
                <w:sz w:val="19"/>
              </w:rPr>
              <w:t>Modelo virtual de la batería</w:t>
            </w:r>
          </w:p>
        </w:tc>
        <w:tc>
          <w:tcPr>
            <w:tcW w:type="dxa" w:w="6293"/>
          </w:tcPr>
          <w:p>
            <w:pPr>
              <w:spacing w:after="40"/>
            </w:pPr>
            <w:r/>
            <w:r>
              <w:rPr>
                <w:sz w:val="19"/>
              </w:rPr>
              <w:t>Representación tridimensional optimizada de los componentes principales de una batería y de las baquetas.</w:t>
            </w:r>
          </w:p>
        </w:tc>
      </w:tr>
      <w:tr>
        <w:tc>
          <w:tcPr>
            <w:tcW w:type="dxa" w:w="510"/>
          </w:tcPr>
          <w:p>
            <w:pPr>
              <w:spacing w:after="40"/>
            </w:pPr>
            <w:r/>
            <w:r>
              <w:rPr>
                <w:sz w:val="19"/>
              </w:rPr>
              <w:t>3</w:t>
            </w:r>
          </w:p>
        </w:tc>
        <w:tc>
          <w:tcPr>
            <w:tcW w:type="dxa" w:w="2268"/>
          </w:tcPr>
          <w:p>
            <w:pPr>
              <w:spacing w:after="40"/>
            </w:pPr>
            <w:r/>
            <w:r>
              <w:rPr>
                <w:sz w:val="19"/>
              </w:rPr>
              <w:t>Sistema de interacción</w:t>
            </w:r>
          </w:p>
        </w:tc>
        <w:tc>
          <w:tcPr>
            <w:tcW w:type="dxa" w:w="6293"/>
          </w:tcPr>
          <w:p>
            <w:pPr>
              <w:spacing w:after="40"/>
            </w:pPr>
            <w:r/>
            <w:r>
              <w:rPr>
                <w:sz w:val="19"/>
              </w:rPr>
              <w:t>Detección de contacto entre baquetas virtuales y componentes de la batería, con medición de la velocidad de impacto.</w:t>
            </w:r>
          </w:p>
        </w:tc>
      </w:tr>
      <w:tr>
        <w:tc>
          <w:tcPr>
            <w:tcW w:type="dxa" w:w="510"/>
          </w:tcPr>
          <w:p>
            <w:pPr>
              <w:spacing w:after="40"/>
            </w:pPr>
            <w:r/>
            <w:r>
              <w:rPr>
                <w:sz w:val="19"/>
              </w:rPr>
              <w:t>4</w:t>
            </w:r>
          </w:p>
        </w:tc>
        <w:tc>
          <w:tcPr>
            <w:tcW w:type="dxa" w:w="2268"/>
          </w:tcPr>
          <w:p>
            <w:pPr>
              <w:spacing w:after="40"/>
            </w:pPr>
            <w:r/>
            <w:r>
              <w:rPr>
                <w:sz w:val="19"/>
              </w:rPr>
              <w:t>Sistema de reproducción de audio</w:t>
            </w:r>
          </w:p>
        </w:tc>
        <w:tc>
          <w:tcPr>
            <w:tcW w:type="dxa" w:w="6293"/>
          </w:tcPr>
          <w:p>
            <w:pPr>
              <w:spacing w:after="40"/>
            </w:pPr>
            <w:r/>
            <w:r>
              <w:rPr>
                <w:sz w:val="19"/>
              </w:rPr>
              <w:t>Disparo del sonido correspondiente a cada componente, con capas de intensidad según la fuerza del golpe.</w:t>
            </w:r>
          </w:p>
        </w:tc>
      </w:tr>
      <w:tr>
        <w:tc>
          <w:tcPr>
            <w:tcW w:type="dxa" w:w="510"/>
          </w:tcPr>
          <w:p>
            <w:pPr>
              <w:spacing w:after="40"/>
            </w:pPr>
            <w:r/>
            <w:r>
              <w:rPr>
                <w:sz w:val="19"/>
              </w:rPr>
              <w:t>5</w:t>
            </w:r>
          </w:p>
        </w:tc>
        <w:tc>
          <w:tcPr>
            <w:tcW w:type="dxa" w:w="2268"/>
          </w:tcPr>
          <w:p>
            <w:pPr>
              <w:spacing w:after="40"/>
            </w:pPr>
            <w:r/>
            <w:r>
              <w:rPr>
                <w:sz w:val="19"/>
              </w:rPr>
              <w:t>Entorno virtual</w:t>
            </w:r>
          </w:p>
        </w:tc>
        <w:tc>
          <w:tcPr>
            <w:tcW w:type="dxa" w:w="6293"/>
          </w:tcPr>
          <w:p>
            <w:pPr>
              <w:spacing w:after="40"/>
            </w:pPr>
            <w:r/>
            <w:r>
              <w:rPr>
                <w:sz w:val="19"/>
              </w:rPr>
              <w:t>Escenario tridimensional adecuado para la ejecución, diseñado para no producir fatiga ni mareo por movimiento.</w:t>
            </w:r>
          </w:p>
        </w:tc>
      </w:tr>
      <w:tr>
        <w:tc>
          <w:tcPr>
            <w:tcW w:type="dxa" w:w="510"/>
          </w:tcPr>
          <w:p>
            <w:pPr>
              <w:spacing w:after="40"/>
            </w:pPr>
            <w:r/>
            <w:r>
              <w:rPr>
                <w:sz w:val="19"/>
              </w:rPr>
              <w:t>6</w:t>
            </w:r>
          </w:p>
        </w:tc>
        <w:tc>
          <w:tcPr>
            <w:tcW w:type="dxa" w:w="2268"/>
          </w:tcPr>
          <w:p>
            <w:pPr>
              <w:spacing w:after="40"/>
            </w:pPr>
            <w:r/>
            <w:r>
              <w:rPr>
                <w:sz w:val="19"/>
              </w:rPr>
              <w:t>Documentación técnica</w:t>
            </w:r>
          </w:p>
        </w:tc>
        <w:tc>
          <w:tcPr>
            <w:tcW w:type="dxa" w:w="6293"/>
          </w:tcPr>
          <w:p>
            <w:pPr>
              <w:spacing w:after="40"/>
            </w:pPr>
            <w:r/>
            <w:r>
              <w:rPr>
                <w:sz w:val="19"/>
              </w:rPr>
              <w:t>Registro del desarrollo, la configuración y el funcionamiento de la simulación.</w:t>
            </w:r>
          </w:p>
        </w:tc>
      </w:tr>
      <w:tr>
        <w:tc>
          <w:tcPr>
            <w:tcW w:type="dxa" w:w="510"/>
          </w:tcPr>
          <w:p>
            <w:pPr>
              <w:spacing w:after="40"/>
            </w:pPr>
            <w:r/>
            <w:r>
              <w:rPr>
                <w:sz w:val="19"/>
              </w:rPr>
              <w:t>7</w:t>
            </w:r>
          </w:p>
        </w:tc>
        <w:tc>
          <w:tcPr>
            <w:tcW w:type="dxa" w:w="2268"/>
          </w:tcPr>
          <w:p>
            <w:pPr>
              <w:spacing w:after="40"/>
            </w:pPr>
            <w:r/>
            <w:r>
              <w:rPr>
                <w:sz w:val="19"/>
              </w:rPr>
              <w:t>Informe de pruebas</w:t>
            </w:r>
          </w:p>
        </w:tc>
        <w:tc>
          <w:tcPr>
            <w:tcW w:type="dxa" w:w="6293"/>
          </w:tcPr>
          <w:p>
            <w:pPr>
              <w:spacing w:after="40"/>
            </w:pPr>
            <w:r/>
            <w:r>
              <w:rPr>
                <w:sz w:val="19"/>
              </w:rPr>
              <w:t>Evidencia de las pruebas de interacción, detección de golpes y reproducción de sonido.</w:t>
            </w:r>
          </w:p>
        </w:tc>
      </w:tr>
    </w:tbl>
    <w:p>
      <w:pPr>
        <w:spacing w:after="40"/>
      </w:pPr>
    </w:p>
    <w:p>
      <w:pPr>
        <w:pStyle w:val="Heading2"/>
      </w:pPr>
      <w:r>
        <w:t>3.2 Productos del enfoque terapéutico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510"/>
          </w:tcPr>
          <w:p>
            <w:pPr>
              <w:spacing w:after="40"/>
              <w:jc w:val="center"/>
            </w:pPr>
            <w:r/>
            <w:r>
              <w:rPr>
                <w:b/>
                <w:sz w:val="19"/>
              </w:rPr>
              <w:t>#</w:t>
            </w:r>
          </w:p>
        </w:tc>
        <w:tc>
          <w:tcPr>
            <w:tcW w:type="dxa" w:w="2268"/>
          </w:tcPr>
          <w:p>
            <w:pPr>
              <w:spacing w:after="40"/>
              <w:jc w:val="center"/>
            </w:pPr>
            <w:r/>
            <w:r>
              <w:rPr>
                <w:b/>
                <w:sz w:val="19"/>
              </w:rPr>
              <w:t>Producto</w:t>
            </w:r>
          </w:p>
        </w:tc>
        <w:tc>
          <w:tcPr>
            <w:tcW w:type="dxa" w:w="6293"/>
          </w:tcPr>
          <w:p>
            <w:pPr>
              <w:spacing w:after="40"/>
              <w:jc w:val="center"/>
            </w:pPr>
            <w:r/>
            <w:r>
              <w:rPr>
                <w:b/>
                <w:sz w:val="19"/>
              </w:rPr>
              <w:t>Descripción</w:t>
            </w:r>
          </w:p>
        </w:tc>
      </w:tr>
      <w:tr>
        <w:tc>
          <w:tcPr>
            <w:tcW w:type="dxa" w:w="510"/>
          </w:tcPr>
          <w:p>
            <w:pPr>
              <w:spacing w:after="40"/>
            </w:pPr>
            <w:r/>
            <w:r>
              <w:rPr>
                <w:sz w:val="19"/>
              </w:rPr>
              <w:t>8</w:t>
            </w:r>
          </w:p>
        </w:tc>
        <w:tc>
          <w:tcPr>
            <w:tcW w:type="dxa" w:w="2268"/>
          </w:tcPr>
          <w:p>
            <w:pPr>
              <w:spacing w:after="40"/>
            </w:pPr>
            <w:r/>
            <w:r>
              <w:rPr>
                <w:sz w:val="19"/>
              </w:rPr>
              <w:t>Rutinas rítmicas terapéuticas</w:t>
            </w:r>
          </w:p>
        </w:tc>
        <w:tc>
          <w:tcPr>
            <w:tcW w:type="dxa" w:w="6293"/>
          </w:tcPr>
          <w:p>
            <w:pPr>
              <w:spacing w:after="40"/>
            </w:pPr>
            <w:r/>
            <w:r>
              <w:rPr>
                <w:sz w:val="19"/>
              </w:rPr>
              <w:t>Conjunto de ejercicios graduados por dificultad, diseñados sobre protocolos de musicoterapia neurológica y validados por el asesor terapéutico.</w:t>
            </w:r>
          </w:p>
        </w:tc>
      </w:tr>
      <w:tr>
        <w:tc>
          <w:tcPr>
            <w:tcW w:type="dxa" w:w="510"/>
          </w:tcPr>
          <w:p>
            <w:pPr>
              <w:spacing w:after="40"/>
            </w:pPr>
            <w:r/>
            <w:r>
              <w:rPr>
                <w:sz w:val="19"/>
              </w:rPr>
              <w:t>9</w:t>
            </w:r>
          </w:p>
        </w:tc>
        <w:tc>
          <w:tcPr>
            <w:tcW w:type="dxa" w:w="2268"/>
          </w:tcPr>
          <w:p>
            <w:pPr>
              <w:spacing w:after="40"/>
            </w:pPr>
            <w:r/>
            <w:r>
              <w:rPr>
                <w:sz w:val="19"/>
              </w:rPr>
              <w:t>Protocolo de sesión</w:t>
            </w:r>
          </w:p>
        </w:tc>
        <w:tc>
          <w:tcPr>
            <w:tcW w:type="dxa" w:w="6293"/>
          </w:tcPr>
          <w:p>
            <w:pPr>
              <w:spacing w:after="40"/>
            </w:pPr>
            <w:r/>
            <w:r>
              <w:rPr>
                <w:sz w:val="19"/>
              </w:rPr>
              <w:t>Documento que define duración, progresión, criterios de suspensión y consentimiento informado para las pruebas con usuarios.</w:t>
            </w:r>
          </w:p>
        </w:tc>
      </w:tr>
      <w:tr>
        <w:tc>
          <w:tcPr>
            <w:tcW w:type="dxa" w:w="510"/>
          </w:tcPr>
          <w:p>
            <w:pPr>
              <w:spacing w:after="40"/>
            </w:pPr>
            <w:r/>
            <w:r>
              <w:rPr>
                <w:sz w:val="19"/>
              </w:rPr>
              <w:t>10</w:t>
            </w:r>
          </w:p>
        </w:tc>
        <w:tc>
          <w:tcPr>
            <w:tcW w:type="dxa" w:w="2268"/>
          </w:tcPr>
          <w:p>
            <w:pPr>
              <w:spacing w:after="40"/>
            </w:pPr>
            <w:r/>
            <w:r>
              <w:rPr>
                <w:sz w:val="19"/>
              </w:rPr>
              <w:t>Módulo de registro de métricas</w:t>
            </w:r>
          </w:p>
        </w:tc>
        <w:tc>
          <w:tcPr>
            <w:tcW w:type="dxa" w:w="6293"/>
          </w:tcPr>
          <w:p>
            <w:pPr>
              <w:spacing w:after="40"/>
            </w:pPr>
            <w:r/>
            <w:r>
              <w:rPr>
                <w:sz w:val="19"/>
              </w:rPr>
              <w:t>Componente que registra precisión temporal, amplitud de movimiento y constancia del pulso por sesión, y los exporta para su análisis.</w:t>
            </w:r>
          </w:p>
        </w:tc>
      </w:tr>
      <w:tr>
        <w:tc>
          <w:tcPr>
            <w:tcW w:type="dxa" w:w="510"/>
          </w:tcPr>
          <w:p>
            <w:pPr>
              <w:spacing w:after="40"/>
            </w:pPr>
            <w:r/>
            <w:r>
              <w:rPr>
                <w:sz w:val="19"/>
              </w:rPr>
              <w:t>11</w:t>
            </w:r>
          </w:p>
        </w:tc>
        <w:tc>
          <w:tcPr>
            <w:tcW w:type="dxa" w:w="2268"/>
          </w:tcPr>
          <w:p>
            <w:pPr>
              <w:spacing w:after="40"/>
            </w:pPr>
            <w:r/>
            <w:r>
              <w:rPr>
                <w:sz w:val="19"/>
              </w:rPr>
              <w:t>Informe de validación terapéutica</w:t>
            </w:r>
          </w:p>
        </w:tc>
        <w:tc>
          <w:tcPr>
            <w:tcW w:type="dxa" w:w="6293"/>
          </w:tcPr>
          <w:p>
            <w:pPr>
              <w:spacing w:after="40"/>
            </w:pPr>
            <w:r/>
            <w:r>
              <w:rPr>
                <w:sz w:val="19"/>
              </w:rPr>
              <w:t>Dictamen del asesor externo sobre la pertinencia clínica de las rutinas y de las métricas implementadas.</w:t>
            </w:r>
          </w:p>
        </w:tc>
      </w:tr>
    </w:tbl>
    <w:p>
      <w:pPr>
        <w:spacing w:after="40"/>
      </w:pPr>
    </w:p>
    <w:p>
      <w:pPr>
        <w:pStyle w:val="Heading1"/>
      </w:pPr>
      <w:r>
        <w:t>4. Medidas de éxito</w:t>
      </w:r>
    </w:p>
    <w:p>
      <w:pPr>
        <w:spacing w:after="160"/>
        <w:jc w:val="both"/>
      </w:pPr>
      <w:r>
        <w:rPr>
          <w:b w:val="0"/>
          <w:i w:val="0"/>
        </w:rPr>
        <w:t>Cada medida se expresa con un criterio verificable. Las seis primeras provienen de la revisión 1; las cuatro últimas se agregan por el enfoque terapéutico.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510"/>
          </w:tcPr>
          <w:p>
            <w:pPr>
              <w:spacing w:after="40"/>
              <w:jc w:val="center"/>
            </w:pPr>
            <w:r/>
            <w:r>
              <w:rPr>
                <w:b/>
                <w:sz w:val="19"/>
              </w:rPr>
              <w:t>#</w:t>
            </w:r>
          </w:p>
        </w:tc>
        <w:tc>
          <w:tcPr>
            <w:tcW w:type="dxa" w:w="2608"/>
          </w:tcPr>
          <w:p>
            <w:pPr>
              <w:spacing w:after="40"/>
              <w:jc w:val="center"/>
            </w:pPr>
            <w:r/>
            <w:r>
              <w:rPr>
                <w:b/>
                <w:sz w:val="19"/>
              </w:rPr>
              <w:t>Medida de éxito</w:t>
            </w:r>
          </w:p>
        </w:tc>
        <w:tc>
          <w:tcPr>
            <w:tcW w:type="dxa" w:w="5953"/>
          </w:tcPr>
          <w:p>
            <w:pPr>
              <w:spacing w:after="40"/>
              <w:jc w:val="center"/>
            </w:pPr>
            <w:r/>
            <w:r>
              <w:rPr>
                <w:b/>
                <w:sz w:val="19"/>
              </w:rPr>
              <w:t>Criterio de verificación</w:t>
            </w:r>
          </w:p>
        </w:tc>
      </w:tr>
      <w:tr>
        <w:tc>
          <w:tcPr>
            <w:tcW w:type="dxa" w:w="510"/>
          </w:tcPr>
          <w:p>
            <w:pPr>
              <w:spacing w:after="40"/>
            </w:pPr>
            <w:r/>
            <w:r>
              <w:rPr>
                <w:sz w:val="19"/>
              </w:rPr>
              <w:t>1</w:t>
            </w:r>
          </w:p>
        </w:tc>
        <w:tc>
          <w:tcPr>
            <w:tcW w:type="dxa" w:w="2608"/>
          </w:tcPr>
          <w:p>
            <w:pPr>
              <w:spacing w:after="40"/>
            </w:pPr>
            <w:r/>
            <w:r>
              <w:rPr>
                <w:sz w:val="19"/>
              </w:rPr>
              <w:t>Identificación de componentes</w:t>
            </w:r>
          </w:p>
        </w:tc>
        <w:tc>
          <w:tcPr>
            <w:tcW w:type="dxa" w:w="5953"/>
          </w:tcPr>
          <w:p>
            <w:pPr>
              <w:spacing w:after="40"/>
            </w:pPr>
            <w:r/>
            <w:r>
              <w:rPr>
                <w:sz w:val="19"/>
              </w:rPr>
              <w:t>El usuario distingue y alcanza los componentes de la batería sin indicación externa.</w:t>
            </w:r>
          </w:p>
        </w:tc>
      </w:tr>
      <w:tr>
        <w:tc>
          <w:tcPr>
            <w:tcW w:type="dxa" w:w="510"/>
          </w:tcPr>
          <w:p>
            <w:pPr>
              <w:spacing w:after="40"/>
            </w:pPr>
            <w:r/>
            <w:r>
              <w:rPr>
                <w:sz w:val="19"/>
              </w:rPr>
              <w:t>2</w:t>
            </w:r>
          </w:p>
        </w:tc>
        <w:tc>
          <w:tcPr>
            <w:tcW w:type="dxa" w:w="2608"/>
          </w:tcPr>
          <w:p>
            <w:pPr>
              <w:spacing w:after="40"/>
            </w:pPr>
            <w:r/>
            <w:r>
              <w:rPr>
                <w:sz w:val="19"/>
              </w:rPr>
              <w:t>Detección de contacto</w:t>
            </w:r>
          </w:p>
        </w:tc>
        <w:tc>
          <w:tcPr>
            <w:tcW w:type="dxa" w:w="5953"/>
          </w:tcPr>
          <w:p>
            <w:pPr>
              <w:spacing w:after="40"/>
            </w:pPr>
            <w:r/>
            <w:r>
              <w:rPr>
                <w:sz w:val="19"/>
              </w:rPr>
              <w:t>El sistema registra el golpe en el componente correcto en al menos el 95 % de los intentos.</w:t>
            </w:r>
          </w:p>
        </w:tc>
      </w:tr>
      <w:tr>
        <w:tc>
          <w:tcPr>
            <w:tcW w:type="dxa" w:w="510"/>
          </w:tcPr>
          <w:p>
            <w:pPr>
              <w:spacing w:after="40"/>
            </w:pPr>
            <w:r/>
            <w:r>
              <w:rPr>
                <w:sz w:val="19"/>
              </w:rPr>
              <w:t>3</w:t>
            </w:r>
          </w:p>
        </w:tc>
        <w:tc>
          <w:tcPr>
            <w:tcW w:type="dxa" w:w="2608"/>
          </w:tcPr>
          <w:p>
            <w:pPr>
              <w:spacing w:after="40"/>
            </w:pPr>
            <w:r/>
            <w:r>
              <w:rPr>
                <w:sz w:val="19"/>
              </w:rPr>
              <w:t>Correspondencia del sonido</w:t>
            </w:r>
          </w:p>
        </w:tc>
        <w:tc>
          <w:tcPr>
            <w:tcW w:type="dxa" w:w="5953"/>
          </w:tcPr>
          <w:p>
            <w:pPr>
              <w:spacing w:after="40"/>
            </w:pPr>
            <w:r/>
            <w:r>
              <w:rPr>
                <w:sz w:val="19"/>
              </w:rPr>
              <w:t>El sonido reproducido corresponde siempre al componente golpeado.</w:t>
            </w:r>
          </w:p>
        </w:tc>
      </w:tr>
      <w:tr>
        <w:tc>
          <w:tcPr>
            <w:tcW w:type="dxa" w:w="510"/>
          </w:tcPr>
          <w:p>
            <w:pPr>
              <w:spacing w:after="40"/>
            </w:pPr>
            <w:r/>
            <w:r>
              <w:rPr>
                <w:sz w:val="19"/>
              </w:rPr>
              <w:t>4</w:t>
            </w:r>
          </w:p>
        </w:tc>
        <w:tc>
          <w:tcPr>
            <w:tcW w:type="dxa" w:w="2608"/>
          </w:tcPr>
          <w:p>
            <w:pPr>
              <w:spacing w:after="40"/>
            </w:pPr>
            <w:r/>
            <w:r>
              <w:rPr>
                <w:sz w:val="19"/>
              </w:rPr>
              <w:t>Latencia</w:t>
            </w:r>
          </w:p>
        </w:tc>
        <w:tc>
          <w:tcPr>
            <w:tcW w:type="dxa" w:w="5953"/>
          </w:tcPr>
          <w:p>
            <w:pPr>
              <w:spacing w:after="40"/>
            </w:pPr>
            <w:r/>
            <w:r>
              <w:rPr>
                <w:sz w:val="19"/>
              </w:rPr>
              <w:t>El retardo entre el golpe y el sonido se mantiene por debajo de 30 milisegundos.</w:t>
            </w:r>
          </w:p>
        </w:tc>
      </w:tr>
      <w:tr>
        <w:tc>
          <w:tcPr>
            <w:tcW w:type="dxa" w:w="510"/>
          </w:tcPr>
          <w:p>
            <w:pPr>
              <w:spacing w:after="40"/>
            </w:pPr>
            <w:r/>
            <w:r>
              <w:rPr>
                <w:sz w:val="19"/>
              </w:rPr>
              <w:t>5</w:t>
            </w:r>
          </w:p>
        </w:tc>
        <w:tc>
          <w:tcPr>
            <w:tcW w:type="dxa" w:w="2608"/>
          </w:tcPr>
          <w:p>
            <w:pPr>
              <w:spacing w:after="40"/>
            </w:pPr>
            <w:r/>
            <w:r>
              <w:rPr>
                <w:sz w:val="19"/>
              </w:rPr>
              <w:t>Estabilidad</w:t>
            </w:r>
          </w:p>
        </w:tc>
        <w:tc>
          <w:tcPr>
            <w:tcW w:type="dxa" w:w="5953"/>
          </w:tcPr>
          <w:p>
            <w:pPr>
              <w:spacing w:after="40"/>
            </w:pPr>
            <w:r/>
            <w:r>
              <w:rPr>
                <w:sz w:val="19"/>
              </w:rPr>
              <w:t>La simulación sostiene 72 cuadros por segundo durante una sesión completa sin caídas ni cierres inesperados.</w:t>
            </w:r>
          </w:p>
        </w:tc>
      </w:tr>
      <w:tr>
        <w:tc>
          <w:tcPr>
            <w:tcW w:type="dxa" w:w="510"/>
          </w:tcPr>
          <w:p>
            <w:pPr>
              <w:spacing w:after="40"/>
            </w:pPr>
            <w:r/>
            <w:r>
              <w:rPr>
                <w:sz w:val="19"/>
              </w:rPr>
              <w:t>6</w:t>
            </w:r>
          </w:p>
        </w:tc>
        <w:tc>
          <w:tcPr>
            <w:tcW w:type="dxa" w:w="2608"/>
          </w:tcPr>
          <w:p>
            <w:pPr>
              <w:spacing w:after="40"/>
            </w:pPr>
            <w:r/>
            <w:r>
              <w:rPr>
                <w:sz w:val="19"/>
              </w:rPr>
              <w:t>Interacción intuitiva</w:t>
            </w:r>
          </w:p>
        </w:tc>
        <w:tc>
          <w:tcPr>
            <w:tcW w:type="dxa" w:w="5953"/>
          </w:tcPr>
          <w:p>
            <w:pPr>
              <w:spacing w:after="40"/>
            </w:pPr>
            <w:r/>
            <w:r>
              <w:rPr>
                <w:sz w:val="19"/>
              </w:rPr>
              <w:t>Un usuario sin experiencia previa comprende el uso sin instrucción escrita.</w:t>
            </w:r>
          </w:p>
        </w:tc>
      </w:tr>
      <w:tr>
        <w:tc>
          <w:tcPr>
            <w:tcW w:type="dxa" w:w="510"/>
          </w:tcPr>
          <w:p>
            <w:pPr>
              <w:spacing w:after="40"/>
            </w:pPr>
            <w:r/>
            <w:r>
              <w:rPr>
                <w:sz w:val="19"/>
              </w:rPr>
              <w:t>7</w:t>
            </w:r>
          </w:p>
        </w:tc>
        <w:tc>
          <w:tcPr>
            <w:tcW w:type="dxa" w:w="2608"/>
          </w:tcPr>
          <w:p>
            <w:pPr>
              <w:spacing w:after="40"/>
            </w:pPr>
            <w:r/>
            <w:r>
              <w:rPr>
                <w:sz w:val="19"/>
              </w:rPr>
              <w:t>Sensibilidad a la intensidad</w:t>
            </w:r>
          </w:p>
        </w:tc>
        <w:tc>
          <w:tcPr>
            <w:tcW w:type="dxa" w:w="5953"/>
          </w:tcPr>
          <w:p>
            <w:pPr>
              <w:spacing w:after="40"/>
            </w:pPr>
            <w:r/>
            <w:r>
              <w:rPr>
                <w:sz w:val="19"/>
              </w:rPr>
              <w:t>El sistema distingue golpe suave, medio y fuerte a partir de la velocidad de la baqueta y modifica la intensidad del sonido en consecuencia.</w:t>
            </w:r>
          </w:p>
        </w:tc>
      </w:tr>
      <w:tr>
        <w:tc>
          <w:tcPr>
            <w:tcW w:type="dxa" w:w="510"/>
          </w:tcPr>
          <w:p>
            <w:pPr>
              <w:spacing w:after="40"/>
            </w:pPr>
            <w:r/>
            <w:r>
              <w:rPr>
                <w:sz w:val="19"/>
              </w:rPr>
              <w:t>8</w:t>
            </w:r>
          </w:p>
        </w:tc>
        <w:tc>
          <w:tcPr>
            <w:tcW w:type="dxa" w:w="2608"/>
          </w:tcPr>
          <w:p>
            <w:pPr>
              <w:spacing w:after="40"/>
            </w:pPr>
            <w:r/>
            <w:r>
              <w:rPr>
                <w:sz w:val="19"/>
              </w:rPr>
              <w:t>Pertinencia terapéutica</w:t>
            </w:r>
          </w:p>
        </w:tc>
        <w:tc>
          <w:tcPr>
            <w:tcW w:type="dxa" w:w="5953"/>
          </w:tcPr>
          <w:p>
            <w:pPr>
              <w:spacing w:after="40"/>
            </w:pPr>
            <w:r/>
            <w:r>
              <w:rPr>
                <w:sz w:val="19"/>
              </w:rPr>
              <w:t>El asesor externo dictamina que las rutinas implementadas corresponden a protocolos reconocidos de musicoterapia.</w:t>
            </w:r>
          </w:p>
        </w:tc>
      </w:tr>
      <w:tr>
        <w:tc>
          <w:tcPr>
            <w:tcW w:type="dxa" w:w="510"/>
          </w:tcPr>
          <w:p>
            <w:pPr>
              <w:spacing w:after="40"/>
            </w:pPr>
            <w:r/>
            <w:r>
              <w:rPr>
                <w:sz w:val="19"/>
              </w:rPr>
              <w:t>9</w:t>
            </w:r>
          </w:p>
        </w:tc>
        <w:tc>
          <w:tcPr>
            <w:tcW w:type="dxa" w:w="2608"/>
          </w:tcPr>
          <w:p>
            <w:pPr>
              <w:spacing w:after="40"/>
            </w:pPr>
            <w:r/>
            <w:r>
              <w:rPr>
                <w:sz w:val="19"/>
              </w:rPr>
              <w:t>Registro de métricas</w:t>
            </w:r>
          </w:p>
        </w:tc>
        <w:tc>
          <w:tcPr>
            <w:tcW w:type="dxa" w:w="5953"/>
          </w:tcPr>
          <w:p>
            <w:pPr>
              <w:spacing w:after="40"/>
            </w:pPr>
            <w:r/>
            <w:r>
              <w:rPr>
                <w:sz w:val="19"/>
              </w:rPr>
              <w:t>El sistema exporta, por sesión, precisión temporal, amplitud de movimiento y constancia del pulso.</w:t>
            </w:r>
          </w:p>
        </w:tc>
      </w:tr>
      <w:tr>
        <w:tc>
          <w:tcPr>
            <w:tcW w:type="dxa" w:w="510"/>
          </w:tcPr>
          <w:p>
            <w:pPr>
              <w:spacing w:after="40"/>
            </w:pPr>
            <w:r/>
            <w:r>
              <w:rPr>
                <w:sz w:val="19"/>
              </w:rPr>
              <w:t>10</w:t>
            </w:r>
          </w:p>
        </w:tc>
        <w:tc>
          <w:tcPr>
            <w:tcW w:type="dxa" w:w="2608"/>
          </w:tcPr>
          <w:p>
            <w:pPr>
              <w:spacing w:after="40"/>
            </w:pPr>
            <w:r/>
            <w:r>
              <w:rPr>
                <w:sz w:val="19"/>
              </w:rPr>
              <w:t>Seguridad de uso</w:t>
            </w:r>
          </w:p>
        </w:tc>
        <w:tc>
          <w:tcPr>
            <w:tcW w:type="dxa" w:w="5953"/>
          </w:tcPr>
          <w:p>
            <w:pPr>
              <w:spacing w:after="40"/>
            </w:pPr>
            <w:r/>
            <w:r>
              <w:rPr>
                <w:sz w:val="19"/>
              </w:rPr>
              <w:t>Ningún participante de las pruebas reporta mareo, fatiga ni molestia articular atribuible al uso del simulador.</w:t>
            </w:r>
          </w:p>
        </w:tc>
      </w:tr>
    </w:tbl>
    <w:p>
      <w:pPr>
        <w:spacing w:after="40"/>
      </w:pPr>
    </w:p>
    <w:p>
      <w:pPr>
        <w:pStyle w:val="Heading1"/>
      </w:pPr>
      <w:r>
        <w:t>5. Prioridad</w:t>
      </w:r>
    </w:p>
    <w:p>
      <w:pPr>
        <w:spacing w:after="160"/>
        <w:jc w:val="both"/>
      </w:pPr>
      <w:r>
        <w:rPr>
          <w:b w:val="0"/>
          <w:i w:val="0"/>
        </w:rPr>
        <w:t>Alta. El proyecto aplica conocimientos de modelado tridimensional, programación de interacción, procesamiento de audio y simulación en un producto con destinatario real. El enfoque terapéutico eleva la prioridad respecto de la revisión 1: el resultado no es únicamente una demostración técnica, sino una herramienta de apoyo a un proceso de rehabilitación, con criterios de éxito medibles y validación externa.</w:t>
      </w:r>
    </w:p>
    <w:p>
      <w:pPr>
        <w:pStyle w:val="Heading1"/>
      </w:pPr>
      <w:r>
        <w:t>6. Fechas clave</w:t>
      </w:r>
    </w:p>
    <w:p>
      <w:pPr>
        <w:spacing w:after="160"/>
        <w:jc w:val="both"/>
      </w:pPr>
      <w:r>
        <w:rPr>
          <w:b w:val="0"/>
          <w:i w:val="0"/>
        </w:rPr>
        <w:t>El proyecto se desarrolla en 11 semanas, del 1 de septiembre al 13 de noviembre de 2026. Los exámenes del semestre inician el 23 de noviembre; la semana del 16 al 20 de noviembre se reserva como colchón de gestión y no contiene trabajo programado.</w:t>
      </w:r>
    </w:p>
    <w:p>
      <w:pPr>
        <w:spacing w:after="160"/>
        <w:jc w:val="both"/>
      </w:pPr>
      <w:r>
        <w:rPr>
          <w:b w:val="0"/>
          <w:i w:val="0"/>
        </w:rPr>
        <w:t>Las etapas se traslapan entre sí. Esto es deliberado: el cronograma aplica compresión por traslape para caber en la ventana académica disponible, y el traslape solo se aplica entre actividades que pueden avanzar en paralelo sin dependencia estricta. El detalle de qué puede ejecutarse simultáneamente está en el acta constitutiva y en el documento de ruta crítica.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041"/>
          </w:tcPr>
          <w:p>
            <w:pPr>
              <w:spacing w:after="40"/>
              <w:jc w:val="center"/>
            </w:pPr>
            <w:r/>
            <w:r>
              <w:rPr>
                <w:b/>
                <w:sz w:val="19"/>
              </w:rPr>
              <w:t>Etapa</w:t>
            </w:r>
          </w:p>
        </w:tc>
        <w:tc>
          <w:tcPr>
            <w:tcW w:type="dxa" w:w="1474"/>
          </w:tcPr>
          <w:p>
            <w:pPr>
              <w:spacing w:after="40"/>
              <w:jc w:val="center"/>
            </w:pPr>
            <w:r/>
            <w:r>
              <w:rPr>
                <w:b/>
                <w:sz w:val="19"/>
              </w:rPr>
              <w:t>Periodo</w:t>
            </w:r>
          </w:p>
        </w:tc>
        <w:tc>
          <w:tcPr>
            <w:tcW w:type="dxa" w:w="1077"/>
          </w:tcPr>
          <w:p>
            <w:pPr>
              <w:spacing w:after="40"/>
              <w:jc w:val="center"/>
            </w:pPr>
            <w:r/>
            <w:r>
              <w:rPr>
                <w:b/>
                <w:sz w:val="19"/>
              </w:rPr>
              <w:t>Duración</w:t>
            </w:r>
          </w:p>
        </w:tc>
        <w:tc>
          <w:tcPr>
            <w:tcW w:type="dxa" w:w="4479"/>
          </w:tcPr>
          <w:p>
            <w:pPr>
              <w:spacing w:after="40"/>
              <w:jc w:val="center"/>
            </w:pPr>
            <w:r/>
            <w:r>
              <w:rPr>
                <w:b/>
                <w:sz w:val="19"/>
              </w:rPr>
              <w:t>Objetivo principal</w:t>
            </w:r>
          </w:p>
        </w:tc>
      </w:tr>
      <w:tr>
        <w:tc>
          <w:tcPr>
            <w:tcW w:type="dxa" w:w="2041"/>
          </w:tcPr>
          <w:p>
            <w:pPr>
              <w:spacing w:after="40"/>
            </w:pPr>
            <w:r/>
            <w:r>
              <w:rPr>
                <w:sz w:val="19"/>
              </w:rPr>
              <w:t>1. Planeación y diseño conceptual</w:t>
            </w:r>
          </w:p>
        </w:tc>
        <w:tc>
          <w:tcPr>
            <w:tcW w:type="dxa" w:w="1474"/>
          </w:tcPr>
          <w:p>
            <w:pPr>
              <w:spacing w:after="40"/>
            </w:pPr>
            <w:r/>
            <w:r>
              <w:rPr>
                <w:sz w:val="19"/>
              </w:rPr>
              <w:t>1 – 11 sep 2026</w:t>
            </w:r>
          </w:p>
        </w:tc>
        <w:tc>
          <w:tcPr>
            <w:tcW w:type="dxa" w:w="1077"/>
          </w:tcPr>
          <w:p>
            <w:pPr>
              <w:spacing w:after="40"/>
            </w:pPr>
            <w:r/>
            <w:r>
              <w:rPr>
                <w:sz w:val="19"/>
              </w:rPr>
              <w:t>2 semanas</w:t>
            </w:r>
          </w:p>
        </w:tc>
        <w:tc>
          <w:tcPr>
            <w:tcW w:type="dxa" w:w="4479"/>
          </w:tcPr>
          <w:p>
            <w:pPr>
              <w:spacing w:after="40"/>
            </w:pPr>
            <w:r/>
            <w:r>
              <w:rPr>
                <w:sz w:val="19"/>
              </w:rPr>
              <w:t>Definir alcance, estructura de desglose del trabajo, cronograma y riesgos. Establecer referencias visuales del instrumento y confirmar al asesor terapéutico.</w:t>
            </w:r>
          </w:p>
        </w:tc>
      </w:tr>
      <w:tr>
        <w:tc>
          <w:tcPr>
            <w:tcW w:type="dxa" w:w="2041"/>
          </w:tcPr>
          <w:p>
            <w:pPr>
              <w:spacing w:after="40"/>
            </w:pPr>
            <w:r/>
            <w:r>
              <w:rPr>
                <w:sz w:val="19"/>
              </w:rPr>
              <w:t>2. Modelado y entorno tridimensional</w:t>
            </w:r>
          </w:p>
        </w:tc>
        <w:tc>
          <w:tcPr>
            <w:tcW w:type="dxa" w:w="1474"/>
          </w:tcPr>
          <w:p>
            <w:pPr>
              <w:spacing w:after="40"/>
            </w:pPr>
            <w:r/>
            <w:r>
              <w:rPr>
                <w:sz w:val="19"/>
              </w:rPr>
              <w:t>7 sep – 5 oct 2026</w:t>
            </w:r>
          </w:p>
        </w:tc>
        <w:tc>
          <w:tcPr>
            <w:tcW w:type="dxa" w:w="1077"/>
          </w:tcPr>
          <w:p>
            <w:pPr>
              <w:spacing w:after="40"/>
            </w:pPr>
            <w:r/>
            <w:r>
              <w:rPr>
                <w:sz w:val="19"/>
              </w:rPr>
              <w:t>4 semanas</w:t>
            </w:r>
          </w:p>
        </w:tc>
        <w:tc>
          <w:tcPr>
            <w:tcW w:type="dxa" w:w="4479"/>
          </w:tcPr>
          <w:p>
            <w:pPr>
              <w:spacing w:after="40"/>
            </w:pPr>
            <w:r/>
            <w:r>
              <w:rPr>
                <w:sz w:val="19"/>
              </w:rPr>
              <w:t>Modelar batería, baquetas y escenario; texturizar y optimizar la geometría para su ejecución en visor autónomo.</w:t>
            </w:r>
          </w:p>
        </w:tc>
      </w:tr>
      <w:tr>
        <w:tc>
          <w:tcPr>
            <w:tcW w:type="dxa" w:w="2041"/>
          </w:tcPr>
          <w:p>
            <w:pPr>
              <w:spacing w:after="40"/>
            </w:pPr>
            <w:r/>
            <w:r>
              <w:rPr>
                <w:sz w:val="19"/>
              </w:rPr>
              <w:t>3. Interacción, físicas y audio</w:t>
            </w:r>
          </w:p>
        </w:tc>
        <w:tc>
          <w:tcPr>
            <w:tcW w:type="dxa" w:w="1474"/>
          </w:tcPr>
          <w:p>
            <w:pPr>
              <w:spacing w:after="40"/>
            </w:pPr>
            <w:r/>
            <w:r>
              <w:rPr>
                <w:sz w:val="19"/>
              </w:rPr>
              <w:t>8 sep – 20 oct 2026</w:t>
            </w:r>
          </w:p>
        </w:tc>
        <w:tc>
          <w:tcPr>
            <w:tcW w:type="dxa" w:w="1077"/>
          </w:tcPr>
          <w:p>
            <w:pPr>
              <w:spacing w:after="40"/>
            </w:pPr>
            <w:r/>
            <w:r>
              <w:rPr>
                <w:sz w:val="19"/>
              </w:rPr>
              <w:t>6 semanas</w:t>
            </w:r>
          </w:p>
        </w:tc>
        <w:tc>
          <w:tcPr>
            <w:tcW w:type="dxa" w:w="4479"/>
          </w:tcPr>
          <w:p>
            <w:pPr>
              <w:spacing w:after="40"/>
            </w:pPr>
            <w:r/>
            <w:r>
              <w:rPr>
                <w:sz w:val="19"/>
              </w:rPr>
              <w:t>Configurar el entorno de desarrollo, verificar la latencia, programar colisiones, medición de velocidad de impacto y disparo de audio por intensidad.</w:t>
            </w:r>
          </w:p>
        </w:tc>
      </w:tr>
      <w:tr>
        <w:tc>
          <w:tcPr>
            <w:tcW w:type="dxa" w:w="2041"/>
          </w:tcPr>
          <w:p>
            <w:pPr>
              <w:spacing w:after="40"/>
            </w:pPr>
            <w:r/>
            <w:r>
              <w:rPr>
                <w:sz w:val="19"/>
              </w:rPr>
              <w:t>4. Rutinas terapéuticas e integración</w:t>
            </w:r>
          </w:p>
        </w:tc>
        <w:tc>
          <w:tcPr>
            <w:tcW w:type="dxa" w:w="1474"/>
          </w:tcPr>
          <w:p>
            <w:pPr>
              <w:spacing w:after="40"/>
            </w:pPr>
            <w:r/>
            <w:r>
              <w:rPr>
                <w:sz w:val="19"/>
              </w:rPr>
              <w:t>14 oct – 3 nov 2026</w:t>
            </w:r>
          </w:p>
        </w:tc>
        <w:tc>
          <w:tcPr>
            <w:tcW w:type="dxa" w:w="1077"/>
          </w:tcPr>
          <w:p>
            <w:pPr>
              <w:spacing w:after="40"/>
            </w:pPr>
            <w:r/>
            <w:r>
              <w:rPr>
                <w:sz w:val="19"/>
              </w:rPr>
              <w:t>3 semanas</w:t>
            </w:r>
          </w:p>
        </w:tc>
        <w:tc>
          <w:tcPr>
            <w:tcW w:type="dxa" w:w="4479"/>
          </w:tcPr>
          <w:p>
            <w:pPr>
              <w:spacing w:after="40"/>
            </w:pPr>
            <w:r/>
            <w:r>
              <w:rPr>
                <w:sz w:val="19"/>
              </w:rPr>
              <w:t>Implementar las rutinas rítmicas validadas, la guía visual, los menús, la interfaz y el registro de métricas. Producir la build candidata.</w:t>
            </w:r>
          </w:p>
        </w:tc>
      </w:tr>
      <w:tr>
        <w:tc>
          <w:tcPr>
            <w:tcW w:type="dxa" w:w="2041"/>
          </w:tcPr>
          <w:p>
            <w:pPr>
              <w:spacing w:after="40"/>
            </w:pPr>
            <w:r/>
            <w:r>
              <w:rPr>
                <w:sz w:val="19"/>
              </w:rPr>
              <w:t>5. Pruebas, corrección y cierre</w:t>
            </w:r>
          </w:p>
        </w:tc>
        <w:tc>
          <w:tcPr>
            <w:tcW w:type="dxa" w:w="1474"/>
          </w:tcPr>
          <w:p>
            <w:pPr>
              <w:spacing w:after="40"/>
            </w:pPr>
            <w:r/>
            <w:r>
              <w:rPr>
                <w:sz w:val="19"/>
              </w:rPr>
              <w:t>21 oct – 13 nov 2026</w:t>
            </w:r>
          </w:p>
        </w:tc>
        <w:tc>
          <w:tcPr>
            <w:tcW w:type="dxa" w:w="1077"/>
          </w:tcPr>
          <w:p>
            <w:pPr>
              <w:spacing w:after="40"/>
            </w:pPr>
            <w:r/>
            <w:r>
              <w:rPr>
                <w:sz w:val="19"/>
              </w:rPr>
              <w:t>4 semanas</w:t>
            </w:r>
          </w:p>
        </w:tc>
        <w:tc>
          <w:tcPr>
            <w:tcW w:type="dxa" w:w="4479"/>
          </w:tcPr>
          <w:p>
            <w:pPr>
              <w:spacing w:after="40"/>
            </w:pPr>
            <w:r/>
            <w:r>
              <w:rPr>
                <w:sz w:val="19"/>
              </w:rPr>
              <w:t>Ejecutar pruebas de rendimiento y latencia, pruebas con usuarios bajo el protocolo validado, corregir defectos y entregar documentación.</w:t>
            </w:r>
          </w:p>
        </w:tc>
      </w:tr>
      <w:tr>
        <w:tc>
          <w:tcPr>
            <w:tcW w:type="dxa" w:w="2041"/>
          </w:tcPr>
          <w:p>
            <w:pPr>
              <w:spacing w:after="40"/>
            </w:pPr>
            <w:r/>
            <w:r>
              <w:rPr>
                <w:sz w:val="19"/>
              </w:rPr>
              <w:t>Reserva de gestión</w:t>
            </w:r>
          </w:p>
        </w:tc>
        <w:tc>
          <w:tcPr>
            <w:tcW w:type="dxa" w:w="1474"/>
          </w:tcPr>
          <w:p>
            <w:pPr>
              <w:spacing w:after="40"/>
            </w:pPr>
            <w:r/>
            <w:r>
              <w:rPr>
                <w:sz w:val="19"/>
              </w:rPr>
              <w:t>16 – 20 nov 2026</w:t>
            </w:r>
          </w:p>
        </w:tc>
        <w:tc>
          <w:tcPr>
            <w:tcW w:type="dxa" w:w="1077"/>
          </w:tcPr>
          <w:p>
            <w:pPr>
              <w:spacing w:after="40"/>
            </w:pPr>
            <w:r/>
            <w:r>
              <w:rPr>
                <w:sz w:val="19"/>
              </w:rPr>
              <w:t>1 semana</w:t>
            </w:r>
          </w:p>
        </w:tc>
        <w:tc>
          <w:tcPr>
            <w:tcW w:type="dxa" w:w="4479"/>
          </w:tcPr>
          <w:p>
            <w:pPr>
              <w:spacing w:after="40"/>
            </w:pPr>
            <w:r/>
            <w:r>
              <w:rPr>
                <w:sz w:val="19"/>
              </w:rPr>
              <w:t>Colchón previo al inicio de exámenes. Sin trabajo programado.</w:t>
            </w:r>
          </w:p>
        </w:tc>
      </w:tr>
    </w:tbl>
    <w:p>
      <w:pPr>
        <w:spacing w:after="40"/>
      </w:pPr>
    </w:p>
    <w:p>
      <w:pPr>
        <w:pStyle w:val="Heading2"/>
      </w:pPr>
      <w:r>
        <w:t>6.1 Hitos de control</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494"/>
          </w:tcPr>
          <w:p>
            <w:pPr>
              <w:spacing w:after="40"/>
              <w:jc w:val="center"/>
            </w:pPr>
            <w:r/>
            <w:r>
              <w:rPr>
                <w:b/>
                <w:sz w:val="19"/>
              </w:rPr>
              <w:t>Hito</w:t>
            </w:r>
          </w:p>
        </w:tc>
        <w:tc>
          <w:tcPr>
            <w:tcW w:type="dxa" w:w="1361"/>
          </w:tcPr>
          <w:p>
            <w:pPr>
              <w:spacing w:after="40"/>
              <w:jc w:val="center"/>
            </w:pPr>
            <w:r/>
            <w:r>
              <w:rPr>
                <w:b/>
                <w:sz w:val="19"/>
              </w:rPr>
              <w:t>Fecha</w:t>
            </w:r>
          </w:p>
        </w:tc>
        <w:tc>
          <w:tcPr>
            <w:tcW w:type="dxa" w:w="5216"/>
          </w:tcPr>
          <w:p>
            <w:pPr>
              <w:spacing w:after="40"/>
              <w:jc w:val="center"/>
            </w:pPr>
            <w:r/>
            <w:r>
              <w:rPr>
                <w:b/>
                <w:sz w:val="19"/>
              </w:rPr>
              <w:t>Qué se verifica</w:t>
            </w:r>
          </w:p>
        </w:tc>
      </w:tr>
      <w:tr>
        <w:tc>
          <w:tcPr>
            <w:tcW w:type="dxa" w:w="2494"/>
          </w:tcPr>
          <w:p>
            <w:pPr>
              <w:spacing w:after="40"/>
            </w:pPr>
            <w:r/>
            <w:r>
              <w:rPr>
                <w:sz w:val="19"/>
              </w:rPr>
              <w:t>H1  Diseño conceptual aprobado</w:t>
            </w:r>
          </w:p>
        </w:tc>
        <w:tc>
          <w:tcPr>
            <w:tcW w:type="dxa" w:w="1361"/>
          </w:tcPr>
          <w:p>
            <w:pPr>
              <w:spacing w:after="40"/>
            </w:pPr>
            <w:r/>
            <w:r>
              <w:rPr>
                <w:sz w:val="19"/>
              </w:rPr>
              <w:t>11 sep 2026</w:t>
            </w:r>
          </w:p>
        </w:tc>
        <w:tc>
          <w:tcPr>
            <w:tcW w:type="dxa" w:w="5216"/>
          </w:tcPr>
          <w:p>
            <w:pPr>
              <w:spacing w:after="40"/>
            </w:pPr>
            <w:r/>
            <w:r>
              <w:rPr>
                <w:sz w:val="19"/>
              </w:rPr>
              <w:t>Alcance, estructura de desglose del trabajo y referencias visuales aprobadas.</w:t>
            </w:r>
          </w:p>
        </w:tc>
      </w:tr>
      <w:tr>
        <w:tc>
          <w:tcPr>
            <w:tcW w:type="dxa" w:w="2494"/>
          </w:tcPr>
          <w:p>
            <w:pPr>
              <w:spacing w:after="40"/>
            </w:pPr>
            <w:r/>
            <w:r>
              <w:rPr>
                <w:sz w:val="19"/>
              </w:rPr>
              <w:t>H2  Go / No-Go de latencia</w:t>
            </w:r>
          </w:p>
        </w:tc>
        <w:tc>
          <w:tcPr>
            <w:tcW w:type="dxa" w:w="1361"/>
          </w:tcPr>
          <w:p>
            <w:pPr>
              <w:spacing w:after="40"/>
            </w:pPr>
            <w:r/>
            <w:r>
              <w:rPr>
                <w:sz w:val="19"/>
              </w:rPr>
              <w:t>14 sep 2026</w:t>
            </w:r>
          </w:p>
        </w:tc>
        <w:tc>
          <w:tcPr>
            <w:tcW w:type="dxa" w:w="5216"/>
          </w:tcPr>
          <w:p>
            <w:pPr>
              <w:spacing w:after="40"/>
            </w:pPr>
            <w:r/>
            <w:r>
              <w:rPr>
                <w:sz w:val="19"/>
              </w:rPr>
              <w:t>Se comprueba que el retardo entre golpe y sonido se mantiene por debajo de 30 ms en el hardware objetivo. Si no se cumple, se revisa el alcance antes de continuar.</w:t>
            </w:r>
          </w:p>
        </w:tc>
      </w:tr>
      <w:tr>
        <w:tc>
          <w:tcPr>
            <w:tcW w:type="dxa" w:w="2494"/>
          </w:tcPr>
          <w:p>
            <w:pPr>
              <w:spacing w:after="40"/>
            </w:pPr>
            <w:r/>
            <w:r>
              <w:rPr>
                <w:sz w:val="19"/>
              </w:rPr>
              <w:t>H3  Modelos integrados con físicas</w:t>
            </w:r>
          </w:p>
        </w:tc>
        <w:tc>
          <w:tcPr>
            <w:tcW w:type="dxa" w:w="1361"/>
          </w:tcPr>
          <w:p>
            <w:pPr>
              <w:spacing w:after="40"/>
            </w:pPr>
            <w:r/>
            <w:r>
              <w:rPr>
                <w:sz w:val="19"/>
              </w:rPr>
              <w:t>13 oct 2026</w:t>
            </w:r>
          </w:p>
        </w:tc>
        <w:tc>
          <w:tcPr>
            <w:tcW w:type="dxa" w:w="5216"/>
          </w:tcPr>
          <w:p>
            <w:pPr>
              <w:spacing w:after="40"/>
            </w:pPr>
            <w:r/>
            <w:r>
              <w:rPr>
                <w:sz w:val="19"/>
              </w:rPr>
              <w:t>La batería modelada responde a las colisiones y a la medición de velocidad.</w:t>
            </w:r>
          </w:p>
        </w:tc>
      </w:tr>
      <w:tr>
        <w:tc>
          <w:tcPr>
            <w:tcW w:type="dxa" w:w="2494"/>
          </w:tcPr>
          <w:p>
            <w:pPr>
              <w:spacing w:after="40"/>
            </w:pPr>
            <w:r/>
            <w:r>
              <w:rPr>
                <w:sz w:val="19"/>
              </w:rPr>
              <w:t>H4  Rutinas y métricas integradas</w:t>
            </w:r>
          </w:p>
        </w:tc>
        <w:tc>
          <w:tcPr>
            <w:tcW w:type="dxa" w:w="1361"/>
          </w:tcPr>
          <w:p>
            <w:pPr>
              <w:spacing w:after="40"/>
            </w:pPr>
            <w:r/>
            <w:r>
              <w:rPr>
                <w:sz w:val="19"/>
              </w:rPr>
              <w:t>27 oct 2026</w:t>
            </w:r>
          </w:p>
        </w:tc>
        <w:tc>
          <w:tcPr>
            <w:tcW w:type="dxa" w:w="5216"/>
          </w:tcPr>
          <w:p>
            <w:pPr>
              <w:spacing w:after="40"/>
            </w:pPr>
            <w:r/>
            <w:r>
              <w:rPr>
                <w:sz w:val="19"/>
              </w:rPr>
              <w:t>Las rutinas validadas y el registro de métricas operan dentro del simulador.</w:t>
            </w:r>
          </w:p>
        </w:tc>
      </w:tr>
      <w:tr>
        <w:tc>
          <w:tcPr>
            <w:tcW w:type="dxa" w:w="2494"/>
          </w:tcPr>
          <w:p>
            <w:pPr>
              <w:spacing w:after="40"/>
            </w:pPr>
            <w:r/>
            <w:r>
              <w:rPr>
                <w:sz w:val="19"/>
              </w:rPr>
              <w:t>H5  Build candidata congelada</w:t>
            </w:r>
          </w:p>
        </w:tc>
        <w:tc>
          <w:tcPr>
            <w:tcW w:type="dxa" w:w="1361"/>
          </w:tcPr>
          <w:p>
            <w:pPr>
              <w:spacing w:after="40"/>
            </w:pPr>
            <w:r/>
            <w:r>
              <w:rPr>
                <w:sz w:val="19"/>
              </w:rPr>
              <w:t>3 nov 2026</w:t>
            </w:r>
          </w:p>
        </w:tc>
        <w:tc>
          <w:tcPr>
            <w:tcW w:type="dxa" w:w="5216"/>
          </w:tcPr>
          <w:p>
            <w:pPr>
              <w:spacing w:after="40"/>
            </w:pPr>
            <w:r/>
            <w:r>
              <w:rPr>
                <w:sz w:val="19"/>
              </w:rPr>
              <w:t>Versión estable sobre la que se ejecutan las pruebas con usuarios.</w:t>
            </w:r>
          </w:p>
        </w:tc>
      </w:tr>
      <w:tr>
        <w:tc>
          <w:tcPr>
            <w:tcW w:type="dxa" w:w="2494"/>
          </w:tcPr>
          <w:p>
            <w:pPr>
              <w:spacing w:after="40"/>
            </w:pPr>
            <w:r/>
            <w:r>
              <w:rPr>
                <w:sz w:val="19"/>
              </w:rPr>
              <w:t>H6  Cierre</w:t>
            </w:r>
          </w:p>
        </w:tc>
        <w:tc>
          <w:tcPr>
            <w:tcW w:type="dxa" w:w="1361"/>
          </w:tcPr>
          <w:p>
            <w:pPr>
              <w:spacing w:after="40"/>
            </w:pPr>
            <w:r/>
            <w:r>
              <w:rPr>
                <w:sz w:val="19"/>
              </w:rPr>
              <w:t>13 nov 2026</w:t>
            </w:r>
          </w:p>
        </w:tc>
        <w:tc>
          <w:tcPr>
            <w:tcW w:type="dxa" w:w="5216"/>
          </w:tcPr>
          <w:p>
            <w:pPr>
              <w:spacing w:after="40"/>
            </w:pPr>
            <w:r/>
            <w:r>
              <w:rPr>
                <w:sz w:val="19"/>
              </w:rPr>
              <w:t>Pruebas cerradas, defectos corregidos y documentación entregada.</w:t>
            </w:r>
          </w:p>
        </w:tc>
      </w:tr>
    </w:tbl>
    <w:p>
      <w:pPr>
        <w:spacing w:after="40"/>
      </w:pPr>
    </w:p>
    <w:p>
      <w:pPr>
        <w:pStyle w:val="Heading1"/>
      </w:pPr>
      <w:r>
        <w:t>7. Equipo de proyecto y presupuesto</w:t>
      </w:r>
    </w:p>
    <w:p>
      <w:pPr>
        <w:spacing w:after="160"/>
        <w:jc w:val="both"/>
      </w:pPr>
      <w:r>
        <w:rPr>
          <w:b w:val="0"/>
          <w:i w:val="0"/>
        </w:rPr>
        <w:t>El presupuesto de la revisión 1 estimaba $460,000 MXN sobre cuatro meses de trabajo y cinco roles a dedicación completa. Esa estimación tenía dos defectos: el periodo de cuatro meses no coincidía con el cronograma, que terminaba el 26 de octubre, y suponía dedicación de tiempo completo para un equipo que trabaja por asignación parcial.</w:t>
      </w:r>
    </w:p>
    <w:p>
      <w:pPr>
        <w:spacing w:after="160"/>
        <w:jc w:val="both"/>
      </w:pPr>
      <w:r>
        <w:rPr>
          <w:b w:val="0"/>
          <w:i w:val="0"/>
        </w:rPr>
        <w:t>La revisión 2 recalcula el presupuesto sobre el periodo real de 11 semanas, con el porcentaje de esfuerzo que cada rol dedica efectivamente al proyecto y con tarifas por hora derivadas del salario mensual de mercado en el área metropolitana de Monterrey para 2026, dividido entre 173.33 horas laborables al mes. El resultado es menor que la estimación anterior pese a incorporar tres roles adicionales y un asesor externo.</w:t>
      </w:r>
    </w:p>
    <w:p>
      <w:pPr>
        <w:pStyle w:val="Heading2"/>
      </w:pPr>
      <w:r>
        <w:t>7.1 Costo de personal</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3061"/>
          </w:tcPr>
          <w:p>
            <w:pPr>
              <w:spacing w:after="40"/>
              <w:jc w:val="center"/>
            </w:pPr>
            <w:r/>
            <w:r>
              <w:rPr>
                <w:b/>
                <w:sz w:val="19"/>
              </w:rPr>
              <w:t>Rol</w:t>
            </w:r>
          </w:p>
        </w:tc>
        <w:tc>
          <w:tcPr>
            <w:tcW w:type="dxa" w:w="1304"/>
          </w:tcPr>
          <w:p>
            <w:pPr>
              <w:spacing w:after="40"/>
              <w:jc w:val="center"/>
            </w:pPr>
            <w:r/>
            <w:r>
              <w:rPr>
                <w:b/>
                <w:sz w:val="19"/>
              </w:rPr>
              <w:t>Costo por hora</w:t>
            </w:r>
          </w:p>
        </w:tc>
        <w:tc>
          <w:tcPr>
            <w:tcW w:type="dxa" w:w="1020"/>
          </w:tcPr>
          <w:p>
            <w:pPr>
              <w:spacing w:after="40"/>
              <w:jc w:val="center"/>
            </w:pPr>
            <w:r/>
            <w:r>
              <w:rPr>
                <w:b/>
                <w:sz w:val="19"/>
              </w:rPr>
              <w:t>Esfuerzo</w:t>
            </w:r>
          </w:p>
        </w:tc>
        <w:tc>
          <w:tcPr>
            <w:tcW w:type="dxa" w:w="1020"/>
          </w:tcPr>
          <w:p>
            <w:pPr>
              <w:spacing w:after="40"/>
              <w:jc w:val="center"/>
            </w:pPr>
            <w:r/>
            <w:r>
              <w:rPr>
                <w:b/>
                <w:sz w:val="19"/>
              </w:rPr>
              <w:t>Semanas</w:t>
            </w:r>
          </w:p>
        </w:tc>
        <w:tc>
          <w:tcPr>
            <w:tcW w:type="dxa" w:w="1020"/>
          </w:tcPr>
          <w:p>
            <w:pPr>
              <w:spacing w:after="40"/>
              <w:jc w:val="center"/>
            </w:pPr>
            <w:r/>
            <w:r>
              <w:rPr>
                <w:b/>
                <w:sz w:val="19"/>
              </w:rPr>
              <w:t>Horas</w:t>
            </w:r>
          </w:p>
        </w:tc>
        <w:tc>
          <w:tcPr>
            <w:tcW w:type="dxa" w:w="1644"/>
          </w:tcPr>
          <w:p>
            <w:pPr>
              <w:spacing w:after="40"/>
              <w:jc w:val="center"/>
            </w:pPr>
            <w:r/>
            <w:r>
              <w:rPr>
                <w:b/>
                <w:sz w:val="19"/>
              </w:rPr>
              <w:t>Costo (MXN)</w:t>
            </w:r>
          </w:p>
        </w:tc>
      </w:tr>
      <w:tr>
        <w:tc>
          <w:tcPr>
            <w:tcW w:type="dxa" w:w="3061"/>
          </w:tcPr>
          <w:p>
            <w:pPr>
              <w:spacing w:after="40"/>
            </w:pPr>
            <w:r/>
            <w:r>
              <w:rPr>
                <w:sz w:val="19"/>
              </w:rPr>
              <w:t>Director de proyecto</w:t>
            </w:r>
          </w:p>
        </w:tc>
        <w:tc>
          <w:tcPr>
            <w:tcW w:type="dxa" w:w="1304"/>
          </w:tcPr>
          <w:p>
            <w:pPr>
              <w:spacing w:after="40"/>
            </w:pPr>
            <w:r/>
            <w:r>
              <w:rPr>
                <w:sz w:val="19"/>
              </w:rPr>
              <w:t>$375</w:t>
            </w:r>
          </w:p>
        </w:tc>
        <w:tc>
          <w:tcPr>
            <w:tcW w:type="dxa" w:w="1020"/>
          </w:tcPr>
          <w:p>
            <w:pPr>
              <w:spacing w:after="40"/>
            </w:pPr>
            <w:r/>
            <w:r>
              <w:rPr>
                <w:sz w:val="19"/>
              </w:rPr>
              <w:t>25 %</w:t>
            </w:r>
          </w:p>
        </w:tc>
        <w:tc>
          <w:tcPr>
            <w:tcW w:type="dxa" w:w="1020"/>
          </w:tcPr>
          <w:p>
            <w:pPr>
              <w:spacing w:after="40"/>
            </w:pPr>
            <w:r/>
            <w:r>
              <w:rPr>
                <w:sz w:val="19"/>
              </w:rPr>
              <w:t>11</w:t>
            </w:r>
          </w:p>
        </w:tc>
        <w:tc>
          <w:tcPr>
            <w:tcW w:type="dxa" w:w="1020"/>
          </w:tcPr>
          <w:p>
            <w:pPr>
              <w:spacing w:after="40"/>
            </w:pPr>
            <w:r/>
            <w:r>
              <w:rPr>
                <w:sz w:val="19"/>
              </w:rPr>
              <w:t>110</w:t>
            </w:r>
          </w:p>
        </w:tc>
        <w:tc>
          <w:tcPr>
            <w:tcW w:type="dxa" w:w="1644"/>
          </w:tcPr>
          <w:p>
            <w:pPr>
              <w:spacing w:after="40"/>
            </w:pPr>
            <w:r/>
            <w:r>
              <w:rPr>
                <w:sz w:val="19"/>
              </w:rPr>
              <w:t>$41,250</w:t>
            </w:r>
          </w:p>
        </w:tc>
      </w:tr>
      <w:tr>
        <w:tc>
          <w:tcPr>
            <w:tcW w:type="dxa" w:w="3061"/>
          </w:tcPr>
          <w:p>
            <w:pPr>
              <w:spacing w:after="40"/>
            </w:pPr>
            <w:r/>
            <w:r>
              <w:rPr>
                <w:sz w:val="19"/>
              </w:rPr>
              <w:t>Gerente de proyecto</w:t>
            </w:r>
          </w:p>
        </w:tc>
        <w:tc>
          <w:tcPr>
            <w:tcW w:type="dxa" w:w="1304"/>
          </w:tcPr>
          <w:p>
            <w:pPr>
              <w:spacing w:after="40"/>
            </w:pPr>
            <w:r/>
            <w:r>
              <w:rPr>
                <w:sz w:val="19"/>
              </w:rPr>
              <w:t>$277</w:t>
            </w:r>
          </w:p>
        </w:tc>
        <w:tc>
          <w:tcPr>
            <w:tcW w:type="dxa" w:w="1020"/>
          </w:tcPr>
          <w:p>
            <w:pPr>
              <w:spacing w:after="40"/>
            </w:pPr>
            <w:r/>
            <w:r>
              <w:rPr>
                <w:sz w:val="19"/>
              </w:rPr>
              <w:t>40 %</w:t>
            </w:r>
          </w:p>
        </w:tc>
        <w:tc>
          <w:tcPr>
            <w:tcW w:type="dxa" w:w="1020"/>
          </w:tcPr>
          <w:p>
            <w:pPr>
              <w:spacing w:after="40"/>
            </w:pPr>
            <w:r/>
            <w:r>
              <w:rPr>
                <w:sz w:val="19"/>
              </w:rPr>
              <w:t>11</w:t>
            </w:r>
          </w:p>
        </w:tc>
        <w:tc>
          <w:tcPr>
            <w:tcW w:type="dxa" w:w="1020"/>
          </w:tcPr>
          <w:p>
            <w:pPr>
              <w:spacing w:after="40"/>
            </w:pPr>
            <w:r/>
            <w:r>
              <w:rPr>
                <w:sz w:val="19"/>
              </w:rPr>
              <w:t>176</w:t>
            </w:r>
          </w:p>
        </w:tc>
        <w:tc>
          <w:tcPr>
            <w:tcW w:type="dxa" w:w="1644"/>
          </w:tcPr>
          <w:p>
            <w:pPr>
              <w:spacing w:after="40"/>
            </w:pPr>
            <w:r/>
            <w:r>
              <w:rPr>
                <w:sz w:val="19"/>
              </w:rPr>
              <w:t>$48,752</w:t>
            </w:r>
          </w:p>
        </w:tc>
      </w:tr>
      <w:tr>
        <w:tc>
          <w:tcPr>
            <w:tcW w:type="dxa" w:w="3061"/>
          </w:tcPr>
          <w:p>
            <w:pPr>
              <w:spacing w:after="40"/>
            </w:pPr>
            <w:r/>
            <w:r>
              <w:rPr>
                <w:sz w:val="19"/>
              </w:rPr>
              <w:t>Coordinador</w:t>
            </w:r>
          </w:p>
        </w:tc>
        <w:tc>
          <w:tcPr>
            <w:tcW w:type="dxa" w:w="1304"/>
          </w:tcPr>
          <w:p>
            <w:pPr>
              <w:spacing w:after="40"/>
            </w:pPr>
            <w:r/>
            <w:r>
              <w:rPr>
                <w:sz w:val="19"/>
              </w:rPr>
              <w:t>$173</w:t>
            </w:r>
          </w:p>
        </w:tc>
        <w:tc>
          <w:tcPr>
            <w:tcW w:type="dxa" w:w="1020"/>
          </w:tcPr>
          <w:p>
            <w:pPr>
              <w:spacing w:after="40"/>
            </w:pPr>
            <w:r/>
            <w:r>
              <w:rPr>
                <w:sz w:val="19"/>
              </w:rPr>
              <w:t>40 %</w:t>
            </w:r>
          </w:p>
        </w:tc>
        <w:tc>
          <w:tcPr>
            <w:tcW w:type="dxa" w:w="1020"/>
          </w:tcPr>
          <w:p>
            <w:pPr>
              <w:spacing w:after="40"/>
            </w:pPr>
            <w:r/>
            <w:r>
              <w:rPr>
                <w:sz w:val="19"/>
              </w:rPr>
              <w:t>11</w:t>
            </w:r>
          </w:p>
        </w:tc>
        <w:tc>
          <w:tcPr>
            <w:tcW w:type="dxa" w:w="1020"/>
          </w:tcPr>
          <w:p>
            <w:pPr>
              <w:spacing w:after="40"/>
            </w:pPr>
            <w:r/>
            <w:r>
              <w:rPr>
                <w:sz w:val="19"/>
              </w:rPr>
              <w:t>176</w:t>
            </w:r>
          </w:p>
        </w:tc>
        <w:tc>
          <w:tcPr>
            <w:tcW w:type="dxa" w:w="1644"/>
          </w:tcPr>
          <w:p>
            <w:pPr>
              <w:spacing w:after="40"/>
            </w:pPr>
            <w:r/>
            <w:r>
              <w:rPr>
                <w:sz w:val="19"/>
              </w:rPr>
              <w:t>$30,448</w:t>
            </w:r>
          </w:p>
        </w:tc>
      </w:tr>
      <w:tr>
        <w:tc>
          <w:tcPr>
            <w:tcW w:type="dxa" w:w="3061"/>
          </w:tcPr>
          <w:p>
            <w:pPr>
              <w:spacing w:after="40"/>
            </w:pPr>
            <w:r/>
            <w:r>
              <w:rPr>
                <w:sz w:val="19"/>
              </w:rPr>
              <w:t>Desarrollador de realidad virtual</w:t>
            </w:r>
          </w:p>
        </w:tc>
        <w:tc>
          <w:tcPr>
            <w:tcW w:type="dxa" w:w="1304"/>
          </w:tcPr>
          <w:p>
            <w:pPr>
              <w:spacing w:after="40"/>
            </w:pPr>
            <w:r/>
            <w:r>
              <w:rPr>
                <w:sz w:val="19"/>
              </w:rPr>
              <w:t>$260</w:t>
            </w:r>
          </w:p>
        </w:tc>
        <w:tc>
          <w:tcPr>
            <w:tcW w:type="dxa" w:w="1020"/>
          </w:tcPr>
          <w:p>
            <w:pPr>
              <w:spacing w:after="40"/>
            </w:pPr>
            <w:r/>
            <w:r>
              <w:rPr>
                <w:sz w:val="19"/>
              </w:rPr>
              <w:t>70 %</w:t>
            </w:r>
          </w:p>
        </w:tc>
        <w:tc>
          <w:tcPr>
            <w:tcW w:type="dxa" w:w="1020"/>
          </w:tcPr>
          <w:p>
            <w:pPr>
              <w:spacing w:after="40"/>
            </w:pPr>
            <w:r/>
            <w:r>
              <w:rPr>
                <w:sz w:val="19"/>
              </w:rPr>
              <w:t>9</w:t>
            </w:r>
          </w:p>
        </w:tc>
        <w:tc>
          <w:tcPr>
            <w:tcW w:type="dxa" w:w="1020"/>
          </w:tcPr>
          <w:p>
            <w:pPr>
              <w:spacing w:after="40"/>
            </w:pPr>
            <w:r/>
            <w:r>
              <w:rPr>
                <w:sz w:val="19"/>
              </w:rPr>
              <w:t>252</w:t>
            </w:r>
          </w:p>
        </w:tc>
        <w:tc>
          <w:tcPr>
            <w:tcW w:type="dxa" w:w="1644"/>
          </w:tcPr>
          <w:p>
            <w:pPr>
              <w:spacing w:after="40"/>
            </w:pPr>
            <w:r/>
            <w:r>
              <w:rPr>
                <w:sz w:val="19"/>
              </w:rPr>
              <w:t>$65,520</w:t>
            </w:r>
          </w:p>
        </w:tc>
      </w:tr>
      <w:tr>
        <w:tc>
          <w:tcPr>
            <w:tcW w:type="dxa" w:w="3061"/>
          </w:tcPr>
          <w:p>
            <w:pPr>
              <w:spacing w:after="40"/>
            </w:pPr>
            <w:r/>
            <w:r>
              <w:rPr>
                <w:sz w:val="19"/>
              </w:rPr>
              <w:t>Diseñador de interacción / UX-XR</w:t>
            </w:r>
          </w:p>
        </w:tc>
        <w:tc>
          <w:tcPr>
            <w:tcW w:type="dxa" w:w="1304"/>
          </w:tcPr>
          <w:p>
            <w:pPr>
              <w:spacing w:after="40"/>
            </w:pPr>
            <w:r/>
            <w:r>
              <w:rPr>
                <w:sz w:val="19"/>
              </w:rPr>
              <w:t>$219</w:t>
            </w:r>
          </w:p>
        </w:tc>
        <w:tc>
          <w:tcPr>
            <w:tcW w:type="dxa" w:w="1020"/>
          </w:tcPr>
          <w:p>
            <w:pPr>
              <w:spacing w:after="40"/>
            </w:pPr>
            <w:r/>
            <w:r>
              <w:rPr>
                <w:sz w:val="19"/>
              </w:rPr>
              <w:t>50 %</w:t>
            </w:r>
          </w:p>
        </w:tc>
        <w:tc>
          <w:tcPr>
            <w:tcW w:type="dxa" w:w="1020"/>
          </w:tcPr>
          <w:p>
            <w:pPr>
              <w:spacing w:after="40"/>
            </w:pPr>
            <w:r/>
            <w:r>
              <w:rPr>
                <w:sz w:val="19"/>
              </w:rPr>
              <w:t>8</w:t>
            </w:r>
          </w:p>
        </w:tc>
        <w:tc>
          <w:tcPr>
            <w:tcW w:type="dxa" w:w="1020"/>
          </w:tcPr>
          <w:p>
            <w:pPr>
              <w:spacing w:after="40"/>
            </w:pPr>
            <w:r/>
            <w:r>
              <w:rPr>
                <w:sz w:val="19"/>
              </w:rPr>
              <w:t>160</w:t>
            </w:r>
          </w:p>
        </w:tc>
        <w:tc>
          <w:tcPr>
            <w:tcW w:type="dxa" w:w="1644"/>
          </w:tcPr>
          <w:p>
            <w:pPr>
              <w:spacing w:after="40"/>
            </w:pPr>
            <w:r/>
            <w:r>
              <w:rPr>
                <w:sz w:val="19"/>
              </w:rPr>
              <w:t>$35,040</w:t>
            </w:r>
          </w:p>
        </w:tc>
      </w:tr>
      <w:tr>
        <w:tc>
          <w:tcPr>
            <w:tcW w:type="dxa" w:w="3061"/>
          </w:tcPr>
          <w:p>
            <w:pPr>
              <w:spacing w:after="40"/>
            </w:pPr>
            <w:r/>
            <w:r>
              <w:rPr>
                <w:sz w:val="19"/>
              </w:rPr>
              <w:t>Artista y modelador 3D</w:t>
            </w:r>
          </w:p>
        </w:tc>
        <w:tc>
          <w:tcPr>
            <w:tcW w:type="dxa" w:w="1304"/>
          </w:tcPr>
          <w:p>
            <w:pPr>
              <w:spacing w:after="40"/>
            </w:pPr>
            <w:r/>
            <w:r>
              <w:rPr>
                <w:sz w:val="19"/>
              </w:rPr>
              <w:t>$185</w:t>
            </w:r>
          </w:p>
        </w:tc>
        <w:tc>
          <w:tcPr>
            <w:tcW w:type="dxa" w:w="1020"/>
          </w:tcPr>
          <w:p>
            <w:pPr>
              <w:spacing w:after="40"/>
            </w:pPr>
            <w:r/>
            <w:r>
              <w:rPr>
                <w:sz w:val="19"/>
              </w:rPr>
              <w:t>50 %</w:t>
            </w:r>
          </w:p>
        </w:tc>
        <w:tc>
          <w:tcPr>
            <w:tcW w:type="dxa" w:w="1020"/>
          </w:tcPr>
          <w:p>
            <w:pPr>
              <w:spacing w:after="40"/>
            </w:pPr>
            <w:r/>
            <w:r>
              <w:rPr>
                <w:sz w:val="19"/>
              </w:rPr>
              <w:t>7</w:t>
            </w:r>
          </w:p>
        </w:tc>
        <w:tc>
          <w:tcPr>
            <w:tcW w:type="dxa" w:w="1020"/>
          </w:tcPr>
          <w:p>
            <w:pPr>
              <w:spacing w:after="40"/>
            </w:pPr>
            <w:r/>
            <w:r>
              <w:rPr>
                <w:sz w:val="19"/>
              </w:rPr>
              <w:t>140</w:t>
            </w:r>
          </w:p>
        </w:tc>
        <w:tc>
          <w:tcPr>
            <w:tcW w:type="dxa" w:w="1644"/>
          </w:tcPr>
          <w:p>
            <w:pPr>
              <w:spacing w:after="40"/>
            </w:pPr>
            <w:r/>
            <w:r>
              <w:rPr>
                <w:sz w:val="19"/>
              </w:rPr>
              <w:t>$25,900</w:t>
            </w:r>
          </w:p>
        </w:tc>
      </w:tr>
      <w:tr>
        <w:tc>
          <w:tcPr>
            <w:tcW w:type="dxa" w:w="3061"/>
          </w:tcPr>
          <w:p>
            <w:pPr>
              <w:spacing w:after="40"/>
            </w:pPr>
            <w:r/>
            <w:r>
              <w:rPr>
                <w:sz w:val="19"/>
              </w:rPr>
              <w:t>Diseñador de audio</w:t>
            </w:r>
          </w:p>
        </w:tc>
        <w:tc>
          <w:tcPr>
            <w:tcW w:type="dxa" w:w="1304"/>
          </w:tcPr>
          <w:p>
            <w:pPr>
              <w:spacing w:after="40"/>
            </w:pPr>
            <w:r/>
            <w:r>
              <w:rPr>
                <w:sz w:val="19"/>
              </w:rPr>
              <w:t>$162</w:t>
            </w:r>
          </w:p>
        </w:tc>
        <w:tc>
          <w:tcPr>
            <w:tcW w:type="dxa" w:w="1020"/>
          </w:tcPr>
          <w:p>
            <w:pPr>
              <w:spacing w:after="40"/>
            </w:pPr>
            <w:r/>
            <w:r>
              <w:rPr>
                <w:sz w:val="19"/>
              </w:rPr>
              <w:t>40 %</w:t>
            </w:r>
          </w:p>
        </w:tc>
        <w:tc>
          <w:tcPr>
            <w:tcW w:type="dxa" w:w="1020"/>
          </w:tcPr>
          <w:p>
            <w:pPr>
              <w:spacing w:after="40"/>
            </w:pPr>
            <w:r/>
            <w:r>
              <w:rPr>
                <w:sz w:val="19"/>
              </w:rPr>
              <w:t>6</w:t>
            </w:r>
          </w:p>
        </w:tc>
        <w:tc>
          <w:tcPr>
            <w:tcW w:type="dxa" w:w="1020"/>
          </w:tcPr>
          <w:p>
            <w:pPr>
              <w:spacing w:after="40"/>
            </w:pPr>
            <w:r/>
            <w:r>
              <w:rPr>
                <w:sz w:val="19"/>
              </w:rPr>
              <w:t>96</w:t>
            </w:r>
          </w:p>
        </w:tc>
        <w:tc>
          <w:tcPr>
            <w:tcW w:type="dxa" w:w="1644"/>
          </w:tcPr>
          <w:p>
            <w:pPr>
              <w:spacing w:after="40"/>
            </w:pPr>
            <w:r/>
            <w:r>
              <w:rPr>
                <w:sz w:val="19"/>
              </w:rPr>
              <w:t>$15,552</w:t>
            </w:r>
          </w:p>
        </w:tc>
      </w:tr>
      <w:tr>
        <w:tc>
          <w:tcPr>
            <w:tcW w:type="dxa" w:w="3061"/>
          </w:tcPr>
          <w:p>
            <w:pPr>
              <w:spacing w:after="40"/>
            </w:pPr>
            <w:r/>
            <w:r>
              <w:rPr>
                <w:sz w:val="19"/>
              </w:rPr>
              <w:t>Analista de métricas</w:t>
            </w:r>
          </w:p>
        </w:tc>
        <w:tc>
          <w:tcPr>
            <w:tcW w:type="dxa" w:w="1304"/>
          </w:tcPr>
          <w:p>
            <w:pPr>
              <w:spacing w:after="40"/>
            </w:pPr>
            <w:r/>
            <w:r>
              <w:rPr>
                <w:sz w:val="19"/>
              </w:rPr>
              <w:t>$196</w:t>
            </w:r>
          </w:p>
        </w:tc>
        <w:tc>
          <w:tcPr>
            <w:tcW w:type="dxa" w:w="1020"/>
          </w:tcPr>
          <w:p>
            <w:pPr>
              <w:spacing w:after="40"/>
            </w:pPr>
            <w:r/>
            <w:r>
              <w:rPr>
                <w:sz w:val="19"/>
              </w:rPr>
              <w:t>30 %</w:t>
            </w:r>
          </w:p>
        </w:tc>
        <w:tc>
          <w:tcPr>
            <w:tcW w:type="dxa" w:w="1020"/>
          </w:tcPr>
          <w:p>
            <w:pPr>
              <w:spacing w:after="40"/>
            </w:pPr>
            <w:r/>
            <w:r>
              <w:rPr>
                <w:sz w:val="19"/>
              </w:rPr>
              <w:t>7</w:t>
            </w:r>
          </w:p>
        </w:tc>
        <w:tc>
          <w:tcPr>
            <w:tcW w:type="dxa" w:w="1020"/>
          </w:tcPr>
          <w:p>
            <w:pPr>
              <w:spacing w:after="40"/>
            </w:pPr>
            <w:r/>
            <w:r>
              <w:rPr>
                <w:sz w:val="19"/>
              </w:rPr>
              <w:t>84</w:t>
            </w:r>
          </w:p>
        </w:tc>
        <w:tc>
          <w:tcPr>
            <w:tcW w:type="dxa" w:w="1644"/>
          </w:tcPr>
          <w:p>
            <w:pPr>
              <w:spacing w:after="40"/>
            </w:pPr>
            <w:r/>
            <w:r>
              <w:rPr>
                <w:sz w:val="19"/>
              </w:rPr>
              <w:t>$16,464</w:t>
            </w:r>
          </w:p>
        </w:tc>
      </w:tr>
      <w:tr>
        <w:tc>
          <w:tcPr>
            <w:tcW w:type="dxa" w:w="3061"/>
          </w:tcPr>
          <w:p>
            <w:pPr>
              <w:spacing w:after="40"/>
            </w:pPr>
            <w:r/>
            <w:r>
              <w:rPr>
                <w:sz w:val="19"/>
              </w:rPr>
              <w:t>Subtotal equipo interno</w:t>
            </w:r>
          </w:p>
        </w:tc>
        <w:tc>
          <w:tcPr>
            <w:tcW w:type="dxa" w:w="1304"/>
          </w:tcPr>
          <w:p>
            <w:pPr>
              <w:spacing w:after="40"/>
            </w:pPr>
            <w:r/>
            <w:r>
              <w:rPr>
                <w:sz w:val="19"/>
              </w:rPr>
            </w:r>
          </w:p>
        </w:tc>
        <w:tc>
          <w:tcPr>
            <w:tcW w:type="dxa" w:w="1020"/>
          </w:tcPr>
          <w:p>
            <w:pPr>
              <w:spacing w:after="40"/>
            </w:pPr>
            <w:r/>
            <w:r>
              <w:rPr>
                <w:sz w:val="19"/>
              </w:rPr>
            </w:r>
          </w:p>
        </w:tc>
        <w:tc>
          <w:tcPr>
            <w:tcW w:type="dxa" w:w="1020"/>
          </w:tcPr>
          <w:p>
            <w:pPr>
              <w:spacing w:after="40"/>
            </w:pPr>
            <w:r/>
            <w:r>
              <w:rPr>
                <w:sz w:val="19"/>
              </w:rPr>
            </w:r>
          </w:p>
        </w:tc>
        <w:tc>
          <w:tcPr>
            <w:tcW w:type="dxa" w:w="1020"/>
          </w:tcPr>
          <w:p>
            <w:pPr>
              <w:spacing w:after="40"/>
            </w:pPr>
            <w:r/>
            <w:r>
              <w:rPr>
                <w:sz w:val="19"/>
              </w:rPr>
              <w:t>1,194 h</w:t>
            </w:r>
          </w:p>
        </w:tc>
        <w:tc>
          <w:tcPr>
            <w:tcW w:type="dxa" w:w="1644"/>
          </w:tcPr>
          <w:p>
            <w:pPr>
              <w:spacing w:after="40"/>
            </w:pPr>
            <w:r/>
            <w:r>
              <w:rPr>
                <w:sz w:val="19"/>
              </w:rPr>
              <w:t>$278,926</w:t>
            </w:r>
          </w:p>
        </w:tc>
      </w:tr>
      <w:tr>
        <w:tc>
          <w:tcPr>
            <w:tcW w:type="dxa" w:w="3061"/>
          </w:tcPr>
          <w:p>
            <w:pPr>
              <w:spacing w:after="40"/>
            </w:pPr>
            <w:r/>
            <w:r>
              <w:rPr>
                <w:sz w:val="19"/>
              </w:rPr>
              <w:t>Asesor terapéutico externo</w:t>
            </w:r>
          </w:p>
        </w:tc>
        <w:tc>
          <w:tcPr>
            <w:tcW w:type="dxa" w:w="1304"/>
          </w:tcPr>
          <w:p>
            <w:pPr>
              <w:spacing w:after="40"/>
            </w:pPr>
            <w:r/>
            <w:r>
              <w:rPr>
                <w:sz w:val="19"/>
              </w:rPr>
              <w:t>$900</w:t>
            </w:r>
          </w:p>
        </w:tc>
        <w:tc>
          <w:tcPr>
            <w:tcW w:type="dxa" w:w="1020"/>
          </w:tcPr>
          <w:p>
            <w:pPr>
              <w:spacing w:after="40"/>
            </w:pPr>
            <w:r/>
            <w:r>
              <w:rPr>
                <w:sz w:val="19"/>
              </w:rPr>
              <w:t>por sesión</w:t>
            </w:r>
          </w:p>
        </w:tc>
        <w:tc>
          <w:tcPr>
            <w:tcW w:type="dxa" w:w="1020"/>
          </w:tcPr>
          <w:p>
            <w:pPr>
              <w:spacing w:after="40"/>
            </w:pPr>
            <w:r/>
            <w:r>
              <w:rPr>
                <w:sz w:val="19"/>
              </w:rPr>
              <w:t>—</w:t>
            </w:r>
          </w:p>
        </w:tc>
        <w:tc>
          <w:tcPr>
            <w:tcW w:type="dxa" w:w="1020"/>
          </w:tcPr>
          <w:p>
            <w:pPr>
              <w:spacing w:after="40"/>
            </w:pPr>
            <w:r/>
            <w:r>
              <w:rPr>
                <w:sz w:val="19"/>
              </w:rPr>
              <w:t>24 h</w:t>
            </w:r>
          </w:p>
        </w:tc>
        <w:tc>
          <w:tcPr>
            <w:tcW w:type="dxa" w:w="1644"/>
          </w:tcPr>
          <w:p>
            <w:pPr>
              <w:spacing w:after="40"/>
            </w:pPr>
            <w:r/>
            <w:r>
              <w:rPr>
                <w:sz w:val="19"/>
              </w:rPr>
              <w:t>$21,600</w:t>
            </w:r>
          </w:p>
        </w:tc>
      </w:tr>
      <w:tr>
        <w:tc>
          <w:tcPr>
            <w:tcW w:type="dxa" w:w="3061"/>
          </w:tcPr>
          <w:p>
            <w:pPr>
              <w:spacing w:after="40"/>
            </w:pPr>
            <w:r/>
            <w:r>
              <w:rPr>
                <w:sz w:val="19"/>
              </w:rPr>
              <w:t>Total de personal</w:t>
            </w:r>
          </w:p>
        </w:tc>
        <w:tc>
          <w:tcPr>
            <w:tcW w:type="dxa" w:w="1304"/>
          </w:tcPr>
          <w:p>
            <w:pPr>
              <w:spacing w:after="40"/>
            </w:pPr>
            <w:r/>
            <w:r>
              <w:rPr>
                <w:sz w:val="19"/>
              </w:rPr>
            </w:r>
          </w:p>
        </w:tc>
        <w:tc>
          <w:tcPr>
            <w:tcW w:type="dxa" w:w="1020"/>
          </w:tcPr>
          <w:p>
            <w:pPr>
              <w:spacing w:after="40"/>
            </w:pPr>
            <w:r/>
            <w:r>
              <w:rPr>
                <w:sz w:val="19"/>
              </w:rPr>
            </w:r>
          </w:p>
        </w:tc>
        <w:tc>
          <w:tcPr>
            <w:tcW w:type="dxa" w:w="1020"/>
          </w:tcPr>
          <w:p>
            <w:pPr>
              <w:spacing w:after="40"/>
            </w:pPr>
            <w:r/>
            <w:r>
              <w:rPr>
                <w:sz w:val="19"/>
              </w:rPr>
            </w:r>
          </w:p>
        </w:tc>
        <w:tc>
          <w:tcPr>
            <w:tcW w:type="dxa" w:w="1020"/>
          </w:tcPr>
          <w:p>
            <w:pPr>
              <w:spacing w:after="40"/>
            </w:pPr>
            <w:r/>
            <w:r>
              <w:rPr>
                <w:sz w:val="19"/>
              </w:rPr>
              <w:t>1,218 h</w:t>
            </w:r>
          </w:p>
        </w:tc>
        <w:tc>
          <w:tcPr>
            <w:tcW w:type="dxa" w:w="1644"/>
          </w:tcPr>
          <w:p>
            <w:pPr>
              <w:spacing w:after="40"/>
            </w:pPr>
            <w:r/>
            <w:r>
              <w:rPr>
                <w:sz w:val="19"/>
              </w:rPr>
              <w:t>$300,526</w:t>
            </w:r>
          </w:p>
        </w:tc>
      </w:tr>
    </w:tbl>
    <w:p>
      <w:pPr>
        <w:spacing w:after="40"/>
      </w:pPr>
    </w:p>
    <w:p>
      <w:pPr>
        <w:pStyle w:val="Heading2"/>
      </w:pPr>
      <w:r>
        <w:t>7.2 Costos no laborales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948"/>
          </w:tcPr>
          <w:p>
            <w:pPr>
              <w:spacing w:after="40"/>
              <w:jc w:val="center"/>
            </w:pPr>
            <w:r/>
            <w:r>
              <w:rPr>
                <w:b/>
                <w:sz w:val="19"/>
              </w:rPr>
              <w:t>Concepto</w:t>
            </w:r>
          </w:p>
        </w:tc>
        <w:tc>
          <w:tcPr>
            <w:tcW w:type="dxa" w:w="4535"/>
          </w:tcPr>
          <w:p>
            <w:pPr>
              <w:spacing w:after="40"/>
              <w:jc w:val="center"/>
            </w:pPr>
            <w:r/>
            <w:r>
              <w:rPr>
                <w:b/>
                <w:sz w:val="19"/>
              </w:rPr>
              <w:t>Detalle</w:t>
            </w:r>
          </w:p>
        </w:tc>
        <w:tc>
          <w:tcPr>
            <w:tcW w:type="dxa" w:w="1587"/>
          </w:tcPr>
          <w:p>
            <w:pPr>
              <w:spacing w:after="40"/>
              <w:jc w:val="center"/>
            </w:pPr>
            <w:r/>
            <w:r>
              <w:rPr>
                <w:b/>
                <w:sz w:val="19"/>
              </w:rPr>
              <w:t>Costo (MXN)</w:t>
            </w:r>
          </w:p>
        </w:tc>
      </w:tr>
      <w:tr>
        <w:tc>
          <w:tcPr>
            <w:tcW w:type="dxa" w:w="2948"/>
          </w:tcPr>
          <w:p>
            <w:pPr>
              <w:spacing w:after="40"/>
            </w:pPr>
            <w:r/>
            <w:r>
              <w:rPr>
                <w:sz w:val="19"/>
              </w:rPr>
              <w:t>Visor Meta Quest 3</w:t>
            </w:r>
          </w:p>
        </w:tc>
        <w:tc>
          <w:tcPr>
            <w:tcW w:type="dxa" w:w="4535"/>
          </w:tcPr>
          <w:p>
            <w:pPr>
              <w:spacing w:after="40"/>
            </w:pPr>
            <w:r/>
            <w:r>
              <w:rPr>
                <w:sz w:val="19"/>
              </w:rPr>
              <w:t>Equipo principal de desarrollo y pruebas</w:t>
            </w:r>
          </w:p>
        </w:tc>
        <w:tc>
          <w:tcPr>
            <w:tcW w:type="dxa" w:w="1587"/>
          </w:tcPr>
          <w:p>
            <w:pPr>
              <w:spacing w:after="40"/>
            </w:pPr>
            <w:r/>
            <w:r>
              <w:rPr>
                <w:sz w:val="19"/>
              </w:rPr>
              <w:t>$11,999</w:t>
            </w:r>
          </w:p>
        </w:tc>
      </w:tr>
      <w:tr>
        <w:tc>
          <w:tcPr>
            <w:tcW w:type="dxa" w:w="2948"/>
          </w:tcPr>
          <w:p>
            <w:pPr>
              <w:spacing w:after="40"/>
            </w:pPr>
            <w:r/>
            <w:r>
              <w:rPr>
                <w:sz w:val="19"/>
              </w:rPr>
              <w:t>Visor Meta Quest 3S</w:t>
            </w:r>
          </w:p>
        </w:tc>
        <w:tc>
          <w:tcPr>
            <w:tcW w:type="dxa" w:w="4535"/>
          </w:tcPr>
          <w:p>
            <w:pPr>
              <w:spacing w:after="40"/>
            </w:pPr>
            <w:r/>
            <w:r>
              <w:rPr>
                <w:sz w:val="19"/>
              </w:rPr>
              <w:t>Segundo equipo, para pruebas de compatibilidad y sesiones simultáneas</w:t>
            </w:r>
          </w:p>
        </w:tc>
        <w:tc>
          <w:tcPr>
            <w:tcW w:type="dxa" w:w="1587"/>
          </w:tcPr>
          <w:p>
            <w:pPr>
              <w:spacing w:after="40"/>
            </w:pPr>
            <w:r/>
            <w:r>
              <w:rPr>
                <w:sz w:val="19"/>
              </w:rPr>
              <w:t>$6,999</w:t>
            </w:r>
          </w:p>
        </w:tc>
      </w:tr>
      <w:tr>
        <w:tc>
          <w:tcPr>
            <w:tcW w:type="dxa" w:w="2948"/>
          </w:tcPr>
          <w:p>
            <w:pPr>
              <w:spacing w:after="40"/>
            </w:pPr>
            <w:r/>
            <w:r>
              <w:rPr>
                <w:sz w:val="19"/>
              </w:rPr>
              <w:t>Depreciación de equipo de cómputo</w:t>
            </w:r>
          </w:p>
        </w:tc>
        <w:tc>
          <w:tcPr>
            <w:tcW w:type="dxa" w:w="4535"/>
          </w:tcPr>
          <w:p>
            <w:pPr>
              <w:spacing w:after="40"/>
            </w:pPr>
            <w:r/>
            <w:r>
              <w:rPr>
                <w:sz w:val="19"/>
              </w:rPr>
              <w:t>Parte proporcional del uso de las estaciones de trabajo durante el periodo</w:t>
            </w:r>
          </w:p>
        </w:tc>
        <w:tc>
          <w:tcPr>
            <w:tcW w:type="dxa" w:w="1587"/>
          </w:tcPr>
          <w:p>
            <w:pPr>
              <w:spacing w:after="40"/>
            </w:pPr>
            <w:r/>
            <w:r>
              <w:rPr>
                <w:sz w:val="19"/>
              </w:rPr>
              <w:t>$8,000</w:t>
            </w:r>
          </w:p>
        </w:tc>
      </w:tr>
      <w:tr>
        <w:tc>
          <w:tcPr>
            <w:tcW w:type="dxa" w:w="2948"/>
          </w:tcPr>
          <w:p>
            <w:pPr>
              <w:spacing w:after="40"/>
            </w:pPr>
            <w:r/>
            <w:r>
              <w:rPr>
                <w:sz w:val="19"/>
              </w:rPr>
              <w:t>Periféricos y accesorios</w:t>
            </w:r>
          </w:p>
        </w:tc>
        <w:tc>
          <w:tcPr>
            <w:tcW w:type="dxa" w:w="4535"/>
          </w:tcPr>
          <w:p>
            <w:pPr>
              <w:spacing w:after="40"/>
            </w:pPr>
            <w:r/>
            <w:r>
              <w:rPr>
                <w:sz w:val="19"/>
              </w:rPr>
              <w:t>Cables, soportes, protectores faciales y baterías</w:t>
            </w:r>
          </w:p>
        </w:tc>
        <w:tc>
          <w:tcPr>
            <w:tcW w:type="dxa" w:w="1587"/>
          </w:tcPr>
          <w:p>
            <w:pPr>
              <w:spacing w:after="40"/>
            </w:pPr>
            <w:r/>
            <w:r>
              <w:rPr>
                <w:sz w:val="19"/>
              </w:rPr>
              <w:t>$2,500</w:t>
            </w:r>
          </w:p>
        </w:tc>
      </w:tr>
      <w:tr>
        <w:tc>
          <w:tcPr>
            <w:tcW w:type="dxa" w:w="2948"/>
          </w:tcPr>
          <w:p>
            <w:pPr>
              <w:spacing w:after="40"/>
            </w:pPr>
            <w:r/>
            <w:r>
              <w:rPr>
                <w:sz w:val="19"/>
              </w:rPr>
              <w:t>Recursos gráficos con licencia</w:t>
            </w:r>
          </w:p>
        </w:tc>
        <w:tc>
          <w:tcPr>
            <w:tcW w:type="dxa" w:w="4535"/>
          </w:tcPr>
          <w:p>
            <w:pPr>
              <w:spacing w:after="40"/>
            </w:pPr>
            <w:r/>
            <w:r>
              <w:rPr>
                <w:sz w:val="19"/>
              </w:rPr>
              <w:t>Modelos, texturas y materiales adquiridos</w:t>
            </w:r>
          </w:p>
        </w:tc>
        <w:tc>
          <w:tcPr>
            <w:tcW w:type="dxa" w:w="1587"/>
          </w:tcPr>
          <w:p>
            <w:pPr>
              <w:spacing w:after="40"/>
            </w:pPr>
            <w:r/>
            <w:r>
              <w:rPr>
                <w:sz w:val="19"/>
              </w:rPr>
              <w:t>$4,500</w:t>
            </w:r>
          </w:p>
        </w:tc>
      </w:tr>
      <w:tr>
        <w:tc>
          <w:tcPr>
            <w:tcW w:type="dxa" w:w="2948"/>
          </w:tcPr>
          <w:p>
            <w:pPr>
              <w:spacing w:after="40"/>
            </w:pPr>
            <w:r/>
            <w:r>
              <w:rPr>
                <w:sz w:val="19"/>
              </w:rPr>
              <w:t>Librería de muestras de audio</w:t>
            </w:r>
          </w:p>
        </w:tc>
        <w:tc>
          <w:tcPr>
            <w:tcW w:type="dxa" w:w="4535"/>
          </w:tcPr>
          <w:p>
            <w:pPr>
              <w:spacing w:after="40"/>
            </w:pPr>
            <w:r/>
            <w:r>
              <w:rPr>
                <w:sz w:val="19"/>
              </w:rPr>
              <w:t>Grabaciones de percusión con licencia de uso</w:t>
            </w:r>
          </w:p>
        </w:tc>
        <w:tc>
          <w:tcPr>
            <w:tcW w:type="dxa" w:w="1587"/>
          </w:tcPr>
          <w:p>
            <w:pPr>
              <w:spacing w:after="40"/>
            </w:pPr>
            <w:r/>
            <w:r>
              <w:rPr>
                <w:sz w:val="19"/>
              </w:rPr>
              <w:t>$3,000</w:t>
            </w:r>
          </w:p>
        </w:tc>
      </w:tr>
      <w:tr>
        <w:tc>
          <w:tcPr>
            <w:tcW w:type="dxa" w:w="2948"/>
          </w:tcPr>
          <w:p>
            <w:pPr>
              <w:spacing w:after="40"/>
            </w:pPr>
            <w:r/>
            <w:r>
              <w:rPr>
                <w:sz w:val="19"/>
              </w:rPr>
              <w:t>Traslados y logística</w:t>
            </w:r>
          </w:p>
        </w:tc>
        <w:tc>
          <w:tcPr>
            <w:tcW w:type="dxa" w:w="4535"/>
          </w:tcPr>
          <w:p>
            <w:pPr>
              <w:spacing w:after="40"/>
            </w:pPr>
            <w:r/>
            <w:r>
              <w:rPr>
                <w:sz w:val="19"/>
              </w:rPr>
              <w:t>Sesiones con el asesor terapéutico y pruebas con usuarios</w:t>
            </w:r>
          </w:p>
        </w:tc>
        <w:tc>
          <w:tcPr>
            <w:tcW w:type="dxa" w:w="1587"/>
          </w:tcPr>
          <w:p>
            <w:pPr>
              <w:spacing w:after="40"/>
            </w:pPr>
            <w:r/>
            <w:r>
              <w:rPr>
                <w:sz w:val="19"/>
              </w:rPr>
              <w:t>$6,000</w:t>
            </w:r>
          </w:p>
        </w:tc>
      </w:tr>
      <w:tr>
        <w:tc>
          <w:tcPr>
            <w:tcW w:type="dxa" w:w="2948"/>
          </w:tcPr>
          <w:p>
            <w:pPr>
              <w:spacing w:after="40"/>
            </w:pPr>
            <w:r/>
            <w:r>
              <w:rPr>
                <w:sz w:val="19"/>
              </w:rPr>
              <w:t>Consumibles e impresión</w:t>
            </w:r>
          </w:p>
        </w:tc>
        <w:tc>
          <w:tcPr>
            <w:tcW w:type="dxa" w:w="4535"/>
          </w:tcPr>
          <w:p>
            <w:pPr>
              <w:spacing w:after="40"/>
            </w:pPr>
            <w:r/>
            <w:r>
              <w:rPr>
                <w:sz w:val="19"/>
              </w:rPr>
              <w:t>Documentación, formatos de consentimiento y material de pruebas</w:t>
            </w:r>
          </w:p>
        </w:tc>
        <w:tc>
          <w:tcPr>
            <w:tcW w:type="dxa" w:w="1587"/>
          </w:tcPr>
          <w:p>
            <w:pPr>
              <w:spacing w:after="40"/>
            </w:pPr>
            <w:r/>
            <w:r>
              <w:rPr>
                <w:sz w:val="19"/>
              </w:rPr>
              <w:t>$1,500</w:t>
            </w:r>
          </w:p>
        </w:tc>
      </w:tr>
      <w:tr>
        <w:tc>
          <w:tcPr>
            <w:tcW w:type="dxa" w:w="2948"/>
          </w:tcPr>
          <w:p>
            <w:pPr>
              <w:spacing w:after="40"/>
            </w:pPr>
            <w:r/>
            <w:r>
              <w:rPr>
                <w:sz w:val="19"/>
              </w:rPr>
              <w:t>Servicios digitales</w:t>
            </w:r>
          </w:p>
        </w:tc>
        <w:tc>
          <w:tcPr>
            <w:tcW w:type="dxa" w:w="4535"/>
          </w:tcPr>
          <w:p>
            <w:pPr>
              <w:spacing w:after="40"/>
            </w:pPr>
            <w:r/>
            <w:r>
              <w:rPr>
                <w:sz w:val="19"/>
              </w:rPr>
              <w:t>Almacenamiento, control de versiones y herramientas de colaboración</w:t>
            </w:r>
          </w:p>
        </w:tc>
        <w:tc>
          <w:tcPr>
            <w:tcW w:type="dxa" w:w="1587"/>
          </w:tcPr>
          <w:p>
            <w:pPr>
              <w:spacing w:after="40"/>
            </w:pPr>
            <w:r/>
            <w:r>
              <w:rPr>
                <w:sz w:val="19"/>
              </w:rPr>
              <w:t>$2,250</w:t>
            </w:r>
          </w:p>
        </w:tc>
      </w:tr>
      <w:tr>
        <w:tc>
          <w:tcPr>
            <w:tcW w:type="dxa" w:w="2948"/>
          </w:tcPr>
          <w:p>
            <w:pPr>
              <w:spacing w:after="40"/>
            </w:pPr>
            <w:r/>
            <w:r>
              <w:rPr>
                <w:sz w:val="19"/>
              </w:rPr>
              <w:t>Imprevistos menores de operación</w:t>
            </w:r>
          </w:p>
        </w:tc>
        <w:tc>
          <w:tcPr>
            <w:tcW w:type="dxa" w:w="4535"/>
          </w:tcPr>
          <w:p>
            <w:pPr>
              <w:spacing w:after="40"/>
            </w:pPr>
            <w:r/>
            <w:r>
              <w:rPr>
                <w:sz w:val="19"/>
              </w:rPr>
              <w:t>Gastos operativos no clasificados</w:t>
            </w:r>
          </w:p>
        </w:tc>
        <w:tc>
          <w:tcPr>
            <w:tcW w:type="dxa" w:w="1587"/>
          </w:tcPr>
          <w:p>
            <w:pPr>
              <w:spacing w:after="40"/>
            </w:pPr>
            <w:r/>
            <w:r>
              <w:rPr>
                <w:sz w:val="19"/>
              </w:rPr>
              <w:t>$2,000</w:t>
            </w:r>
          </w:p>
        </w:tc>
      </w:tr>
      <w:tr>
        <w:tc>
          <w:tcPr>
            <w:tcW w:type="dxa" w:w="2948"/>
          </w:tcPr>
          <w:p>
            <w:pPr>
              <w:spacing w:after="40"/>
            </w:pPr>
            <w:r/>
            <w:r>
              <w:rPr>
                <w:sz w:val="19"/>
              </w:rPr>
              <w:t>Total de costos no laborales</w:t>
            </w:r>
          </w:p>
        </w:tc>
        <w:tc>
          <w:tcPr>
            <w:tcW w:type="dxa" w:w="4535"/>
          </w:tcPr>
          <w:p>
            <w:pPr>
              <w:spacing w:after="40"/>
            </w:pPr>
            <w:r/>
            <w:r>
              <w:rPr>
                <w:sz w:val="19"/>
              </w:rPr>
            </w:r>
          </w:p>
        </w:tc>
        <w:tc>
          <w:tcPr>
            <w:tcW w:type="dxa" w:w="1587"/>
          </w:tcPr>
          <w:p>
            <w:pPr>
              <w:spacing w:after="40"/>
            </w:pPr>
            <w:r/>
            <w:r>
              <w:rPr>
                <w:sz w:val="19"/>
              </w:rPr>
              <w:t>$48,748</w:t>
            </w:r>
          </w:p>
        </w:tc>
      </w:tr>
    </w:tbl>
    <w:p>
      <w:pPr>
        <w:spacing w:after="40"/>
      </w:pPr>
    </w:p>
    <w:p>
      <w:pPr>
        <w:pStyle w:val="Heading2"/>
      </w:pPr>
      <w:r>
        <w:t>7.3 Resumen del presupuesto</w:t>
      </w:r>
    </w:p>
    <w:tbl>
      <w:tblPr>
        <w:tblStyle w:val="TableGrid"/>
        <w:tblW w:type="auto" w:w="0"/>
        <w:jc w:val="center"/>
        <w:tblLayout w:type="fixed"/>
        <w:tblLook w:firstColumn="1" w:firstRow="1" w:lastColumn="0" w:lastRow="0" w:noHBand="0" w:noVBand="1" w:val="04A0"/>
      </w:tblPr>
      <w:tblGrid>
        <w:gridCol w:w="4703"/>
        <w:gridCol w:w="4703"/>
      </w:tblGrid>
      <w:tr>
        <w:tc>
          <w:tcPr>
            <w:tcW w:type="dxa" w:w="5669"/>
          </w:tcPr>
          <w:p>
            <w:pPr>
              <w:spacing w:after="40"/>
              <w:jc w:val="center"/>
            </w:pPr>
            <w:r/>
            <w:r>
              <w:rPr>
                <w:b/>
                <w:sz w:val="20"/>
              </w:rPr>
              <w:t>Concepto</w:t>
            </w:r>
          </w:p>
        </w:tc>
        <w:tc>
          <w:tcPr>
            <w:tcW w:type="dxa" w:w="3402"/>
          </w:tcPr>
          <w:p>
            <w:pPr>
              <w:spacing w:after="40"/>
              <w:jc w:val="center"/>
            </w:pPr>
            <w:r/>
            <w:r>
              <w:rPr>
                <w:b/>
                <w:sz w:val="20"/>
              </w:rPr>
              <w:t>Monto (MXN)</w:t>
            </w:r>
          </w:p>
        </w:tc>
      </w:tr>
      <w:tr>
        <w:tc>
          <w:tcPr>
            <w:tcW w:type="dxa" w:w="5669"/>
          </w:tcPr>
          <w:p>
            <w:pPr>
              <w:spacing w:after="40"/>
            </w:pPr>
            <w:r/>
            <w:r>
              <w:rPr>
                <w:sz w:val="20"/>
              </w:rPr>
              <w:t>Personal (equipo interno y asesor externo)</w:t>
            </w:r>
          </w:p>
        </w:tc>
        <w:tc>
          <w:tcPr>
            <w:tcW w:type="dxa" w:w="3402"/>
          </w:tcPr>
          <w:p>
            <w:pPr>
              <w:spacing w:after="40"/>
            </w:pPr>
            <w:r/>
            <w:r>
              <w:rPr>
                <w:sz w:val="20"/>
              </w:rPr>
              <w:t>$300,526</w:t>
            </w:r>
          </w:p>
        </w:tc>
      </w:tr>
      <w:tr>
        <w:tc>
          <w:tcPr>
            <w:tcW w:type="dxa" w:w="5669"/>
          </w:tcPr>
          <w:p>
            <w:pPr>
              <w:spacing w:after="40"/>
            </w:pPr>
            <w:r/>
            <w:r>
              <w:rPr>
                <w:sz w:val="20"/>
              </w:rPr>
              <w:t>Costos no laborales</w:t>
            </w:r>
          </w:p>
        </w:tc>
        <w:tc>
          <w:tcPr>
            <w:tcW w:type="dxa" w:w="3402"/>
          </w:tcPr>
          <w:p>
            <w:pPr>
              <w:spacing w:after="40"/>
            </w:pPr>
            <w:r/>
            <w:r>
              <w:rPr>
                <w:sz w:val="20"/>
              </w:rPr>
              <w:t>$48,748</w:t>
            </w:r>
          </w:p>
        </w:tc>
      </w:tr>
      <w:tr>
        <w:tc>
          <w:tcPr>
            <w:tcW w:type="dxa" w:w="5669"/>
          </w:tcPr>
          <w:p>
            <w:pPr>
              <w:spacing w:after="40"/>
            </w:pPr>
            <w:r/>
            <w:r>
              <w:rPr>
                <w:sz w:val="20"/>
              </w:rPr>
              <w:t>Subtotal de costos directos</w:t>
            </w:r>
          </w:p>
        </w:tc>
        <w:tc>
          <w:tcPr>
            <w:tcW w:type="dxa" w:w="3402"/>
          </w:tcPr>
          <w:p>
            <w:pPr>
              <w:spacing w:after="40"/>
            </w:pPr>
            <w:r/>
            <w:r>
              <w:rPr>
                <w:sz w:val="20"/>
              </w:rPr>
              <w:t>$349,274</w:t>
            </w:r>
          </w:p>
        </w:tc>
      </w:tr>
      <w:tr>
        <w:tc>
          <w:tcPr>
            <w:tcW w:type="dxa" w:w="5669"/>
          </w:tcPr>
          <w:p>
            <w:pPr>
              <w:spacing w:after="40"/>
            </w:pPr>
            <w:r/>
            <w:r>
              <w:rPr>
                <w:sz w:val="20"/>
              </w:rPr>
              <w:t>Reserva de contingencia (10 % de los costos directos)</w:t>
            </w:r>
          </w:p>
        </w:tc>
        <w:tc>
          <w:tcPr>
            <w:tcW w:type="dxa" w:w="3402"/>
          </w:tcPr>
          <w:p>
            <w:pPr>
              <w:spacing w:after="40"/>
            </w:pPr>
            <w:r/>
            <w:r>
              <w:rPr>
                <w:sz w:val="20"/>
              </w:rPr>
              <w:t>$34,927</w:t>
            </w:r>
          </w:p>
        </w:tc>
      </w:tr>
      <w:tr>
        <w:tc>
          <w:tcPr>
            <w:tcW w:type="dxa" w:w="5669"/>
          </w:tcPr>
          <w:p>
            <w:pPr>
              <w:spacing w:after="40"/>
            </w:pPr>
            <w:r/>
            <w:r>
              <w:rPr>
                <w:sz w:val="20"/>
              </w:rPr>
              <w:t>Presupuesto total del proyecto</w:t>
            </w:r>
          </w:p>
        </w:tc>
        <w:tc>
          <w:tcPr>
            <w:tcW w:type="dxa" w:w="3402"/>
          </w:tcPr>
          <w:p>
            <w:pPr>
              <w:spacing w:after="40"/>
            </w:pPr>
            <w:r/>
            <w:r>
              <w:rPr>
                <w:sz w:val="20"/>
              </w:rPr>
              <w:t>$384,201</w:t>
            </w:r>
          </w:p>
        </w:tc>
      </w:tr>
    </w:tbl>
    <w:p>
      <w:pPr>
        <w:spacing w:after="40"/>
      </w:pPr>
    </w:p>
    <w:p>
      <w:pPr>
        <w:spacing w:after="160"/>
        <w:jc w:val="both"/>
      </w:pPr>
      <w:r>
        <w:rPr>
          <w:b w:val="0"/>
          <w:i w:val="0"/>
        </w:rPr>
        <w:t>Diferencia respecto de la revisión 1: $75,799 menos, equivalente a una reducción del 16.5 %. La reducción proviene de calcular el esfuerzo real por rol en lugar de suponer dedicación completa, y de ajustar el periodo a las 11 semanas verificadas contra el cronograma.</w:t>
      </w:r>
    </w:p>
    <w:p>
      <w:pPr>
        <w:spacing w:after="160"/>
        <w:jc w:val="both"/>
      </w:pPr>
      <w:r>
        <w:rPr>
          <w:b w:val="0"/>
          <w:i w:val="0"/>
        </w:rPr>
        <w:t>La reserva de contingencia cubre desviaciones dentro del alcance aprobado. El riesgo con mayor impacto sobre el presupuesto es no alcanzar el umbral de latencia de 30 ms en el hito H2, lo que obligaría a revisar el alcance del sistema de audio; por eso ese hito se coloca en la segunda semana, cuando aún es posible reaccionar.</w:t>
      </w:r>
    </w:p>
    <w:p>
      <w:pPr>
        <w:pStyle w:val="Heading1"/>
      </w:pPr>
      <w:r>
        <w:t>8. Recurso externo requerido</w:t>
      </w:r>
    </w:p>
    <w:p>
      <w:pPr>
        <w:spacing w:after="160"/>
        <w:jc w:val="both"/>
      </w:pPr>
      <w:r>
        <w:rPr>
          <w:b w:val="0"/>
          <w:i w:val="0"/>
        </w:rPr>
        <w:t>El proyecto requiere un asesor terapéutico externo. Es un requisito y no una mejora opcional: sin validación profesional, las rutinas implementadas no pueden presentarse como terapéuticas y el proyecto regresaría al alcance de la revisión 1.</w:t>
      </w:r>
    </w:p>
    <w:tbl>
      <w:tblPr>
        <w:tblStyle w:val="TableGrid"/>
        <w:tblW w:type="auto" w:w="0"/>
        <w:jc w:val="center"/>
        <w:tblLayout w:type="fixed"/>
        <w:tblLook w:firstColumn="1" w:firstRow="1" w:lastColumn="0" w:lastRow="0" w:noHBand="0" w:noVBand="1" w:val="04A0"/>
      </w:tblPr>
      <w:tblGrid>
        <w:gridCol w:w="4703"/>
        <w:gridCol w:w="4703"/>
      </w:tblGrid>
      <w:tr>
        <w:tc>
          <w:tcPr>
            <w:tcW w:type="dxa" w:w="2041"/>
          </w:tcPr>
          <w:p>
            <w:pPr>
              <w:spacing w:after="40"/>
              <w:jc w:val="center"/>
            </w:pPr>
            <w:r/>
            <w:r>
              <w:rPr>
                <w:b/>
                <w:sz w:val="19"/>
              </w:rPr>
              <w:t>Aspecto</w:t>
            </w:r>
          </w:p>
        </w:tc>
        <w:tc>
          <w:tcPr>
            <w:tcW w:type="dxa" w:w="7030"/>
          </w:tcPr>
          <w:p>
            <w:pPr>
              <w:spacing w:after="40"/>
              <w:jc w:val="center"/>
            </w:pPr>
            <w:r/>
            <w:r>
              <w:rPr>
                <w:b/>
                <w:sz w:val="19"/>
              </w:rPr>
              <w:t>Definición</w:t>
            </w:r>
          </w:p>
        </w:tc>
      </w:tr>
      <w:tr>
        <w:tc>
          <w:tcPr>
            <w:tcW w:type="dxa" w:w="2041"/>
          </w:tcPr>
          <w:p>
            <w:pPr>
              <w:spacing w:after="40"/>
            </w:pPr>
            <w:r/>
            <w:r>
              <w:rPr>
                <w:sz w:val="19"/>
              </w:rPr>
              <w:t>Perfil requerido</w:t>
            </w:r>
          </w:p>
        </w:tc>
        <w:tc>
          <w:tcPr>
            <w:tcW w:type="dxa" w:w="7030"/>
          </w:tcPr>
          <w:p>
            <w:pPr>
              <w:spacing w:after="40"/>
            </w:pPr>
            <w:r/>
            <w:r>
              <w:rPr>
                <w:sz w:val="19"/>
              </w:rPr>
              <w:t>Fisioterapeuta, terapeuta ocupacional o musicoterapeuta con certificación vigente y experiencia en rehabilitación de miembro superior.</w:t>
            </w:r>
          </w:p>
        </w:tc>
      </w:tr>
      <w:tr>
        <w:tc>
          <w:tcPr>
            <w:tcW w:type="dxa" w:w="2041"/>
          </w:tcPr>
          <w:p>
            <w:pPr>
              <w:spacing w:after="40"/>
            </w:pPr>
            <w:r/>
            <w:r>
              <w:rPr>
                <w:sz w:val="19"/>
              </w:rPr>
              <w:t>Participación</w:t>
            </w:r>
          </w:p>
        </w:tc>
        <w:tc>
          <w:tcPr>
            <w:tcW w:type="dxa" w:w="7030"/>
          </w:tcPr>
          <w:p>
            <w:pPr>
              <w:spacing w:after="40"/>
            </w:pPr>
            <w:r/>
            <w:r>
              <w:rPr>
                <w:sz w:val="19"/>
              </w:rPr>
              <w:t>Cuatro sesiones de trabajo distribuidas a lo largo del proyecto, con un total estimado de 24 horas.</w:t>
            </w:r>
          </w:p>
        </w:tc>
      </w:tr>
      <w:tr>
        <w:tc>
          <w:tcPr>
            <w:tcW w:type="dxa" w:w="2041"/>
          </w:tcPr>
          <w:p>
            <w:pPr>
              <w:spacing w:after="40"/>
            </w:pPr>
            <w:r/>
            <w:r>
              <w:rPr>
                <w:sz w:val="19"/>
              </w:rPr>
              <w:t>Responsabilidades</w:t>
            </w:r>
          </w:p>
        </w:tc>
        <w:tc>
          <w:tcPr>
            <w:tcW w:type="dxa" w:w="7030"/>
          </w:tcPr>
          <w:p>
            <w:pPr>
              <w:spacing w:after="40"/>
            </w:pPr>
            <w:r/>
            <w:r>
              <w:rPr>
                <w:sz w:val="19"/>
              </w:rPr>
              <w:t>Validar las rutinas rítmicas, revisar las métricas motrices propuestas, aprobar el protocolo de sesión y el consentimiento informado, y emitir el dictamen de pertinencia terapéutica.</w:t>
            </w:r>
          </w:p>
        </w:tc>
      </w:tr>
      <w:tr>
        <w:tc>
          <w:tcPr>
            <w:tcW w:type="dxa" w:w="2041"/>
          </w:tcPr>
          <w:p>
            <w:pPr>
              <w:spacing w:after="40"/>
            </w:pPr>
            <w:r/>
            <w:r>
              <w:rPr>
                <w:sz w:val="19"/>
              </w:rPr>
              <w:t>Situación actual</w:t>
            </w:r>
          </w:p>
        </w:tc>
        <w:tc>
          <w:tcPr>
            <w:tcW w:type="dxa" w:w="7030"/>
          </w:tcPr>
          <w:p>
            <w:pPr>
              <w:spacing w:after="40"/>
            </w:pPr>
            <w:r/>
            <w:r>
              <w:rPr>
                <w:sz w:val="19"/>
              </w:rPr>
              <w:t>Gestión en curso a través del líder del equipo, con contacto identificado. Confirmación prevista para el 10 de septiembre de 2026.</w:t>
            </w:r>
          </w:p>
        </w:tc>
      </w:tr>
      <w:tr>
        <w:tc>
          <w:tcPr>
            <w:tcW w:type="dxa" w:w="2041"/>
          </w:tcPr>
          <w:p>
            <w:pPr>
              <w:spacing w:after="40"/>
            </w:pPr>
            <w:r/>
            <w:r>
              <w:rPr>
                <w:sz w:val="19"/>
              </w:rPr>
              <w:t>Plan alternativo</w:t>
            </w:r>
          </w:p>
        </w:tc>
        <w:tc>
          <w:tcPr>
            <w:tcW w:type="dxa" w:w="7030"/>
          </w:tcPr>
          <w:p>
            <w:pPr>
              <w:spacing w:after="40"/>
            </w:pPr>
            <w:r/>
            <w:r>
              <w:rPr>
                <w:sz w:val="19"/>
              </w:rPr>
              <w:t>Si la confirmación no se obtiene en la fecha prevista, el proyecto adopta protocolos publicados de musicoterapia neurológica, documenta la ausencia de validación externa como limitación explícita y ajusta las medidas de éxito 8 y 10.</w:t>
            </w:r>
          </w:p>
        </w:tc>
      </w:tr>
    </w:tbl>
    <w:p>
      <w:pPr>
        <w:spacing w:after="40"/>
      </w:pPr>
    </w:p>
    <w:p>
      <w:pPr>
        <w:pStyle w:val="Heading1"/>
      </w:pPr>
      <w:r>
        <w:t>9. Aprobación</w:t>
      </w:r>
    </w:p>
    <w:p>
      <w:pPr>
        <w:spacing w:after="160"/>
        <w:jc w:val="both"/>
      </w:pPr>
      <w:r>
        <w:rPr>
          <w:b w:val="0"/>
          <w:i w:val="0"/>
        </w:rPr>
        <w:t>Con la firma de este documento, el patrocinador autoriza el inicio del proyecto conforme al alcance, las fechas y el presupuesto aquí establecidos, y designa al equipo responsable de su ejecución.</w:t>
      </w:r>
    </w:p>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3061"/>
          </w:tcPr>
          <w:p>
            <w:pPr>
              <w:spacing w:after="40"/>
              <w:jc w:val="center"/>
            </w:pPr>
            <w:r/>
            <w:r>
              <w:rPr>
                <w:b/>
                <w:sz w:val="20"/>
              </w:rPr>
              <w:t>Nombre</w:t>
            </w:r>
          </w:p>
        </w:tc>
        <w:tc>
          <w:tcPr>
            <w:tcW w:type="dxa" w:w="2494"/>
          </w:tcPr>
          <w:p>
            <w:pPr>
              <w:spacing w:after="40"/>
              <w:jc w:val="center"/>
            </w:pPr>
            <w:r/>
            <w:r>
              <w:rPr>
                <w:b/>
                <w:sz w:val="20"/>
              </w:rPr>
              <w:t>Rol</w:t>
            </w:r>
          </w:p>
        </w:tc>
        <w:tc>
          <w:tcPr>
            <w:tcW w:type="dxa" w:w="2041"/>
          </w:tcPr>
          <w:p>
            <w:pPr>
              <w:spacing w:after="40"/>
              <w:jc w:val="center"/>
            </w:pPr>
            <w:r/>
            <w:r>
              <w:rPr>
                <w:b/>
                <w:sz w:val="20"/>
              </w:rPr>
              <w:t>Firma</w:t>
            </w:r>
          </w:p>
        </w:tc>
        <w:tc>
          <w:tcPr>
            <w:tcW w:type="dxa" w:w="1474"/>
          </w:tcPr>
          <w:p>
            <w:pPr>
              <w:spacing w:after="40"/>
              <w:jc w:val="center"/>
            </w:pPr>
            <w:r/>
            <w:r>
              <w:rPr>
                <w:b/>
                <w:sz w:val="20"/>
              </w:rPr>
              <w:t>Fecha</w:t>
            </w:r>
          </w:p>
        </w:tc>
      </w:tr>
      <w:tr>
        <w:tc>
          <w:tcPr>
            <w:tcW w:type="dxa" w:w="3061"/>
          </w:tcPr>
          <w:p>
            <w:pPr>
              <w:spacing w:after="40"/>
            </w:pPr>
            <w:r/>
            <w:r>
              <w:rPr>
                <w:sz w:val="20"/>
              </w:rPr>
              <w:t>Dra. Leticia Amalia Neira Tovar</w:t>
            </w:r>
          </w:p>
        </w:tc>
        <w:tc>
          <w:tcPr>
            <w:tcW w:type="dxa" w:w="2494"/>
          </w:tcPr>
          <w:p>
            <w:pPr>
              <w:spacing w:after="40"/>
            </w:pPr>
            <w:r/>
            <w:r>
              <w:rPr>
                <w:sz w:val="20"/>
              </w:rPr>
              <w:t>Patrocinadora del proyecto</w:t>
            </w:r>
          </w:p>
        </w:tc>
        <w:tc>
          <w:tcPr>
            <w:tcW w:type="dxa" w:w="2041"/>
          </w:tcPr>
          <w:p>
            <w:pPr>
              <w:spacing w:after="40"/>
            </w:pPr>
            <w:r/>
            <w:r>
              <w:rPr>
                <w:sz w:val="20"/>
              </w:rPr>
            </w:r>
          </w:p>
        </w:tc>
        <w:tc>
          <w:tcPr>
            <w:tcW w:type="dxa" w:w="1474"/>
          </w:tcPr>
          <w:p>
            <w:pPr>
              <w:spacing w:after="40"/>
            </w:pPr>
            <w:r/>
            <w:r>
              <w:rPr>
                <w:sz w:val="20"/>
              </w:rPr>
            </w:r>
          </w:p>
        </w:tc>
      </w:tr>
      <w:tr>
        <w:tc>
          <w:tcPr>
            <w:tcW w:type="dxa" w:w="3061"/>
          </w:tcPr>
          <w:p>
            <w:pPr>
              <w:spacing w:after="40"/>
            </w:pPr>
            <w:r/>
            <w:r>
              <w:rPr>
                <w:sz w:val="20"/>
              </w:rPr>
            </w:r>
          </w:p>
        </w:tc>
        <w:tc>
          <w:tcPr>
            <w:tcW w:type="dxa" w:w="2494"/>
          </w:tcPr>
          <w:p>
            <w:pPr>
              <w:spacing w:after="40"/>
            </w:pPr>
            <w:r/>
            <w:r>
              <w:rPr>
                <w:sz w:val="20"/>
              </w:rPr>
              <w:t>Director de proyecto</w:t>
            </w:r>
          </w:p>
        </w:tc>
        <w:tc>
          <w:tcPr>
            <w:tcW w:type="dxa" w:w="2041"/>
          </w:tcPr>
          <w:p>
            <w:pPr>
              <w:spacing w:after="40"/>
            </w:pPr>
            <w:r/>
            <w:r>
              <w:rPr>
                <w:sz w:val="20"/>
              </w:rPr>
            </w:r>
          </w:p>
        </w:tc>
        <w:tc>
          <w:tcPr>
            <w:tcW w:type="dxa" w:w="1474"/>
          </w:tcPr>
          <w:p>
            <w:pPr>
              <w:spacing w:after="40"/>
            </w:pPr>
            <w:r/>
            <w:r>
              <w:rPr>
                <w:sz w:val="20"/>
              </w:rPr>
            </w:r>
          </w:p>
        </w:tc>
      </w:tr>
      <w:tr>
        <w:tc>
          <w:tcPr>
            <w:tcW w:type="dxa" w:w="3061"/>
          </w:tcPr>
          <w:p>
            <w:pPr>
              <w:spacing w:after="40"/>
            </w:pPr>
            <w:r/>
            <w:r>
              <w:rPr>
                <w:sz w:val="20"/>
              </w:rPr>
            </w:r>
          </w:p>
        </w:tc>
        <w:tc>
          <w:tcPr>
            <w:tcW w:type="dxa" w:w="2494"/>
          </w:tcPr>
          <w:p>
            <w:pPr>
              <w:spacing w:after="40"/>
            </w:pPr>
            <w:r/>
            <w:r>
              <w:rPr>
                <w:sz w:val="20"/>
              </w:rPr>
              <w:t>Gerente de proyecto</w:t>
            </w:r>
          </w:p>
        </w:tc>
        <w:tc>
          <w:tcPr>
            <w:tcW w:type="dxa" w:w="2041"/>
          </w:tcPr>
          <w:p>
            <w:pPr>
              <w:spacing w:after="40"/>
            </w:pPr>
            <w:r/>
            <w:r>
              <w:rPr>
                <w:sz w:val="20"/>
              </w:rPr>
            </w:r>
          </w:p>
        </w:tc>
        <w:tc>
          <w:tcPr>
            <w:tcW w:type="dxa" w:w="1474"/>
          </w:tcPr>
          <w:p>
            <w:pPr>
              <w:spacing w:after="40"/>
            </w:pPr>
            <w:r/>
            <w:r>
              <w:rPr>
                <w:sz w:val="20"/>
              </w:rPr>
            </w:r>
          </w:p>
        </w:tc>
      </w:tr>
    </w:tbl>
    <w:p>
      <w:pPr>
        <w:spacing w:after="4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