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sz w:val="24"/>
        </w:rPr>
        <w:t>UNIVERSIDAD AUTÓNOMA DE NUEVO LEÓN</w:t>
      </w:r>
    </w:p>
    <w:p>
      <w:pPr>
        <w:spacing w:after="600"/>
        <w:jc w:val="center"/>
      </w:pPr>
      <w:r>
        <w:rPr>
          <w:b/>
          <w:i w:val="0"/>
          <w:sz w:val="22"/>
        </w:rPr>
        <w:t>FACULTAD DE INGENIERÍA MECÁNICA Y ELÉCTRICA</w:t>
      </w:r>
    </w:p>
    <w:p>
      <w:pPr>
        <w:spacing w:after="120"/>
        <w:jc w:val="center"/>
      </w:pPr>
      <w:r>
        <w:rPr>
          <w:b/>
          <w:i w:val="0"/>
          <w:sz w:val="36"/>
        </w:rPr>
        <w:t>PLAN DE GESTIÓN DE LA CALIDAD</w:t>
        <w:br/>
        <w:t>Y PLAN DE GESTIÓN DE LOS RIESGOS</w:t>
      </w:r>
    </w:p>
    <w:p>
      <w:pPr>
        <w:spacing w:after="80"/>
        <w:jc w:val="center"/>
      </w:pPr>
      <w:r>
        <w:rPr>
          <w:b w:val="0"/>
          <w:i w:val="0"/>
          <w:sz w:val="24"/>
        </w:rPr>
        <w:t>Simulación VR de batería con juego de ritmo</w:t>
      </w:r>
    </w:p>
    <w:p>
      <w:pPr>
        <w:spacing w:after="480"/>
        <w:jc w:val="center"/>
      </w:pPr>
      <w:r>
        <w:rPr>
          <w:b w:val="0"/>
          <w:i/>
          <w:sz w:val="21"/>
        </w:rPr>
        <w:t>Con una revisión de las certificaciones en dirección de proyectos</w:t>
      </w:r>
    </w:p>
    <w:tbl>
      <w:tblPr>
        <w:tblStyle w:val="TableGrid"/>
        <w:tblW w:type="auto" w:w="0"/>
        <w:jc w:val="center"/>
        <w:tblLayout w:type="fixed"/>
        <w:tblLook w:firstColumn="1" w:firstRow="1" w:lastColumn="0" w:lastRow="0" w:noHBand="0" w:noVBand="1" w:val="04A0"/>
      </w:tblPr>
      <w:tblGrid>
        <w:gridCol w:w="4703"/>
        <w:gridCol w:w="4703"/>
      </w:tblGrid>
      <w:tr>
        <w:tc>
          <w:tcPr>
            <w:tcW w:type="dxa" w:w="2551"/>
          </w:tcPr>
          <w:p>
            <w:pPr>
              <w:spacing w:after="40"/>
              <w:jc w:val="center"/>
            </w:pPr>
            <w:r/>
            <w:r>
              <w:rPr>
                <w:b/>
                <w:sz w:val="20"/>
              </w:rPr>
              <w:t>Campo</w:t>
            </w:r>
          </w:p>
        </w:tc>
        <w:tc>
          <w:tcPr>
            <w:tcW w:type="dxa" w:w="6236"/>
          </w:tcPr>
          <w:p>
            <w:pPr>
              <w:spacing w:after="40"/>
              <w:jc w:val="center"/>
            </w:pPr>
            <w:r/>
            <w:r>
              <w:rPr>
                <w:b/>
                <w:sz w:val="20"/>
              </w:rPr>
              <w:t>Dato</w:t>
            </w:r>
          </w:p>
        </w:tc>
      </w:tr>
      <w:tr>
        <w:tc>
          <w:tcPr>
            <w:tcW w:type="dxa" w:w="2551"/>
          </w:tcPr>
          <w:p>
            <w:pPr>
              <w:spacing w:after="40"/>
            </w:pPr>
            <w:r/>
            <w:r>
              <w:rPr>
                <w:sz w:val="20"/>
              </w:rPr>
              <w:t>Unidad de aprendizaje</w:t>
            </w:r>
          </w:p>
        </w:tc>
        <w:tc>
          <w:tcPr>
            <w:tcW w:type="dxa" w:w="6236"/>
          </w:tcPr>
          <w:p>
            <w:pPr>
              <w:spacing w:after="40"/>
            </w:pPr>
            <w:r/>
            <w:r>
              <w:rPr>
                <w:sz w:val="20"/>
              </w:rPr>
              <w:t>Administración de Proyectos de Software</w:t>
            </w:r>
          </w:p>
        </w:tc>
      </w:tr>
      <w:tr>
        <w:tc>
          <w:tcPr>
            <w:tcW w:type="dxa" w:w="2551"/>
          </w:tcPr>
          <w:p>
            <w:pPr>
              <w:spacing w:after="40"/>
            </w:pPr>
            <w:r/>
            <w:r>
              <w:rPr>
                <w:sz w:val="20"/>
              </w:rPr>
              <w:t>Docente</w:t>
            </w:r>
          </w:p>
        </w:tc>
        <w:tc>
          <w:tcPr>
            <w:tcW w:type="dxa" w:w="6236"/>
          </w:tcPr>
          <w:p>
            <w:pPr>
              <w:spacing w:after="40"/>
            </w:pPr>
            <w:r/>
            <w:r>
              <w:rPr>
                <w:sz w:val="20"/>
              </w:rPr>
              <w:t>Dra. Leticia Amalia Neira Tovar</w:t>
            </w:r>
          </w:p>
        </w:tc>
      </w:tr>
      <w:tr>
        <w:tc>
          <w:tcPr>
            <w:tcW w:type="dxa" w:w="2551"/>
          </w:tcPr>
          <w:p>
            <w:pPr>
              <w:spacing w:after="40"/>
            </w:pPr>
            <w:r/>
            <w:r>
              <w:rPr>
                <w:sz w:val="20"/>
              </w:rPr>
              <w:t>Equipo</w:t>
            </w:r>
          </w:p>
        </w:tc>
        <w:tc>
          <w:tcPr>
            <w:tcW w:type="dxa" w:w="6236"/>
          </w:tcPr>
          <w:p>
            <w:pPr>
              <w:spacing w:after="40"/>
            </w:pPr>
            <w:r/>
            <w:r>
              <w:rPr>
                <w:sz w:val="20"/>
              </w:rPr>
              <w:t>Equipo A</w:t>
            </w:r>
          </w:p>
        </w:tc>
      </w:tr>
      <w:tr>
        <w:tc>
          <w:tcPr>
            <w:tcW w:type="dxa" w:w="2551"/>
          </w:tcPr>
          <w:p>
            <w:pPr>
              <w:spacing w:after="40"/>
            </w:pPr>
            <w:r/>
            <w:r>
              <w:rPr>
                <w:sz w:val="20"/>
              </w:rPr>
              <w:t>Marco de referencia</w:t>
            </w:r>
          </w:p>
        </w:tc>
        <w:tc>
          <w:tcPr>
            <w:tcW w:type="dxa" w:w="6236"/>
          </w:tcPr>
          <w:p>
            <w:pPr>
              <w:spacing w:after="40"/>
            </w:pPr>
            <w:r/>
            <w:r>
              <w:rPr>
                <w:sz w:val="20"/>
              </w:rPr>
              <w:t>Guía PMBOK: áreas 8 Calidad y 11 Riesgos</w:t>
            </w:r>
          </w:p>
        </w:tc>
      </w:tr>
      <w:tr>
        <w:tc>
          <w:tcPr>
            <w:tcW w:type="dxa" w:w="2551"/>
          </w:tcPr>
          <w:p>
            <w:pPr>
              <w:spacing w:after="40"/>
            </w:pPr>
            <w:r/>
            <w:r>
              <w:rPr>
                <w:sz w:val="20"/>
              </w:rPr>
              <w:t>Documento complementario</w:t>
            </w:r>
          </w:p>
        </w:tc>
        <w:tc>
          <w:tcPr>
            <w:tcW w:type="dxa" w:w="6236"/>
          </w:tcPr>
          <w:p>
            <w:pPr>
              <w:spacing w:after="40"/>
            </w:pPr>
            <w:r/>
            <w:r>
              <w:rPr>
                <w:sz w:val="20"/>
              </w:rPr>
              <w:t>Análisis de Costos, Calidad y Riesgos</w:t>
            </w:r>
          </w:p>
        </w:tc>
      </w:tr>
      <w:tr>
        <w:tc>
          <w:tcPr>
            <w:tcW w:type="dxa" w:w="2551"/>
          </w:tcPr>
          <w:p>
            <w:pPr>
              <w:spacing w:after="40"/>
            </w:pPr>
            <w:r/>
            <w:r>
              <w:rPr>
                <w:sz w:val="20"/>
              </w:rPr>
              <w:t>Fecha</w:t>
            </w:r>
          </w:p>
        </w:tc>
        <w:tc>
          <w:tcPr>
            <w:tcW w:type="dxa" w:w="6236"/>
          </w:tcPr>
          <w:p>
            <w:pPr>
              <w:spacing w:after="40"/>
            </w:pPr>
            <w:r/>
            <w:r>
              <w:rPr>
                <w:sz w:val="20"/>
              </w:rPr>
              <w:t>11 de septiembre de 2026</w:t>
            </w:r>
          </w:p>
        </w:tc>
      </w:tr>
    </w:tbl>
    <w:p>
      <w:pPr>
        <w:spacing w:after="40"/>
      </w:pPr>
    </w:p>
    <w:p>
      <w:r>
        <w:br w:type="page"/>
      </w:r>
    </w:p>
    <w:p>
      <w:pPr>
        <w:pStyle w:val="Heading1"/>
      </w:pPr>
      <w:r>
        <w:t>Nota sobre este documento</w:t>
      </w:r>
    </w:p>
    <w:p>
      <w:pPr>
        <w:spacing w:after="160"/>
        <w:jc w:val="both"/>
      </w:pPr>
      <w:r>
        <w:rPr>
          <w:b w:val="0"/>
          <w:i w:val="0"/>
        </w:rPr>
        <w:t>Este documento contiene los dos planes de gestión: define políticas, roles, procesos y umbrales. El análisis numérico que los sustenta, es decir el costo de la calidad y el valor monetario esperado de los riesgos, está en el documento «Análisis de Costos, Calidad y Riesgos» y no se repite aquí.</w:t>
      </w:r>
    </w:p>
    <w:p>
      <w:pPr>
        <w:spacing w:after="160"/>
        <w:jc w:val="both"/>
      </w:pPr>
      <w:r>
        <w:rPr>
          <w:b w:val="0"/>
          <w:i w:val="0"/>
        </w:rPr>
        <w:t>Se agrega al final una revisión de las certificaciones profesionales en dirección de proyectos, por solicitud de la docente.</w:t>
      </w:r>
    </w:p>
    <w:p>
      <w:r>
        <w:br w:type="page"/>
      </w:r>
    </w:p>
    <w:p>
      <w:pPr>
        <w:pStyle w:val="Heading1"/>
      </w:pPr>
      <w:r>
        <w:t>PARTE I. PLAN DE GESTIÓN DE LA CALIDAD</w:t>
      </w:r>
    </w:p>
    <w:p>
      <w:pPr>
        <w:pStyle w:val="Heading2"/>
      </w:pPr>
      <w:r>
        <w:t>1. Política de calidad</w:t>
      </w:r>
    </w:p>
    <w:p>
      <w:pPr>
        <w:spacing w:after="160"/>
        <w:jc w:val="both"/>
      </w:pPr>
      <w:r>
        <w:rPr>
          <w:b w:val="0"/>
          <w:i w:val="0"/>
        </w:rPr>
        <w:t>El equipo se compromete a que cada entregable cumpla un criterio de aceptación definido antes de comenzar a producirlo, y a que ningún entregable se dé por terminado sin que otra persona distinta de quien lo produjo haya verificado ese criterio.</w:t>
      </w:r>
    </w:p>
    <w:p>
      <w:pPr>
        <w:spacing w:after="160"/>
        <w:jc w:val="both"/>
      </w:pPr>
      <w:r>
        <w:rPr>
          <w:b w:val="0"/>
          <w:i w:val="0"/>
        </w:rPr>
        <w:t>La política se apoya en dos principios de la guía PMBOK. El primero es que la calidad se planifica, no se inspecciona: es más barato prevenir un defecto que corregirlo, como confirma el análisis del costo de la calidad. El segundo es que la calidad es responsabilidad de todo el equipo, no de una persona designada.</w:t>
      </w:r>
    </w:p>
    <w:p>
      <w:pPr>
        <w:pStyle w:val="Heading2"/>
      </w:pPr>
      <w:r>
        <w:t>2. Objetivos de calidad del proyecto</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510"/>
          </w:tcPr>
          <w:p>
            <w:pPr>
              <w:spacing w:after="40"/>
              <w:jc w:val="center"/>
            </w:pPr>
            <w:r/>
            <w:r>
              <w:rPr>
                <w:b/>
                <w:sz w:val="19"/>
              </w:rPr>
              <w:t>#</w:t>
            </w:r>
          </w:p>
        </w:tc>
        <w:tc>
          <w:tcPr>
            <w:tcW w:type="dxa" w:w="5159"/>
          </w:tcPr>
          <w:p>
            <w:pPr>
              <w:spacing w:after="40"/>
              <w:jc w:val="center"/>
            </w:pPr>
            <w:r/>
            <w:r>
              <w:rPr>
                <w:b/>
                <w:sz w:val="19"/>
              </w:rPr>
              <w:t>Objetivo</w:t>
            </w:r>
          </w:p>
        </w:tc>
        <w:tc>
          <w:tcPr>
            <w:tcW w:type="dxa" w:w="3402"/>
          </w:tcPr>
          <w:p>
            <w:pPr>
              <w:spacing w:after="40"/>
              <w:jc w:val="center"/>
            </w:pPr>
            <w:r/>
            <w:r>
              <w:rPr>
                <w:b/>
                <w:sz w:val="19"/>
              </w:rPr>
              <w:t>Métrica asociada</w:t>
            </w:r>
          </w:p>
        </w:tc>
      </w:tr>
      <w:tr>
        <w:tc>
          <w:tcPr>
            <w:tcW w:type="dxa" w:w="510"/>
          </w:tcPr>
          <w:p>
            <w:pPr>
              <w:spacing w:after="40"/>
            </w:pPr>
            <w:r/>
            <w:r>
              <w:rPr>
                <w:sz w:val="19"/>
              </w:rPr>
              <w:t>OC1</w:t>
            </w:r>
          </w:p>
        </w:tc>
        <w:tc>
          <w:tcPr>
            <w:tcW w:type="dxa" w:w="5159"/>
          </w:tcPr>
          <w:p>
            <w:pPr>
              <w:spacing w:after="40"/>
            </w:pPr>
            <w:r/>
            <w:r>
              <w:rPr>
                <w:sz w:val="19"/>
              </w:rPr>
              <w:t>El prototipo responde con inmediatez suficiente para que el golpe se perciba causal.</w:t>
            </w:r>
          </w:p>
        </w:tc>
        <w:tc>
          <w:tcPr>
            <w:tcW w:type="dxa" w:w="3402"/>
          </w:tcPr>
          <w:p>
            <w:pPr>
              <w:spacing w:after="40"/>
            </w:pPr>
            <w:r/>
            <w:r>
              <w:rPr>
                <w:sz w:val="19"/>
              </w:rPr>
              <w:t>Latencia entre golpe y sonido</w:t>
            </w:r>
          </w:p>
        </w:tc>
      </w:tr>
      <w:tr>
        <w:tc>
          <w:tcPr>
            <w:tcW w:type="dxa" w:w="510"/>
          </w:tcPr>
          <w:p>
            <w:pPr>
              <w:spacing w:after="40"/>
            </w:pPr>
            <w:r/>
            <w:r>
              <w:rPr>
                <w:sz w:val="19"/>
              </w:rPr>
              <w:t>OC2</w:t>
            </w:r>
          </w:p>
        </w:tc>
        <w:tc>
          <w:tcPr>
            <w:tcW w:type="dxa" w:w="5159"/>
          </w:tcPr>
          <w:p>
            <w:pPr>
              <w:spacing w:after="40"/>
            </w:pPr>
            <w:r/>
            <w:r>
              <w:rPr>
                <w:sz w:val="19"/>
              </w:rPr>
              <w:t>El sistema identifica correctamente el componente golpeado.</w:t>
            </w:r>
          </w:p>
        </w:tc>
        <w:tc>
          <w:tcPr>
            <w:tcW w:type="dxa" w:w="3402"/>
          </w:tcPr>
          <w:p>
            <w:pPr>
              <w:spacing w:after="40"/>
            </w:pPr>
            <w:r/>
            <w:r>
              <w:rPr>
                <w:sz w:val="19"/>
              </w:rPr>
              <w:t>Tasa de acierto en la detección</w:t>
            </w:r>
          </w:p>
        </w:tc>
      </w:tr>
      <w:tr>
        <w:tc>
          <w:tcPr>
            <w:tcW w:type="dxa" w:w="510"/>
          </w:tcPr>
          <w:p>
            <w:pPr>
              <w:spacing w:after="40"/>
            </w:pPr>
            <w:r/>
            <w:r>
              <w:rPr>
                <w:sz w:val="19"/>
              </w:rPr>
              <w:t>OC3</w:t>
            </w:r>
          </w:p>
        </w:tc>
        <w:tc>
          <w:tcPr>
            <w:tcW w:type="dxa" w:w="5159"/>
          </w:tcPr>
          <w:p>
            <w:pPr>
              <w:spacing w:after="40"/>
            </w:pPr>
            <w:r/>
            <w:r>
              <w:rPr>
                <w:sz w:val="19"/>
              </w:rPr>
              <w:t>La experiencia se ejecuta con fluidez en el visor objetivo.</w:t>
            </w:r>
          </w:p>
        </w:tc>
        <w:tc>
          <w:tcPr>
            <w:tcW w:type="dxa" w:w="3402"/>
          </w:tcPr>
          <w:p>
            <w:pPr>
              <w:spacing w:after="40"/>
            </w:pPr>
            <w:r/>
            <w:r>
              <w:rPr>
                <w:sz w:val="19"/>
              </w:rPr>
              <w:t>Cuadros por segundo sostenidos</w:t>
            </w:r>
          </w:p>
        </w:tc>
      </w:tr>
      <w:tr>
        <w:tc>
          <w:tcPr>
            <w:tcW w:type="dxa" w:w="510"/>
          </w:tcPr>
          <w:p>
            <w:pPr>
              <w:spacing w:after="40"/>
            </w:pPr>
            <w:r/>
            <w:r>
              <w:rPr>
                <w:sz w:val="19"/>
              </w:rPr>
              <w:t>OC4</w:t>
            </w:r>
          </w:p>
        </w:tc>
        <w:tc>
          <w:tcPr>
            <w:tcW w:type="dxa" w:w="5159"/>
          </w:tcPr>
          <w:p>
            <w:pPr>
              <w:spacing w:after="40"/>
            </w:pPr>
            <w:r/>
            <w:r>
              <w:rPr>
                <w:sz w:val="19"/>
              </w:rPr>
              <w:t>El uso del simulador no produce molestia física.</w:t>
            </w:r>
          </w:p>
        </w:tc>
        <w:tc>
          <w:tcPr>
            <w:tcW w:type="dxa" w:w="3402"/>
          </w:tcPr>
          <w:p>
            <w:pPr>
              <w:spacing w:after="40"/>
            </w:pPr>
            <w:r/>
            <w:r>
              <w:rPr>
                <w:sz w:val="19"/>
              </w:rPr>
              <w:t>Incidencia de mareo o fatiga</w:t>
            </w:r>
          </w:p>
        </w:tc>
      </w:tr>
      <w:tr>
        <w:tc>
          <w:tcPr>
            <w:tcW w:type="dxa" w:w="510"/>
          </w:tcPr>
          <w:p>
            <w:pPr>
              <w:spacing w:after="40"/>
            </w:pPr>
            <w:r/>
            <w:r>
              <w:rPr>
                <w:sz w:val="19"/>
              </w:rPr>
              <w:t>OC5</w:t>
            </w:r>
          </w:p>
        </w:tc>
        <w:tc>
          <w:tcPr>
            <w:tcW w:type="dxa" w:w="5159"/>
          </w:tcPr>
          <w:p>
            <w:pPr>
              <w:spacing w:after="40"/>
            </w:pPr>
            <w:r/>
            <w:r>
              <w:rPr>
                <w:sz w:val="19"/>
              </w:rPr>
              <w:t>Cada entregable cumple su criterio de aceptación.</w:t>
            </w:r>
          </w:p>
        </w:tc>
        <w:tc>
          <w:tcPr>
            <w:tcW w:type="dxa" w:w="3402"/>
          </w:tcPr>
          <w:p>
            <w:pPr>
              <w:spacing w:after="40"/>
            </w:pPr>
            <w:r/>
            <w:r>
              <w:rPr>
                <w:sz w:val="19"/>
              </w:rPr>
              <w:t>Porcentaje de paquetes aceptados a la primera</w:t>
            </w:r>
          </w:p>
        </w:tc>
      </w:tr>
      <w:tr>
        <w:tc>
          <w:tcPr>
            <w:tcW w:type="dxa" w:w="510"/>
          </w:tcPr>
          <w:p>
            <w:pPr>
              <w:spacing w:after="40"/>
            </w:pPr>
            <w:r/>
            <w:r>
              <w:rPr>
                <w:sz w:val="19"/>
              </w:rPr>
              <w:t>OC6</w:t>
            </w:r>
          </w:p>
        </w:tc>
        <w:tc>
          <w:tcPr>
            <w:tcW w:type="dxa" w:w="5159"/>
          </w:tcPr>
          <w:p>
            <w:pPr>
              <w:spacing w:after="40"/>
            </w:pPr>
            <w:r/>
            <w:r>
              <w:rPr>
                <w:sz w:val="19"/>
              </w:rPr>
              <w:t>La documentación permite que un tercero instale y opere el sistema.</w:t>
            </w:r>
          </w:p>
        </w:tc>
        <w:tc>
          <w:tcPr>
            <w:tcW w:type="dxa" w:w="3402"/>
          </w:tcPr>
          <w:p>
            <w:pPr>
              <w:spacing w:after="40"/>
            </w:pPr>
            <w:r/>
            <w:r>
              <w:rPr>
                <w:sz w:val="19"/>
              </w:rPr>
              <w:t>Prueba de instalación por una persona ajena al equipo</w:t>
            </w:r>
          </w:p>
        </w:tc>
      </w:tr>
    </w:tbl>
    <w:p>
      <w:pPr>
        <w:spacing w:after="40"/>
      </w:pPr>
    </w:p>
    <w:p>
      <w:pPr>
        <w:pStyle w:val="Heading2"/>
      </w:pPr>
      <w:r>
        <w:t>3. Métricas de calidad</w:t>
      </w:r>
    </w:p>
    <w:p>
      <w:pPr>
        <w:spacing w:after="160"/>
        <w:jc w:val="both"/>
      </w:pPr>
      <w:r>
        <w:rPr>
          <w:b w:val="0"/>
          <w:i w:val="0"/>
        </w:rPr>
        <w:t>Cada métrica indica qué se mide, con qué umbral, cómo y cuándo. Una métrica sin umbral y sin método de medición no permite decidir si algo se acepta o se rechaza.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928"/>
          </w:tcPr>
          <w:p>
            <w:pPr>
              <w:spacing w:after="40"/>
              <w:jc w:val="center"/>
            </w:pPr>
            <w:r/>
            <w:r>
              <w:rPr>
                <w:b/>
                <w:sz w:val="17"/>
              </w:rPr>
              <w:t>Métrica</w:t>
            </w:r>
          </w:p>
        </w:tc>
        <w:tc>
          <w:tcPr>
            <w:tcW w:type="dxa" w:w="1814"/>
          </w:tcPr>
          <w:p>
            <w:pPr>
              <w:spacing w:after="40"/>
              <w:jc w:val="center"/>
            </w:pPr>
            <w:r/>
            <w:r>
              <w:rPr>
                <w:b/>
                <w:sz w:val="17"/>
              </w:rPr>
              <w:t>Umbral de aceptación</w:t>
            </w:r>
          </w:p>
        </w:tc>
        <w:tc>
          <w:tcPr>
            <w:tcW w:type="dxa" w:w="2948"/>
          </w:tcPr>
          <w:p>
            <w:pPr>
              <w:spacing w:after="40"/>
              <w:jc w:val="center"/>
            </w:pPr>
            <w:r/>
            <w:r>
              <w:rPr>
                <w:b/>
                <w:sz w:val="17"/>
              </w:rPr>
              <w:t>Método de medición</w:t>
            </w:r>
          </w:p>
        </w:tc>
        <w:tc>
          <w:tcPr>
            <w:tcW w:type="dxa" w:w="1134"/>
          </w:tcPr>
          <w:p>
            <w:pPr>
              <w:spacing w:after="40"/>
              <w:jc w:val="center"/>
            </w:pPr>
            <w:r/>
            <w:r>
              <w:rPr>
                <w:b/>
                <w:sz w:val="17"/>
              </w:rPr>
              <w:t>Frecuencia</w:t>
            </w:r>
          </w:p>
        </w:tc>
        <w:tc>
          <w:tcPr>
            <w:tcW w:type="dxa" w:w="1247"/>
          </w:tcPr>
          <w:p>
            <w:pPr>
              <w:spacing w:after="40"/>
              <w:jc w:val="center"/>
            </w:pPr>
            <w:r/>
            <w:r>
              <w:rPr>
                <w:b/>
                <w:sz w:val="17"/>
              </w:rPr>
              <w:t>Responsable</w:t>
            </w:r>
          </w:p>
        </w:tc>
      </w:tr>
      <w:tr>
        <w:tc>
          <w:tcPr>
            <w:tcW w:type="dxa" w:w="1928"/>
          </w:tcPr>
          <w:p>
            <w:pPr>
              <w:spacing w:after="40"/>
            </w:pPr>
            <w:r/>
            <w:r>
              <w:rPr>
                <w:sz w:val="17"/>
              </w:rPr>
              <w:t>Latencia entre golpe y sonido</w:t>
            </w:r>
          </w:p>
        </w:tc>
        <w:tc>
          <w:tcPr>
            <w:tcW w:type="dxa" w:w="1814"/>
          </w:tcPr>
          <w:p>
            <w:pPr>
              <w:spacing w:after="40"/>
            </w:pPr>
            <w:r/>
            <w:r>
              <w:rPr>
                <w:sz w:val="17"/>
              </w:rPr>
              <w:t>Menor a 30 ms</w:t>
            </w:r>
          </w:p>
        </w:tc>
        <w:tc>
          <w:tcPr>
            <w:tcW w:type="dxa" w:w="2948"/>
          </w:tcPr>
          <w:p>
            <w:pPr>
              <w:spacing w:after="40"/>
            </w:pPr>
            <w:r/>
            <w:r>
              <w:rPr>
                <w:sz w:val="17"/>
              </w:rPr>
              <w:t>Registro de marcas de tiempo entre el evento de colisión y el disparo de audio, sobre 100 golpes</w:t>
            </w:r>
          </w:p>
        </w:tc>
        <w:tc>
          <w:tcPr>
            <w:tcW w:type="dxa" w:w="1134"/>
          </w:tcPr>
          <w:p>
            <w:pPr>
              <w:spacing w:after="40"/>
            </w:pPr>
            <w:r/>
            <w:r>
              <w:rPr>
                <w:sz w:val="17"/>
              </w:rPr>
              <w:t>En cada versión integrada</w:t>
            </w:r>
          </w:p>
        </w:tc>
        <w:tc>
          <w:tcPr>
            <w:tcW w:type="dxa" w:w="1247"/>
          </w:tcPr>
          <w:p>
            <w:pPr>
              <w:spacing w:after="40"/>
            </w:pPr>
            <w:r/>
            <w:r>
              <w:rPr>
                <w:sz w:val="17"/>
              </w:rPr>
              <w:t>Desarrollador VR</w:t>
            </w:r>
          </w:p>
        </w:tc>
      </w:tr>
      <w:tr>
        <w:tc>
          <w:tcPr>
            <w:tcW w:type="dxa" w:w="1928"/>
          </w:tcPr>
          <w:p>
            <w:pPr>
              <w:spacing w:after="40"/>
            </w:pPr>
            <w:r/>
            <w:r>
              <w:rPr>
                <w:sz w:val="17"/>
              </w:rPr>
              <w:t>Tasa de acierto en la detección</w:t>
            </w:r>
          </w:p>
        </w:tc>
        <w:tc>
          <w:tcPr>
            <w:tcW w:type="dxa" w:w="1814"/>
          </w:tcPr>
          <w:p>
            <w:pPr>
              <w:spacing w:after="40"/>
            </w:pPr>
            <w:r/>
            <w:r>
              <w:rPr>
                <w:sz w:val="17"/>
              </w:rPr>
              <w:t>Mayor o igual al 95 %</w:t>
            </w:r>
          </w:p>
        </w:tc>
        <w:tc>
          <w:tcPr>
            <w:tcW w:type="dxa" w:w="2948"/>
          </w:tcPr>
          <w:p>
            <w:pPr>
              <w:spacing w:after="40"/>
            </w:pPr>
            <w:r/>
            <w:r>
              <w:rPr>
                <w:sz w:val="17"/>
              </w:rPr>
              <w:t>Sesión de 200 golpes dirigidos a componentes conocidos</w:t>
            </w:r>
          </w:p>
        </w:tc>
        <w:tc>
          <w:tcPr>
            <w:tcW w:type="dxa" w:w="1134"/>
          </w:tcPr>
          <w:p>
            <w:pPr>
              <w:spacing w:after="40"/>
            </w:pPr>
            <w:r/>
            <w:r>
              <w:rPr>
                <w:sz w:val="17"/>
              </w:rPr>
              <w:t>En cada versión integrada</w:t>
            </w:r>
          </w:p>
        </w:tc>
        <w:tc>
          <w:tcPr>
            <w:tcW w:type="dxa" w:w="1247"/>
          </w:tcPr>
          <w:p>
            <w:pPr>
              <w:spacing w:after="40"/>
            </w:pPr>
            <w:r/>
            <w:r>
              <w:rPr>
                <w:sz w:val="17"/>
              </w:rPr>
              <w:t>Analista de pruebas</w:t>
            </w:r>
          </w:p>
        </w:tc>
      </w:tr>
      <w:tr>
        <w:tc>
          <w:tcPr>
            <w:tcW w:type="dxa" w:w="1928"/>
          </w:tcPr>
          <w:p>
            <w:pPr>
              <w:spacing w:after="40"/>
            </w:pPr>
            <w:r/>
            <w:r>
              <w:rPr>
                <w:sz w:val="17"/>
              </w:rPr>
              <w:t>Cuadros por segundo</w:t>
            </w:r>
          </w:p>
        </w:tc>
        <w:tc>
          <w:tcPr>
            <w:tcW w:type="dxa" w:w="1814"/>
          </w:tcPr>
          <w:p>
            <w:pPr>
              <w:spacing w:after="40"/>
            </w:pPr>
            <w:r/>
            <w:r>
              <w:rPr>
                <w:sz w:val="17"/>
              </w:rPr>
              <w:t>72 sostenidos, sin caídas por debajo de 60</w:t>
            </w:r>
          </w:p>
        </w:tc>
        <w:tc>
          <w:tcPr>
            <w:tcW w:type="dxa" w:w="2948"/>
          </w:tcPr>
          <w:p>
            <w:pPr>
              <w:spacing w:after="40"/>
            </w:pPr>
            <w:r/>
            <w:r>
              <w:rPr>
                <w:sz w:val="17"/>
              </w:rPr>
              <w:t>Medición en el visor durante una sesión completa</w:t>
            </w:r>
          </w:p>
        </w:tc>
        <w:tc>
          <w:tcPr>
            <w:tcW w:type="dxa" w:w="1134"/>
          </w:tcPr>
          <w:p>
            <w:pPr>
              <w:spacing w:after="40"/>
            </w:pPr>
            <w:r/>
            <w:r>
              <w:rPr>
                <w:sz w:val="17"/>
              </w:rPr>
              <w:t>Semanal desde la integración</w:t>
            </w:r>
          </w:p>
        </w:tc>
        <w:tc>
          <w:tcPr>
            <w:tcW w:type="dxa" w:w="1247"/>
          </w:tcPr>
          <w:p>
            <w:pPr>
              <w:spacing w:after="40"/>
            </w:pPr>
            <w:r/>
            <w:r>
              <w:rPr>
                <w:sz w:val="17"/>
              </w:rPr>
              <w:t>Desarrollador VR</w:t>
            </w:r>
          </w:p>
        </w:tc>
      </w:tr>
      <w:tr>
        <w:tc>
          <w:tcPr>
            <w:tcW w:type="dxa" w:w="1928"/>
          </w:tcPr>
          <w:p>
            <w:pPr>
              <w:spacing w:after="40"/>
            </w:pPr>
            <w:r/>
            <w:r>
              <w:rPr>
                <w:sz w:val="17"/>
              </w:rPr>
              <w:t>Niveles de intensidad distinguidos</w:t>
            </w:r>
          </w:p>
        </w:tc>
        <w:tc>
          <w:tcPr>
            <w:tcW w:type="dxa" w:w="1814"/>
          </w:tcPr>
          <w:p>
            <w:pPr>
              <w:spacing w:after="40"/>
            </w:pPr>
            <w:r/>
            <w:r>
              <w:rPr>
                <w:sz w:val="17"/>
              </w:rPr>
              <w:t>Tres niveles diferenciables</w:t>
            </w:r>
          </w:p>
        </w:tc>
        <w:tc>
          <w:tcPr>
            <w:tcW w:type="dxa" w:w="2948"/>
          </w:tcPr>
          <w:p>
            <w:pPr>
              <w:spacing w:after="40"/>
            </w:pPr>
            <w:r/>
            <w:r>
              <w:rPr>
                <w:sz w:val="17"/>
              </w:rPr>
              <w:t>Golpes controlados suave, medio y fuerte; verificación del valor de intensidad</w:t>
            </w:r>
          </w:p>
        </w:tc>
        <w:tc>
          <w:tcPr>
            <w:tcW w:type="dxa" w:w="1134"/>
          </w:tcPr>
          <w:p>
            <w:pPr>
              <w:spacing w:after="40"/>
            </w:pPr>
            <w:r/>
            <w:r>
              <w:rPr>
                <w:sz w:val="17"/>
              </w:rPr>
              <w:t>En cada versión integrada</w:t>
            </w:r>
          </w:p>
        </w:tc>
        <w:tc>
          <w:tcPr>
            <w:tcW w:type="dxa" w:w="1247"/>
          </w:tcPr>
          <w:p>
            <w:pPr>
              <w:spacing w:after="40"/>
            </w:pPr>
            <w:r/>
            <w:r>
              <w:rPr>
                <w:sz w:val="17"/>
              </w:rPr>
              <w:t>Desarrollador VR</w:t>
            </w:r>
          </w:p>
        </w:tc>
      </w:tr>
      <w:tr>
        <w:tc>
          <w:tcPr>
            <w:tcW w:type="dxa" w:w="1928"/>
          </w:tcPr>
          <w:p>
            <w:pPr>
              <w:spacing w:after="40"/>
            </w:pPr>
            <w:r/>
            <w:r>
              <w:rPr>
                <w:sz w:val="17"/>
              </w:rPr>
              <w:t>Incidencia de mareo o fatiga</w:t>
            </w:r>
          </w:p>
        </w:tc>
        <w:tc>
          <w:tcPr>
            <w:tcW w:type="dxa" w:w="1814"/>
          </w:tcPr>
          <w:p>
            <w:pPr>
              <w:spacing w:after="40"/>
            </w:pPr>
            <w:r/>
            <w:r>
              <w:rPr>
                <w:sz w:val="17"/>
              </w:rPr>
              <w:t>Cero reportes en sesiones de 15 minutos</w:t>
            </w:r>
          </w:p>
        </w:tc>
        <w:tc>
          <w:tcPr>
            <w:tcW w:type="dxa" w:w="2948"/>
          </w:tcPr>
          <w:p>
            <w:pPr>
              <w:spacing w:after="40"/>
            </w:pPr>
            <w:r/>
            <w:r>
              <w:rPr>
                <w:sz w:val="17"/>
              </w:rPr>
              <w:t>Cuestionario posterior a cada sesión de prueba</w:t>
            </w:r>
          </w:p>
        </w:tc>
        <w:tc>
          <w:tcPr>
            <w:tcW w:type="dxa" w:w="1134"/>
          </w:tcPr>
          <w:p>
            <w:pPr>
              <w:spacing w:after="40"/>
            </w:pPr>
            <w:r/>
            <w:r>
              <w:rPr>
                <w:sz w:val="17"/>
              </w:rPr>
              <w:t>En cada sesión con usuarios</w:t>
            </w:r>
          </w:p>
        </w:tc>
        <w:tc>
          <w:tcPr>
            <w:tcW w:type="dxa" w:w="1247"/>
          </w:tcPr>
          <w:p>
            <w:pPr>
              <w:spacing w:after="40"/>
            </w:pPr>
            <w:r/>
            <w:r>
              <w:rPr>
                <w:sz w:val="17"/>
              </w:rPr>
              <w:t>Coordinador</w:t>
            </w:r>
          </w:p>
        </w:tc>
      </w:tr>
      <w:tr>
        <w:tc>
          <w:tcPr>
            <w:tcW w:type="dxa" w:w="1928"/>
          </w:tcPr>
          <w:p>
            <w:pPr>
              <w:spacing w:after="40"/>
            </w:pPr>
            <w:r/>
            <w:r>
              <w:rPr>
                <w:sz w:val="17"/>
              </w:rPr>
              <w:t>Paquetes aceptados a la primera</w:t>
            </w:r>
          </w:p>
        </w:tc>
        <w:tc>
          <w:tcPr>
            <w:tcW w:type="dxa" w:w="1814"/>
          </w:tcPr>
          <w:p>
            <w:pPr>
              <w:spacing w:after="40"/>
            </w:pPr>
            <w:r/>
            <w:r>
              <w:rPr>
                <w:sz w:val="17"/>
              </w:rPr>
              <w:t>Mayor o igual al 80 %</w:t>
            </w:r>
          </w:p>
        </w:tc>
        <w:tc>
          <w:tcPr>
            <w:tcW w:type="dxa" w:w="2948"/>
          </w:tcPr>
          <w:p>
            <w:pPr>
              <w:spacing w:after="40"/>
            </w:pPr>
            <w:r/>
            <w:r>
              <w:rPr>
                <w:sz w:val="17"/>
              </w:rPr>
              <w:t>Conteo de paquetes que pasan la revisión por pares sin correcciones</w:t>
            </w:r>
          </w:p>
        </w:tc>
        <w:tc>
          <w:tcPr>
            <w:tcW w:type="dxa" w:w="1134"/>
          </w:tcPr>
          <w:p>
            <w:pPr>
              <w:spacing w:after="40"/>
            </w:pPr>
            <w:r/>
            <w:r>
              <w:rPr>
                <w:sz w:val="17"/>
              </w:rPr>
              <w:t>Semanal</w:t>
            </w:r>
          </w:p>
        </w:tc>
        <w:tc>
          <w:tcPr>
            <w:tcW w:type="dxa" w:w="1247"/>
          </w:tcPr>
          <w:p>
            <w:pPr>
              <w:spacing w:after="40"/>
            </w:pPr>
            <w:r/>
            <w:r>
              <w:rPr>
                <w:sz w:val="17"/>
              </w:rPr>
              <w:t>Gerente de proyecto</w:t>
            </w:r>
          </w:p>
        </w:tc>
      </w:tr>
      <w:tr>
        <w:tc>
          <w:tcPr>
            <w:tcW w:type="dxa" w:w="1928"/>
          </w:tcPr>
          <w:p>
            <w:pPr>
              <w:spacing w:after="40"/>
            </w:pPr>
            <w:r/>
            <w:r>
              <w:rPr>
                <w:sz w:val="17"/>
              </w:rPr>
              <w:t>Defectos abiertos de severidad alta</w:t>
            </w:r>
          </w:p>
        </w:tc>
        <w:tc>
          <w:tcPr>
            <w:tcW w:type="dxa" w:w="1814"/>
          </w:tcPr>
          <w:p>
            <w:pPr>
              <w:spacing w:after="40"/>
            </w:pPr>
            <w:r/>
            <w:r>
              <w:rPr>
                <w:sz w:val="17"/>
              </w:rPr>
              <w:t>Cero al cierre</w:t>
            </w:r>
          </w:p>
        </w:tc>
        <w:tc>
          <w:tcPr>
            <w:tcW w:type="dxa" w:w="2948"/>
          </w:tcPr>
          <w:p>
            <w:pPr>
              <w:spacing w:after="40"/>
            </w:pPr>
            <w:r/>
            <w:r>
              <w:rPr>
                <w:sz w:val="17"/>
              </w:rPr>
              <w:t>Registro de errores</w:t>
            </w:r>
          </w:p>
        </w:tc>
        <w:tc>
          <w:tcPr>
            <w:tcW w:type="dxa" w:w="1134"/>
          </w:tcPr>
          <w:p>
            <w:pPr>
              <w:spacing w:after="40"/>
            </w:pPr>
            <w:r/>
            <w:r>
              <w:rPr>
                <w:sz w:val="17"/>
              </w:rPr>
              <w:t>Semanal</w:t>
            </w:r>
          </w:p>
        </w:tc>
        <w:tc>
          <w:tcPr>
            <w:tcW w:type="dxa" w:w="1247"/>
          </w:tcPr>
          <w:p>
            <w:pPr>
              <w:spacing w:after="40"/>
            </w:pPr>
            <w:r/>
            <w:r>
              <w:rPr>
                <w:sz w:val="17"/>
              </w:rPr>
              <w:t>Analista de pruebas</w:t>
            </w:r>
          </w:p>
        </w:tc>
      </w:tr>
      <w:tr>
        <w:tc>
          <w:tcPr>
            <w:tcW w:type="dxa" w:w="1928"/>
          </w:tcPr>
          <w:p>
            <w:pPr>
              <w:spacing w:after="40"/>
            </w:pPr>
            <w:r/>
            <w:r>
              <w:rPr>
                <w:sz w:val="17"/>
              </w:rPr>
              <w:t>Cobertura de casos de prueba</w:t>
            </w:r>
          </w:p>
        </w:tc>
        <w:tc>
          <w:tcPr>
            <w:tcW w:type="dxa" w:w="1814"/>
          </w:tcPr>
          <w:p>
            <w:pPr>
              <w:spacing w:after="40"/>
            </w:pPr>
            <w:r/>
            <w:r>
              <w:rPr>
                <w:sz w:val="17"/>
              </w:rPr>
              <w:t>Un caso por cada objetivo de calidad</w:t>
            </w:r>
          </w:p>
        </w:tc>
        <w:tc>
          <w:tcPr>
            <w:tcW w:type="dxa" w:w="2948"/>
          </w:tcPr>
          <w:p>
            <w:pPr>
              <w:spacing w:after="40"/>
            </w:pPr>
            <w:r/>
            <w:r>
              <w:rPr>
                <w:sz w:val="17"/>
              </w:rPr>
              <w:t>Revisión del plan de pruebas contra la lista de objetivos</w:t>
            </w:r>
          </w:p>
        </w:tc>
        <w:tc>
          <w:tcPr>
            <w:tcW w:type="dxa" w:w="1134"/>
          </w:tcPr>
          <w:p>
            <w:pPr>
              <w:spacing w:after="40"/>
            </w:pPr>
            <w:r/>
            <w:r>
              <w:rPr>
                <w:sz w:val="17"/>
              </w:rPr>
              <w:t>Al cerrar el plan de pruebas</w:t>
            </w:r>
          </w:p>
        </w:tc>
        <w:tc>
          <w:tcPr>
            <w:tcW w:type="dxa" w:w="1247"/>
          </w:tcPr>
          <w:p>
            <w:pPr>
              <w:spacing w:after="40"/>
            </w:pPr>
            <w:r/>
            <w:r>
              <w:rPr>
                <w:sz w:val="17"/>
              </w:rPr>
              <w:t>Analista de pruebas</w:t>
            </w:r>
          </w:p>
        </w:tc>
      </w:tr>
    </w:tbl>
    <w:p>
      <w:pPr>
        <w:spacing w:after="40"/>
      </w:pPr>
    </w:p>
    <w:p>
      <w:pPr>
        <w:pStyle w:val="Heading2"/>
      </w:pPr>
      <w:r>
        <w:t>4. Roles y responsabilidades en materia de calidad</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Rol</w:t>
            </w:r>
          </w:p>
        </w:tc>
        <w:tc>
          <w:tcPr>
            <w:tcW w:type="dxa" w:w="7030"/>
          </w:tcPr>
          <w:p>
            <w:pPr>
              <w:spacing w:after="40"/>
              <w:jc w:val="center"/>
            </w:pPr>
            <w:r/>
            <w:r>
              <w:rPr>
                <w:b/>
                <w:sz w:val="19"/>
              </w:rPr>
              <w:t>Responsabilidad</w:t>
            </w:r>
          </w:p>
        </w:tc>
      </w:tr>
      <w:tr>
        <w:tc>
          <w:tcPr>
            <w:tcW w:type="dxa" w:w="2041"/>
          </w:tcPr>
          <w:p>
            <w:pPr>
              <w:spacing w:after="40"/>
            </w:pPr>
            <w:r/>
            <w:r>
              <w:rPr>
                <w:sz w:val="19"/>
              </w:rPr>
              <w:t>Director de proyecto</w:t>
            </w:r>
          </w:p>
        </w:tc>
        <w:tc>
          <w:tcPr>
            <w:tcW w:type="dxa" w:w="7030"/>
          </w:tcPr>
          <w:p>
            <w:pPr>
              <w:spacing w:after="40"/>
            </w:pPr>
            <w:r/>
            <w:r>
              <w:rPr>
                <w:sz w:val="19"/>
              </w:rPr>
              <w:t>Aprueba el plan de calidad y resuelve las discrepancias sobre si un entregable cumple o no su criterio.</w:t>
            </w:r>
          </w:p>
        </w:tc>
      </w:tr>
      <w:tr>
        <w:tc>
          <w:tcPr>
            <w:tcW w:type="dxa" w:w="2041"/>
          </w:tcPr>
          <w:p>
            <w:pPr>
              <w:spacing w:after="40"/>
            </w:pPr>
            <w:r/>
            <w:r>
              <w:rPr>
                <w:sz w:val="19"/>
              </w:rPr>
              <w:t>Gerente de proyecto</w:t>
            </w:r>
          </w:p>
        </w:tc>
        <w:tc>
          <w:tcPr>
            <w:tcW w:type="dxa" w:w="7030"/>
          </w:tcPr>
          <w:p>
            <w:pPr>
              <w:spacing w:after="40"/>
            </w:pPr>
            <w:r/>
            <w:r>
              <w:rPr>
                <w:sz w:val="19"/>
              </w:rPr>
              <w:t>Mantiene el registro de aceptación de paquetes y reporta las métricas semanalmente.</w:t>
            </w:r>
          </w:p>
        </w:tc>
      </w:tr>
      <w:tr>
        <w:tc>
          <w:tcPr>
            <w:tcW w:type="dxa" w:w="2041"/>
          </w:tcPr>
          <w:p>
            <w:pPr>
              <w:spacing w:after="40"/>
            </w:pPr>
            <w:r/>
            <w:r>
              <w:rPr>
                <w:sz w:val="19"/>
              </w:rPr>
              <w:t>Responsable de cada área</w:t>
            </w:r>
          </w:p>
        </w:tc>
        <w:tc>
          <w:tcPr>
            <w:tcW w:type="dxa" w:w="7030"/>
          </w:tcPr>
          <w:p>
            <w:pPr>
              <w:spacing w:after="40"/>
            </w:pPr>
            <w:r/>
            <w:r>
              <w:rPr>
                <w:sz w:val="19"/>
              </w:rPr>
              <w:t>Verifica que su entregable cumpla el criterio antes de someterlo a revisión.</w:t>
            </w:r>
          </w:p>
        </w:tc>
      </w:tr>
      <w:tr>
        <w:tc>
          <w:tcPr>
            <w:tcW w:type="dxa" w:w="2041"/>
          </w:tcPr>
          <w:p>
            <w:pPr>
              <w:spacing w:after="40"/>
            </w:pPr>
            <w:r/>
            <w:r>
              <w:rPr>
                <w:sz w:val="19"/>
              </w:rPr>
              <w:t>Revisor por pares</w:t>
            </w:r>
          </w:p>
        </w:tc>
        <w:tc>
          <w:tcPr>
            <w:tcW w:type="dxa" w:w="7030"/>
          </w:tcPr>
          <w:p>
            <w:pPr>
              <w:spacing w:after="40"/>
            </w:pPr>
            <w:r/>
            <w:r>
              <w:rPr>
                <w:sz w:val="19"/>
              </w:rPr>
              <w:t>Rol rotativo. Verifica el criterio de aceptación de un entregable que no produjo.</w:t>
            </w:r>
          </w:p>
        </w:tc>
      </w:tr>
      <w:tr>
        <w:tc>
          <w:tcPr>
            <w:tcW w:type="dxa" w:w="2041"/>
          </w:tcPr>
          <w:p>
            <w:pPr>
              <w:spacing w:after="40"/>
            </w:pPr>
            <w:r/>
            <w:r>
              <w:rPr>
                <w:sz w:val="19"/>
              </w:rPr>
              <w:t>Analista de pruebas</w:t>
            </w:r>
          </w:p>
        </w:tc>
        <w:tc>
          <w:tcPr>
            <w:tcW w:type="dxa" w:w="7030"/>
          </w:tcPr>
          <w:p>
            <w:pPr>
              <w:spacing w:after="40"/>
            </w:pPr>
            <w:r/>
            <w:r>
              <w:rPr>
                <w:sz w:val="19"/>
              </w:rPr>
              <w:t>Diseña y ejecuta los planes de prueba, y mantiene el registro de errores.</w:t>
            </w:r>
          </w:p>
        </w:tc>
      </w:tr>
      <w:tr>
        <w:tc>
          <w:tcPr>
            <w:tcW w:type="dxa" w:w="2041"/>
          </w:tcPr>
          <w:p>
            <w:pPr>
              <w:spacing w:after="40"/>
            </w:pPr>
            <w:r/>
            <w:r>
              <w:rPr>
                <w:sz w:val="19"/>
              </w:rPr>
              <w:t>Todo el equipo</w:t>
            </w:r>
          </w:p>
        </w:tc>
        <w:tc>
          <w:tcPr>
            <w:tcW w:type="dxa" w:w="7030"/>
          </w:tcPr>
          <w:p>
            <w:pPr>
              <w:spacing w:after="40"/>
            </w:pPr>
            <w:r/>
            <w:r>
              <w:rPr>
                <w:sz w:val="19"/>
              </w:rPr>
              <w:t>Aplica los estándares técnicos acordados y señala los defectos que detecta, sea cual sea el área.</w:t>
            </w:r>
          </w:p>
        </w:tc>
      </w:tr>
    </w:tbl>
    <w:p>
      <w:pPr>
        <w:spacing w:after="40"/>
      </w:pPr>
    </w:p>
    <w:p>
      <w:pPr>
        <w:spacing w:after="160"/>
        <w:jc w:val="both"/>
      </w:pPr>
      <w:r>
        <w:rPr>
          <w:b w:val="0"/>
          <w:i w:val="0"/>
        </w:rPr>
        <w:t>La revisión por pares es rotativa y no recae en una persona fija. La razón es práctica: el equipo tiene ocho integrantes y una sola área de aseguramiento de calidad, que ya está sobrecargada. Distribuir la revisión evita concentrar más trabajo ahí y aprovecha que cada integrante conoce a fondo su especialidad.</w:t>
      </w:r>
    </w:p>
    <w:p>
      <w:pPr>
        <w:pStyle w:val="Heading2"/>
      </w:pPr>
      <w:r>
        <w:t>5. Estándares aplicables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587"/>
          </w:tcPr>
          <w:p>
            <w:pPr>
              <w:spacing w:after="40"/>
              <w:jc w:val="center"/>
            </w:pPr>
            <w:r/>
            <w:r>
              <w:rPr>
                <w:b/>
                <w:sz w:val="18"/>
              </w:rPr>
              <w:t>Ámbito</w:t>
            </w:r>
          </w:p>
        </w:tc>
        <w:tc>
          <w:tcPr>
            <w:tcW w:type="dxa" w:w="4195"/>
          </w:tcPr>
          <w:p>
            <w:pPr>
              <w:spacing w:after="40"/>
              <w:jc w:val="center"/>
            </w:pPr>
            <w:r/>
            <w:r>
              <w:rPr>
                <w:b/>
                <w:sz w:val="18"/>
              </w:rPr>
              <w:t>Estándar o convención</w:t>
            </w:r>
          </w:p>
        </w:tc>
        <w:tc>
          <w:tcPr>
            <w:tcW w:type="dxa" w:w="3288"/>
          </w:tcPr>
          <w:p>
            <w:pPr>
              <w:spacing w:after="40"/>
              <w:jc w:val="center"/>
            </w:pPr>
            <w:r/>
            <w:r>
              <w:rPr>
                <w:b/>
                <w:sz w:val="18"/>
              </w:rPr>
              <w:t>Cómo se verifica</w:t>
            </w:r>
          </w:p>
        </w:tc>
      </w:tr>
      <w:tr>
        <w:tc>
          <w:tcPr>
            <w:tcW w:type="dxa" w:w="1587"/>
          </w:tcPr>
          <w:p>
            <w:pPr>
              <w:spacing w:after="40"/>
            </w:pPr>
            <w:r/>
            <w:r>
              <w:rPr>
                <w:sz w:val="18"/>
              </w:rPr>
              <w:t>Código</w:t>
            </w:r>
          </w:p>
        </w:tc>
        <w:tc>
          <w:tcPr>
            <w:tcW w:type="dxa" w:w="4195"/>
          </w:tcPr>
          <w:p>
            <w:pPr>
              <w:spacing w:after="40"/>
            </w:pPr>
            <w:r/>
            <w:r>
              <w:rPr>
                <w:sz w:val="18"/>
              </w:rPr>
              <w:t>Convenciones de nomenclatura de C# para Unity. Un script por responsabilidad.</w:t>
            </w:r>
          </w:p>
        </w:tc>
        <w:tc>
          <w:tcPr>
            <w:tcW w:type="dxa" w:w="3288"/>
          </w:tcPr>
          <w:p>
            <w:pPr>
              <w:spacing w:after="40"/>
            </w:pPr>
            <w:r/>
            <w:r>
              <w:rPr>
                <w:sz w:val="18"/>
              </w:rPr>
              <w:t>Revisión por pares antes de integrar.</w:t>
            </w:r>
          </w:p>
        </w:tc>
      </w:tr>
      <w:tr>
        <w:tc>
          <w:tcPr>
            <w:tcW w:type="dxa" w:w="1587"/>
          </w:tcPr>
          <w:p>
            <w:pPr>
              <w:spacing w:after="40"/>
            </w:pPr>
            <w:r/>
            <w:r>
              <w:rPr>
                <w:sz w:val="18"/>
              </w:rPr>
              <w:t>Control de versiones</w:t>
            </w:r>
          </w:p>
        </w:tc>
        <w:tc>
          <w:tcPr>
            <w:tcW w:type="dxa" w:w="4195"/>
          </w:tcPr>
          <w:p>
            <w:pPr>
              <w:spacing w:after="40"/>
            </w:pPr>
            <w:r/>
            <w:r>
              <w:rPr>
                <w:sz w:val="18"/>
              </w:rPr>
              <w:t>Rama por funcionalidad. Ningún cambio se integra sin revisión.</w:t>
            </w:r>
          </w:p>
        </w:tc>
        <w:tc>
          <w:tcPr>
            <w:tcW w:type="dxa" w:w="3288"/>
          </w:tcPr>
          <w:p>
            <w:pPr>
              <w:spacing w:after="40"/>
            </w:pPr>
            <w:r/>
            <w:r>
              <w:rPr>
                <w:sz w:val="18"/>
              </w:rPr>
              <w:t>Historial del repositorio.</w:t>
            </w:r>
          </w:p>
        </w:tc>
      </w:tr>
      <w:tr>
        <w:tc>
          <w:tcPr>
            <w:tcW w:type="dxa" w:w="1587"/>
          </w:tcPr>
          <w:p>
            <w:pPr>
              <w:spacing w:after="40"/>
            </w:pPr>
            <w:r/>
            <w:r>
              <w:rPr>
                <w:sz w:val="18"/>
              </w:rPr>
              <w:t>Modelos tridimensionales</w:t>
            </w:r>
          </w:p>
        </w:tc>
        <w:tc>
          <w:tcPr>
            <w:tcW w:type="dxa" w:w="4195"/>
          </w:tcPr>
          <w:p>
            <w:pPr>
              <w:spacing w:after="40"/>
            </w:pPr>
            <w:r/>
            <w:r>
              <w:rPr>
                <w:sz w:val="18"/>
              </w:rPr>
              <w:t>Presupuesto de polígonos definido por componente. Nomenclatura acordada de objetos y materiales.</w:t>
            </w:r>
          </w:p>
        </w:tc>
        <w:tc>
          <w:tcPr>
            <w:tcW w:type="dxa" w:w="3288"/>
          </w:tcPr>
          <w:p>
            <w:pPr>
              <w:spacing w:after="40"/>
            </w:pPr>
            <w:r/>
            <w:r>
              <w:rPr>
                <w:sz w:val="18"/>
              </w:rPr>
              <w:t>Revisión del artista y medición en el visor.</w:t>
            </w:r>
          </w:p>
        </w:tc>
      </w:tr>
      <w:tr>
        <w:tc>
          <w:tcPr>
            <w:tcW w:type="dxa" w:w="1587"/>
          </w:tcPr>
          <w:p>
            <w:pPr>
              <w:spacing w:after="40"/>
            </w:pPr>
            <w:r/>
            <w:r>
              <w:rPr>
                <w:sz w:val="18"/>
              </w:rPr>
              <w:t>Audio</w:t>
            </w:r>
          </w:p>
        </w:tc>
        <w:tc>
          <w:tcPr>
            <w:tcW w:type="dxa" w:w="4195"/>
          </w:tcPr>
          <w:p>
            <w:pPr>
              <w:spacing w:after="40"/>
            </w:pPr>
            <w:r/>
            <w:r>
              <w:rPr>
                <w:sz w:val="18"/>
              </w:rPr>
              <w:t>Formato y frecuencia de muestreo uniformes. Niveles normalizados.</w:t>
            </w:r>
          </w:p>
        </w:tc>
        <w:tc>
          <w:tcPr>
            <w:tcW w:type="dxa" w:w="3288"/>
          </w:tcPr>
          <w:p>
            <w:pPr>
              <w:spacing w:after="40"/>
            </w:pPr>
            <w:r/>
            <w:r>
              <w:rPr>
                <w:sz w:val="18"/>
              </w:rPr>
              <w:t>Revisión del diseñador de audio.</w:t>
            </w:r>
          </w:p>
        </w:tc>
      </w:tr>
      <w:tr>
        <w:tc>
          <w:tcPr>
            <w:tcW w:type="dxa" w:w="1587"/>
          </w:tcPr>
          <w:p>
            <w:pPr>
              <w:spacing w:after="40"/>
            </w:pPr>
            <w:r/>
            <w:r>
              <w:rPr>
                <w:sz w:val="18"/>
              </w:rPr>
              <w:t>Documentación</w:t>
            </w:r>
          </w:p>
        </w:tc>
        <w:tc>
          <w:tcPr>
            <w:tcW w:type="dxa" w:w="4195"/>
          </w:tcPr>
          <w:p>
            <w:pPr>
              <w:spacing w:after="40"/>
            </w:pPr>
            <w:r/>
            <w:r>
              <w:rPr>
                <w:sz w:val="18"/>
              </w:rPr>
              <w:t>Criterio de aceptación redactado en forma verificable, no en forma de intención.</w:t>
            </w:r>
          </w:p>
        </w:tc>
        <w:tc>
          <w:tcPr>
            <w:tcW w:type="dxa" w:w="3288"/>
          </w:tcPr>
          <w:p>
            <w:pPr>
              <w:spacing w:after="40"/>
            </w:pPr>
            <w:r/>
            <w:r>
              <w:rPr>
                <w:sz w:val="18"/>
              </w:rPr>
              <w:t>Revisión del gerente de proyecto.</w:t>
            </w:r>
          </w:p>
        </w:tc>
      </w:tr>
      <w:tr>
        <w:tc>
          <w:tcPr>
            <w:tcW w:type="dxa" w:w="1587"/>
          </w:tcPr>
          <w:p>
            <w:pPr>
              <w:spacing w:after="40"/>
            </w:pPr>
            <w:r/>
            <w:r>
              <w:rPr>
                <w:sz w:val="18"/>
              </w:rPr>
              <w:t>Ergonomía en realidad virtual</w:t>
            </w:r>
          </w:p>
        </w:tc>
        <w:tc>
          <w:tcPr>
            <w:tcW w:type="dxa" w:w="4195"/>
          </w:tcPr>
          <w:p>
            <w:pPr>
              <w:spacing w:after="40"/>
            </w:pPr>
            <w:r/>
            <w:r>
              <w:rPr>
                <w:sz w:val="18"/>
              </w:rPr>
              <w:t>Lineamientos de comodidad de la plataforma objetivo: campo visual, distancia de interfaz, ausencia de movimiento impuesto.</w:t>
            </w:r>
          </w:p>
        </w:tc>
        <w:tc>
          <w:tcPr>
            <w:tcW w:type="dxa" w:w="3288"/>
          </w:tcPr>
          <w:p>
            <w:pPr>
              <w:spacing w:after="40"/>
            </w:pPr>
            <w:r/>
            <w:r>
              <w:rPr>
                <w:sz w:val="18"/>
              </w:rPr>
              <w:t>Sesión de prueba de 15 minutos.</w:t>
            </w:r>
          </w:p>
        </w:tc>
      </w:tr>
      <w:tr>
        <w:tc>
          <w:tcPr>
            <w:tcW w:type="dxa" w:w="1587"/>
          </w:tcPr>
          <w:p>
            <w:pPr>
              <w:spacing w:after="40"/>
            </w:pPr>
            <w:r/>
            <w:r>
              <w:rPr>
                <w:sz w:val="18"/>
              </w:rPr>
              <w:t>Licencias de recursos</w:t>
            </w:r>
          </w:p>
        </w:tc>
        <w:tc>
          <w:tcPr>
            <w:tcW w:type="dxa" w:w="4195"/>
          </w:tcPr>
          <w:p>
            <w:pPr>
              <w:spacing w:after="40"/>
            </w:pPr>
            <w:r/>
            <w:r>
              <w:rPr>
                <w:sz w:val="18"/>
              </w:rPr>
              <w:t>Todo recurso externo debe tener licencia verificada y documentada antes de incorporarse.</w:t>
            </w:r>
          </w:p>
        </w:tc>
        <w:tc>
          <w:tcPr>
            <w:tcW w:type="dxa" w:w="3288"/>
          </w:tcPr>
          <w:p>
            <w:pPr>
              <w:spacing w:after="40"/>
            </w:pPr>
            <w:r/>
            <w:r>
              <w:rPr>
                <w:sz w:val="18"/>
              </w:rPr>
              <w:t>Registro de licencias por recurso.</w:t>
            </w:r>
          </w:p>
        </w:tc>
      </w:tr>
    </w:tbl>
    <w:p>
      <w:pPr>
        <w:spacing w:after="40"/>
      </w:pPr>
    </w:p>
    <w:p>
      <w:pPr>
        <w:pStyle w:val="Heading2"/>
      </w:pPr>
      <w:r>
        <w:t>6. Gestionar la calidad</w:t>
      </w:r>
    </w:p>
    <w:p>
      <w:pPr>
        <w:spacing w:after="160"/>
        <w:jc w:val="both"/>
      </w:pPr>
      <w:r>
        <w:rPr>
          <w:b w:val="0"/>
          <w:i w:val="0"/>
        </w:rPr>
        <w:t>Gestionar la calidad es el proceso de convertir el plan en actividades ejecutables. Se ocupa de los procesos, no de los entregables: busca que la forma de trabajar produzca buenos resultados de manera consistente.</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3628"/>
          </w:tcPr>
          <w:p>
            <w:pPr>
              <w:spacing w:after="40"/>
              <w:jc w:val="center"/>
            </w:pPr>
            <w:r/>
            <w:r>
              <w:rPr>
                <w:b/>
                <w:sz w:val="19"/>
              </w:rPr>
              <w:t>Actividad</w:t>
            </w:r>
          </w:p>
        </w:tc>
        <w:tc>
          <w:tcPr>
            <w:tcW w:type="dxa" w:w="1701"/>
          </w:tcPr>
          <w:p>
            <w:pPr>
              <w:spacing w:after="40"/>
              <w:jc w:val="center"/>
            </w:pPr>
            <w:r/>
            <w:r>
              <w:rPr>
                <w:b/>
                <w:sz w:val="19"/>
              </w:rPr>
              <w:t>Cuándo</w:t>
            </w:r>
          </w:p>
        </w:tc>
        <w:tc>
          <w:tcPr>
            <w:tcW w:type="dxa" w:w="3742"/>
          </w:tcPr>
          <w:p>
            <w:pPr>
              <w:spacing w:after="40"/>
              <w:jc w:val="center"/>
            </w:pPr>
            <w:r/>
            <w:r>
              <w:rPr>
                <w:b/>
                <w:sz w:val="19"/>
              </w:rPr>
              <w:t>Qué produce</w:t>
            </w:r>
          </w:p>
        </w:tc>
      </w:tr>
      <w:tr>
        <w:tc>
          <w:tcPr>
            <w:tcW w:type="dxa" w:w="3628"/>
          </w:tcPr>
          <w:p>
            <w:pPr>
              <w:spacing w:after="40"/>
            </w:pPr>
            <w:r/>
            <w:r>
              <w:rPr>
                <w:sz w:val="19"/>
              </w:rPr>
              <w:t>Definir el criterio de aceptación antes de iniciar cada paquete</w:t>
            </w:r>
          </w:p>
        </w:tc>
        <w:tc>
          <w:tcPr>
            <w:tcW w:type="dxa" w:w="1701"/>
          </w:tcPr>
          <w:p>
            <w:pPr>
              <w:spacing w:after="40"/>
            </w:pPr>
            <w:r/>
            <w:r>
              <w:rPr>
                <w:sz w:val="19"/>
              </w:rPr>
              <w:t>Al planificar cada semana</w:t>
            </w:r>
          </w:p>
        </w:tc>
        <w:tc>
          <w:tcPr>
            <w:tcW w:type="dxa" w:w="3742"/>
          </w:tcPr>
          <w:p>
            <w:pPr>
              <w:spacing w:after="40"/>
            </w:pPr>
            <w:r/>
            <w:r>
              <w:rPr>
                <w:sz w:val="19"/>
              </w:rPr>
              <w:t>Criterio redactado y acordado, no supuesto</w:t>
            </w:r>
          </w:p>
        </w:tc>
      </w:tr>
      <w:tr>
        <w:tc>
          <w:tcPr>
            <w:tcW w:type="dxa" w:w="3628"/>
          </w:tcPr>
          <w:p>
            <w:pPr>
              <w:spacing w:after="40"/>
            </w:pPr>
            <w:r/>
            <w:r>
              <w:rPr>
                <w:sz w:val="19"/>
              </w:rPr>
              <w:t>Revisión por pares de todo entregable técnico</w:t>
            </w:r>
          </w:p>
        </w:tc>
        <w:tc>
          <w:tcPr>
            <w:tcW w:type="dxa" w:w="1701"/>
          </w:tcPr>
          <w:p>
            <w:pPr>
              <w:spacing w:after="40"/>
            </w:pPr>
            <w:r/>
            <w:r>
              <w:rPr>
                <w:sz w:val="19"/>
              </w:rPr>
              <w:t>Antes de integrar</w:t>
            </w:r>
          </w:p>
        </w:tc>
        <w:tc>
          <w:tcPr>
            <w:tcW w:type="dxa" w:w="3742"/>
          </w:tcPr>
          <w:p>
            <w:pPr>
              <w:spacing w:after="40"/>
            </w:pPr>
            <w:r/>
            <w:r>
              <w:rPr>
                <w:sz w:val="19"/>
              </w:rPr>
              <w:t>Registro de revisión con los hallazgos</w:t>
            </w:r>
          </w:p>
        </w:tc>
      </w:tr>
      <w:tr>
        <w:tc>
          <w:tcPr>
            <w:tcW w:type="dxa" w:w="3628"/>
          </w:tcPr>
          <w:p>
            <w:pPr>
              <w:spacing w:after="40"/>
            </w:pPr>
            <w:r/>
            <w:r>
              <w:rPr>
                <w:sz w:val="19"/>
              </w:rPr>
              <w:t>Auditoría de proceso a media ejecución</w:t>
            </w:r>
          </w:p>
        </w:tc>
        <w:tc>
          <w:tcPr>
            <w:tcW w:type="dxa" w:w="1701"/>
          </w:tcPr>
          <w:p>
            <w:pPr>
              <w:spacing w:after="40"/>
            </w:pPr>
            <w:r/>
            <w:r>
              <w:rPr>
                <w:sz w:val="19"/>
              </w:rPr>
              <w:t>Semana 5</w:t>
            </w:r>
          </w:p>
        </w:tc>
        <w:tc>
          <w:tcPr>
            <w:tcW w:type="dxa" w:w="3742"/>
          </w:tcPr>
          <w:p>
            <w:pPr>
              <w:spacing w:after="40"/>
            </w:pPr>
            <w:r/>
            <w:r>
              <w:rPr>
                <w:sz w:val="19"/>
              </w:rPr>
              <w:t>Informe de desviaciones respecto de los estándares acordados</w:t>
            </w:r>
          </w:p>
        </w:tc>
      </w:tr>
      <w:tr>
        <w:tc>
          <w:tcPr>
            <w:tcW w:type="dxa" w:w="3628"/>
          </w:tcPr>
          <w:p>
            <w:pPr>
              <w:spacing w:after="40"/>
            </w:pPr>
            <w:r/>
            <w:r>
              <w:rPr>
                <w:sz w:val="19"/>
              </w:rPr>
              <w:t>Revisión de licencias de recursos externos</w:t>
            </w:r>
          </w:p>
        </w:tc>
        <w:tc>
          <w:tcPr>
            <w:tcW w:type="dxa" w:w="1701"/>
          </w:tcPr>
          <w:p>
            <w:pPr>
              <w:spacing w:after="40"/>
            </w:pPr>
            <w:r/>
            <w:r>
              <w:rPr>
                <w:sz w:val="19"/>
              </w:rPr>
              <w:t>Al incorporar cada recurso</w:t>
            </w:r>
          </w:p>
        </w:tc>
        <w:tc>
          <w:tcPr>
            <w:tcW w:type="dxa" w:w="3742"/>
          </w:tcPr>
          <w:p>
            <w:pPr>
              <w:spacing w:after="40"/>
            </w:pPr>
            <w:r/>
            <w:r>
              <w:rPr>
                <w:sz w:val="19"/>
              </w:rPr>
              <w:t>Registro de licencias actualizado</w:t>
            </w:r>
          </w:p>
        </w:tc>
      </w:tr>
      <w:tr>
        <w:tc>
          <w:tcPr>
            <w:tcW w:type="dxa" w:w="3628"/>
          </w:tcPr>
          <w:p>
            <w:pPr>
              <w:spacing w:after="40"/>
            </w:pPr>
            <w:r/>
            <w:r>
              <w:rPr>
                <w:sz w:val="19"/>
              </w:rPr>
              <w:t>Retrospectiva quincenal</w:t>
            </w:r>
          </w:p>
        </w:tc>
        <w:tc>
          <w:tcPr>
            <w:tcW w:type="dxa" w:w="1701"/>
          </w:tcPr>
          <w:p>
            <w:pPr>
              <w:spacing w:after="40"/>
            </w:pPr>
            <w:r/>
            <w:r>
              <w:rPr>
                <w:sz w:val="19"/>
              </w:rPr>
              <w:t>Cada dos semanas</w:t>
            </w:r>
          </w:p>
        </w:tc>
        <w:tc>
          <w:tcPr>
            <w:tcW w:type="dxa" w:w="3742"/>
          </w:tcPr>
          <w:p>
            <w:pPr>
              <w:spacing w:after="40"/>
            </w:pPr>
            <w:r/>
            <w:r>
              <w:rPr>
                <w:sz w:val="19"/>
              </w:rPr>
              <w:t>Acuerdos de mejora del proceso, con responsable</w:t>
            </w:r>
          </w:p>
        </w:tc>
      </w:tr>
      <w:tr>
        <w:tc>
          <w:tcPr>
            <w:tcW w:type="dxa" w:w="3628"/>
          </w:tcPr>
          <w:p>
            <w:pPr>
              <w:spacing w:after="40"/>
            </w:pPr>
            <w:r/>
            <w:r>
              <w:rPr>
                <w:sz w:val="19"/>
              </w:rPr>
              <w:t>Verificación de la trazabilidad requisito-prueba</w:t>
            </w:r>
          </w:p>
        </w:tc>
        <w:tc>
          <w:tcPr>
            <w:tcW w:type="dxa" w:w="1701"/>
          </w:tcPr>
          <w:p>
            <w:pPr>
              <w:spacing w:after="40"/>
            </w:pPr>
            <w:r/>
            <w:r>
              <w:rPr>
                <w:sz w:val="19"/>
              </w:rPr>
              <w:t>Al cerrar el plan de pruebas</w:t>
            </w:r>
          </w:p>
        </w:tc>
        <w:tc>
          <w:tcPr>
            <w:tcW w:type="dxa" w:w="3742"/>
          </w:tcPr>
          <w:p>
            <w:pPr>
              <w:spacing w:after="40"/>
            </w:pPr>
            <w:r/>
            <w:r>
              <w:rPr>
                <w:sz w:val="19"/>
              </w:rPr>
              <w:t>Matriz de trazabilidad completa</w:t>
            </w:r>
          </w:p>
        </w:tc>
      </w:tr>
    </w:tbl>
    <w:p>
      <w:pPr>
        <w:spacing w:after="40"/>
      </w:pPr>
    </w:p>
    <w:p>
      <w:pPr>
        <w:pStyle w:val="Heading2"/>
      </w:pPr>
      <w:r>
        <w:t>7. Controlar la calidad</w:t>
      </w:r>
    </w:p>
    <w:p>
      <w:pPr>
        <w:spacing w:after="160"/>
        <w:jc w:val="both"/>
      </w:pPr>
      <w:r>
        <w:rPr>
          <w:b w:val="0"/>
          <w:i w:val="0"/>
        </w:rPr>
        <w:t>Controlar la calidad se ocupa de los entregables: verifica que cada uno cumpla lo especificado. La diferencia con el proceso anterior es la que hay entre revisar cómo se trabaja y revisar qué salió.</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928"/>
          </w:tcPr>
          <w:p>
            <w:pPr>
              <w:spacing w:after="40"/>
              <w:jc w:val="center"/>
            </w:pPr>
            <w:r/>
            <w:r>
              <w:rPr>
                <w:b/>
                <w:sz w:val="18"/>
              </w:rPr>
              <w:t>Punto de control</w:t>
            </w:r>
          </w:p>
        </w:tc>
        <w:tc>
          <w:tcPr>
            <w:tcW w:type="dxa" w:w="3402"/>
          </w:tcPr>
          <w:p>
            <w:pPr>
              <w:spacing w:after="40"/>
              <w:jc w:val="center"/>
            </w:pPr>
            <w:r/>
            <w:r>
              <w:rPr>
                <w:b/>
                <w:sz w:val="18"/>
              </w:rPr>
              <w:t>Qué se verifica</w:t>
            </w:r>
          </w:p>
        </w:tc>
        <w:tc>
          <w:tcPr>
            <w:tcW w:type="dxa" w:w="3742"/>
          </w:tcPr>
          <w:p>
            <w:pPr>
              <w:spacing w:after="40"/>
              <w:jc w:val="center"/>
            </w:pPr>
            <w:r/>
            <w:r>
              <w:rPr>
                <w:b/>
                <w:sz w:val="18"/>
              </w:rPr>
              <w:t>Criterio de paso</w:t>
            </w:r>
          </w:p>
        </w:tc>
      </w:tr>
      <w:tr>
        <w:tc>
          <w:tcPr>
            <w:tcW w:type="dxa" w:w="1928"/>
          </w:tcPr>
          <w:p>
            <w:pPr>
              <w:spacing w:after="40"/>
            </w:pPr>
            <w:r/>
            <w:r>
              <w:rPr>
                <w:sz w:val="18"/>
              </w:rPr>
              <w:t>Verificación de latencia</w:t>
            </w:r>
          </w:p>
        </w:tc>
        <w:tc>
          <w:tcPr>
            <w:tcW w:type="dxa" w:w="3402"/>
          </w:tcPr>
          <w:p>
            <w:pPr>
              <w:spacing w:after="40"/>
            </w:pPr>
            <w:r/>
            <w:r>
              <w:rPr>
                <w:sz w:val="18"/>
              </w:rPr>
              <w:t>Medición de la latencia en el hardware objetivo</w:t>
            </w:r>
          </w:p>
        </w:tc>
        <w:tc>
          <w:tcPr>
            <w:tcW w:type="dxa" w:w="3742"/>
          </w:tcPr>
          <w:p>
            <w:pPr>
              <w:spacing w:after="40"/>
            </w:pPr>
            <w:r/>
            <w:r>
              <w:rPr>
                <w:sz w:val="18"/>
              </w:rPr>
              <w:t>Menor a 30 ms. Si no se cumple, se convoca al director para revisar el alcance del sistema de audio</w:t>
            </w:r>
          </w:p>
        </w:tc>
      </w:tr>
      <w:tr>
        <w:tc>
          <w:tcPr>
            <w:tcW w:type="dxa" w:w="1928"/>
          </w:tcPr>
          <w:p>
            <w:pPr>
              <w:spacing w:after="40"/>
            </w:pPr>
            <w:r/>
            <w:r>
              <w:rPr>
                <w:sz w:val="18"/>
              </w:rPr>
              <w:t>Aceptación de paquete</w:t>
            </w:r>
          </w:p>
        </w:tc>
        <w:tc>
          <w:tcPr>
            <w:tcW w:type="dxa" w:w="3402"/>
          </w:tcPr>
          <w:p>
            <w:pPr>
              <w:spacing w:after="40"/>
            </w:pPr>
            <w:r/>
            <w:r>
              <w:rPr>
                <w:sz w:val="18"/>
              </w:rPr>
              <w:t>Cumplimiento del criterio de aceptación declarado</w:t>
            </w:r>
          </w:p>
        </w:tc>
        <w:tc>
          <w:tcPr>
            <w:tcW w:type="dxa" w:w="3742"/>
          </w:tcPr>
          <w:p>
            <w:pPr>
              <w:spacing w:after="40"/>
            </w:pPr>
            <w:r/>
            <w:r>
              <w:rPr>
                <w:sz w:val="18"/>
              </w:rPr>
              <w:t>El revisor por pares lo confirma por escrito</w:t>
            </w:r>
          </w:p>
        </w:tc>
      </w:tr>
      <w:tr>
        <w:tc>
          <w:tcPr>
            <w:tcW w:type="dxa" w:w="1928"/>
          </w:tcPr>
          <w:p>
            <w:pPr>
              <w:spacing w:after="40"/>
            </w:pPr>
            <w:r/>
            <w:r>
              <w:rPr>
                <w:sz w:val="18"/>
              </w:rPr>
              <w:t>Pruebas unitarias por área</w:t>
            </w:r>
          </w:p>
        </w:tc>
        <w:tc>
          <w:tcPr>
            <w:tcW w:type="dxa" w:w="3402"/>
          </w:tcPr>
          <w:p>
            <w:pPr>
              <w:spacing w:after="40"/>
            </w:pPr>
            <w:r/>
            <w:r>
              <w:rPr>
                <w:sz w:val="18"/>
              </w:rPr>
              <w:t>Funcionamiento aislado de cada subsistema</w:t>
            </w:r>
          </w:p>
        </w:tc>
        <w:tc>
          <w:tcPr>
            <w:tcW w:type="dxa" w:w="3742"/>
          </w:tcPr>
          <w:p>
            <w:pPr>
              <w:spacing w:after="40"/>
            </w:pPr>
            <w:r/>
            <w:r>
              <w:rPr>
                <w:sz w:val="18"/>
              </w:rPr>
              <w:t>Sin defectos de severidad alta</w:t>
            </w:r>
          </w:p>
        </w:tc>
      </w:tr>
      <w:tr>
        <w:tc>
          <w:tcPr>
            <w:tcW w:type="dxa" w:w="1928"/>
          </w:tcPr>
          <w:p>
            <w:pPr>
              <w:spacing w:after="40"/>
            </w:pPr>
            <w:r/>
            <w:r>
              <w:rPr>
                <w:sz w:val="18"/>
              </w:rPr>
              <w:t>Pruebas de integración</w:t>
            </w:r>
          </w:p>
        </w:tc>
        <w:tc>
          <w:tcPr>
            <w:tcW w:type="dxa" w:w="3402"/>
          </w:tcPr>
          <w:p>
            <w:pPr>
              <w:spacing w:after="40"/>
            </w:pPr>
            <w:r/>
            <w:r>
              <w:rPr>
                <w:sz w:val="18"/>
              </w:rPr>
              <w:t>Funcionamiento conjunto de los subsistemas</w:t>
            </w:r>
          </w:p>
        </w:tc>
        <w:tc>
          <w:tcPr>
            <w:tcW w:type="dxa" w:w="3742"/>
          </w:tcPr>
          <w:p>
            <w:pPr>
              <w:spacing w:after="40"/>
            </w:pPr>
            <w:r/>
            <w:r>
              <w:rPr>
                <w:sz w:val="18"/>
              </w:rPr>
              <w:t>El flujo completo se ejecuta sin error</w:t>
            </w:r>
          </w:p>
        </w:tc>
      </w:tr>
      <w:tr>
        <w:tc>
          <w:tcPr>
            <w:tcW w:type="dxa" w:w="1928"/>
          </w:tcPr>
          <w:p>
            <w:pPr>
              <w:spacing w:after="40"/>
            </w:pPr>
            <w:r/>
            <w:r>
              <w:rPr>
                <w:sz w:val="18"/>
              </w:rPr>
              <w:t>Pruebas de rendimiento</w:t>
            </w:r>
          </w:p>
        </w:tc>
        <w:tc>
          <w:tcPr>
            <w:tcW w:type="dxa" w:w="3402"/>
          </w:tcPr>
          <w:p>
            <w:pPr>
              <w:spacing w:after="40"/>
            </w:pPr>
            <w:r/>
            <w:r>
              <w:rPr>
                <w:sz w:val="18"/>
              </w:rPr>
              <w:t>Cuadros por segundo y latencia sobre la versión integrada</w:t>
            </w:r>
          </w:p>
        </w:tc>
        <w:tc>
          <w:tcPr>
            <w:tcW w:type="dxa" w:w="3742"/>
          </w:tcPr>
          <w:p>
            <w:pPr>
              <w:spacing w:after="40"/>
            </w:pPr>
            <w:r/>
            <w:r>
              <w:rPr>
                <w:sz w:val="18"/>
              </w:rPr>
              <w:t>72 cuadros por segundo sostenidos y latencia bajo umbral</w:t>
            </w:r>
          </w:p>
        </w:tc>
      </w:tr>
      <w:tr>
        <w:tc>
          <w:tcPr>
            <w:tcW w:type="dxa" w:w="1928"/>
          </w:tcPr>
          <w:p>
            <w:pPr>
              <w:spacing w:after="40"/>
            </w:pPr>
            <w:r/>
            <w:r>
              <w:rPr>
                <w:sz w:val="18"/>
              </w:rPr>
              <w:t>Pruebas con usuarios</w:t>
            </w:r>
          </w:p>
        </w:tc>
        <w:tc>
          <w:tcPr>
            <w:tcW w:type="dxa" w:w="3402"/>
          </w:tcPr>
          <w:p>
            <w:pPr>
              <w:spacing w:after="40"/>
            </w:pPr>
            <w:r/>
            <w:r>
              <w:rPr>
                <w:sz w:val="18"/>
              </w:rPr>
              <w:t>Comprensión de uso, comodidad y ausencia de molestia</w:t>
            </w:r>
          </w:p>
        </w:tc>
        <w:tc>
          <w:tcPr>
            <w:tcW w:type="dxa" w:w="3742"/>
          </w:tcPr>
          <w:p>
            <w:pPr>
              <w:spacing w:after="40"/>
            </w:pPr>
            <w:r/>
            <w:r>
              <w:rPr>
                <w:sz w:val="18"/>
              </w:rPr>
              <w:t>Sin reportes de mareo. El usuario comprende el uso sin instrucción escrita</w:t>
            </w:r>
          </w:p>
        </w:tc>
      </w:tr>
      <w:tr>
        <w:tc>
          <w:tcPr>
            <w:tcW w:type="dxa" w:w="1928"/>
          </w:tcPr>
          <w:p>
            <w:pPr>
              <w:spacing w:after="40"/>
            </w:pPr>
            <w:r/>
            <w:r>
              <w:rPr>
                <w:sz w:val="18"/>
              </w:rPr>
              <w:t>Aceptación de la versión final</w:t>
            </w:r>
          </w:p>
        </w:tc>
        <w:tc>
          <w:tcPr>
            <w:tcW w:type="dxa" w:w="3402"/>
          </w:tcPr>
          <w:p>
            <w:pPr>
              <w:spacing w:after="40"/>
            </w:pPr>
            <w:r/>
            <w:r>
              <w:rPr>
                <w:sz w:val="18"/>
              </w:rPr>
              <w:t>Todos los objetivos de calidad verificados</w:t>
            </w:r>
          </w:p>
        </w:tc>
        <w:tc>
          <w:tcPr>
            <w:tcW w:type="dxa" w:w="3742"/>
          </w:tcPr>
          <w:p>
            <w:pPr>
              <w:spacing w:after="40"/>
            </w:pPr>
            <w:r/>
            <w:r>
              <w:rPr>
                <w:sz w:val="18"/>
              </w:rPr>
              <w:t>Ningún defecto de severidad alta abierto</w:t>
            </w:r>
          </w:p>
        </w:tc>
      </w:tr>
    </w:tbl>
    <w:p>
      <w:pPr>
        <w:spacing w:after="40"/>
      </w:pPr>
    </w:p>
    <w:p>
      <w:pPr>
        <w:pStyle w:val="Heading2"/>
      </w:pPr>
      <w:r>
        <w:t>8. Listas de verificación por entregable</w:t>
      </w:r>
    </w:p>
    <w:p>
      <w:pPr>
        <w:spacing w:after="160"/>
        <w:jc w:val="both"/>
      </w:pPr>
      <w:r>
        <w:rPr>
          <w:b w:val="0"/>
          <w:i w:val="0"/>
        </w:rPr>
        <w:t>Las listas evitan que la aceptación dependa de la memoria de quien revisa.</w:t>
      </w:r>
    </w:p>
    <w:tbl>
      <w:tblPr>
        <w:tblStyle w:val="TableGrid"/>
        <w:tblW w:type="auto" w:w="0"/>
        <w:jc w:val="center"/>
        <w:tblLayout w:type="fixed"/>
        <w:tblLook w:firstColumn="1" w:firstRow="1" w:lastColumn="0" w:lastRow="0" w:noHBand="0" w:noVBand="1" w:val="04A0"/>
      </w:tblPr>
      <w:tblGrid>
        <w:gridCol w:w="4703"/>
        <w:gridCol w:w="4703"/>
      </w:tblGrid>
      <w:tr>
        <w:tc>
          <w:tcPr>
            <w:tcW w:type="dxa" w:w="1928"/>
          </w:tcPr>
          <w:p>
            <w:pPr>
              <w:spacing w:after="40"/>
              <w:jc w:val="center"/>
            </w:pPr>
            <w:r/>
            <w:r>
              <w:rPr>
                <w:b/>
                <w:sz w:val="18"/>
              </w:rPr>
              <w:t>Entregable</w:t>
            </w:r>
          </w:p>
        </w:tc>
        <w:tc>
          <w:tcPr>
            <w:tcW w:type="dxa" w:w="7143"/>
          </w:tcPr>
          <w:p>
            <w:pPr>
              <w:spacing w:after="40"/>
              <w:jc w:val="center"/>
            </w:pPr>
            <w:r/>
            <w:r>
              <w:rPr>
                <w:b/>
                <w:sz w:val="18"/>
              </w:rPr>
              <w:t>Puntos a verificar</w:t>
            </w:r>
          </w:p>
        </w:tc>
      </w:tr>
      <w:tr>
        <w:tc>
          <w:tcPr>
            <w:tcW w:type="dxa" w:w="1928"/>
          </w:tcPr>
          <w:p>
            <w:pPr>
              <w:spacing w:after="40"/>
            </w:pPr>
            <w:r/>
            <w:r>
              <w:rPr>
                <w:sz w:val="18"/>
              </w:rPr>
              <w:t>Modelo tridimensional</w:t>
            </w:r>
          </w:p>
        </w:tc>
        <w:tc>
          <w:tcPr>
            <w:tcW w:type="dxa" w:w="7143"/>
          </w:tcPr>
          <w:p>
            <w:pPr>
              <w:spacing w:after="40"/>
            </w:pPr>
            <w:r/>
            <w:r>
              <w:rPr>
                <w:sz w:val="18"/>
              </w:rPr>
              <w:t>Nomenclatura conforme al estándar · Dentro del presupuesto de polígonos · Materiales asignados · Escala correcta respecto al usuario · Se visualiza sin defectos en el visor</w:t>
            </w:r>
          </w:p>
        </w:tc>
      </w:tr>
      <w:tr>
        <w:tc>
          <w:tcPr>
            <w:tcW w:type="dxa" w:w="1928"/>
          </w:tcPr>
          <w:p>
            <w:pPr>
              <w:spacing w:after="40"/>
            </w:pPr>
            <w:r/>
            <w:r>
              <w:rPr>
                <w:sz w:val="18"/>
              </w:rPr>
              <w:t>Componente de código</w:t>
            </w:r>
          </w:p>
        </w:tc>
        <w:tc>
          <w:tcPr>
            <w:tcW w:type="dxa" w:w="7143"/>
          </w:tcPr>
          <w:p>
            <w:pPr>
              <w:spacing w:after="40"/>
            </w:pPr>
            <w:r/>
            <w:r>
              <w:rPr>
                <w:sz w:val="18"/>
              </w:rPr>
              <w:t>Revisado por un par · Sin advertencias del compilador · Nomenclatura conforme · Integrado en rama propia · Probado de forma aislada</w:t>
            </w:r>
          </w:p>
        </w:tc>
      </w:tr>
      <w:tr>
        <w:tc>
          <w:tcPr>
            <w:tcW w:type="dxa" w:w="1928"/>
          </w:tcPr>
          <w:p>
            <w:pPr>
              <w:spacing w:after="40"/>
            </w:pPr>
            <w:r/>
            <w:r>
              <w:rPr>
                <w:sz w:val="18"/>
              </w:rPr>
              <w:t>Recurso de audio</w:t>
            </w:r>
          </w:p>
        </w:tc>
        <w:tc>
          <w:tcPr>
            <w:tcW w:type="dxa" w:w="7143"/>
          </w:tcPr>
          <w:p>
            <w:pPr>
              <w:spacing w:after="40"/>
            </w:pPr>
            <w:r/>
            <w:r>
              <w:rPr>
                <w:sz w:val="18"/>
              </w:rPr>
              <w:t>Formato y frecuencia uniformes · Nivel normalizado · Licencia verificada y registrada · Se dispara correctamente desde el motor</w:t>
            </w:r>
          </w:p>
        </w:tc>
      </w:tr>
      <w:tr>
        <w:tc>
          <w:tcPr>
            <w:tcW w:type="dxa" w:w="1928"/>
          </w:tcPr>
          <w:p>
            <w:pPr>
              <w:spacing w:after="40"/>
            </w:pPr>
            <w:r/>
            <w:r>
              <w:rPr>
                <w:sz w:val="18"/>
              </w:rPr>
              <w:t>Pantalla de interfaz</w:t>
            </w:r>
          </w:p>
        </w:tc>
        <w:tc>
          <w:tcPr>
            <w:tcW w:type="dxa" w:w="7143"/>
          </w:tcPr>
          <w:p>
            <w:pPr>
              <w:spacing w:after="40"/>
            </w:pPr>
            <w:r/>
            <w:r>
              <w:rPr>
                <w:sz w:val="18"/>
              </w:rPr>
              <w:t>Alcanzable en tres pasos o menos · Legible a la distancia de uso · Coherente con el resto de las pantallas · Probada en el visor, no solo en pantalla plana</w:t>
            </w:r>
          </w:p>
        </w:tc>
      </w:tr>
      <w:tr>
        <w:tc>
          <w:tcPr>
            <w:tcW w:type="dxa" w:w="1928"/>
          </w:tcPr>
          <w:p>
            <w:pPr>
              <w:spacing w:after="40"/>
            </w:pPr>
            <w:r/>
            <w:r>
              <w:rPr>
                <w:sz w:val="18"/>
              </w:rPr>
              <w:t>Documento</w:t>
            </w:r>
          </w:p>
        </w:tc>
        <w:tc>
          <w:tcPr>
            <w:tcW w:type="dxa" w:w="7143"/>
          </w:tcPr>
          <w:p>
            <w:pPr>
              <w:spacing w:after="40"/>
            </w:pPr>
            <w:r/>
            <w:r>
              <w:rPr>
                <w:sz w:val="18"/>
              </w:rPr>
              <w:t>Criterio de aceptación verificable · Sin apartados pendientes · Revisado por una persona distinta del autor · Cifras consistentes con las de los demás documentos</w:t>
            </w:r>
          </w:p>
        </w:tc>
      </w:tr>
      <w:tr>
        <w:tc>
          <w:tcPr>
            <w:tcW w:type="dxa" w:w="1928"/>
          </w:tcPr>
          <w:p>
            <w:pPr>
              <w:spacing w:after="40"/>
            </w:pPr>
            <w:r/>
            <w:r>
              <w:rPr>
                <w:sz w:val="18"/>
              </w:rPr>
              <w:t>Versión integrada</w:t>
            </w:r>
          </w:p>
        </w:tc>
        <w:tc>
          <w:tcPr>
            <w:tcW w:type="dxa" w:w="7143"/>
          </w:tcPr>
          <w:p>
            <w:pPr>
              <w:spacing w:after="40"/>
            </w:pPr>
            <w:r/>
            <w:r>
              <w:rPr>
                <w:sz w:val="18"/>
              </w:rPr>
              <w:t>Compila e instala en el visor · Flujo completo sin error · Métricas de rendimiento dentro de umbral · Sin defectos de severidad alta</w:t>
            </w:r>
          </w:p>
        </w:tc>
      </w:tr>
    </w:tbl>
    <w:p>
      <w:pPr>
        <w:spacing w:after="40"/>
      </w:pPr>
    </w:p>
    <w:p>
      <w:pPr>
        <w:pStyle w:val="Heading2"/>
      </w:pPr>
      <w:r>
        <w:t>9. Costo de la calidad</w:t>
      </w:r>
    </w:p>
    <w:p>
      <w:pPr>
        <w:spacing w:after="160"/>
        <w:jc w:val="both"/>
      </w:pPr>
      <w:r>
        <w:rPr>
          <w:b w:val="0"/>
          <w:i w:val="0"/>
        </w:rPr>
        <w:t>El esfuerzo dedicado a la calidad asciende a $40,403, equivalente al 18.0 % del costo de mano de obra. Se reparte en $20,720 de prevención, $10,615 de evaluación y $9,068 de corrección de fallos internos.</w:t>
      </w:r>
    </w:p>
    <w:p>
      <w:pPr>
        <w:spacing w:after="160"/>
        <w:jc w:val="both"/>
      </w:pPr>
      <w:r>
        <w:rPr>
          <w:b w:val="0"/>
          <w:i w:val="0"/>
        </w:rPr>
        <w:t>Que la prevención supere a la corrección es el resultado buscado. El desglose completo está en la sección 12 del documento de análisis.</w:t>
      </w:r>
    </w:p>
    <w:p>
      <w:r>
        <w:br w:type="page"/>
      </w:r>
    </w:p>
    <w:p>
      <w:pPr>
        <w:pStyle w:val="Heading1"/>
      </w:pPr>
      <w:r>
        <w:t>PARTE II. PLAN DE GESTIÓN DE LOS RIESGOS</w:t>
      </w:r>
    </w:p>
    <w:p>
      <w:pPr>
        <w:pStyle w:val="Heading2"/>
      </w:pPr>
      <w:r>
        <w:t>10. Metodología</w:t>
      </w:r>
    </w:p>
    <w:p>
      <w:pPr>
        <w:spacing w:after="160"/>
        <w:jc w:val="both"/>
      </w:pPr>
      <w:r>
        <w:rPr>
          <w:b w:val="0"/>
          <w:i w:val="0"/>
        </w:rPr>
        <w:t>El plan sigue los procesos de la guía PMBOK para el área de riesgos, adaptados a la escala del proyecto: once semanas, ocho personas y un entregable académico.</w:t>
      </w:r>
    </w:p>
    <w:tbl>
      <w:tblPr>
        <w:tblStyle w:val="TableGrid"/>
        <w:tblW w:type="auto" w:w="0"/>
        <w:jc w:val="center"/>
        <w:tblLayout w:type="fixed"/>
        <w:tblLook w:firstColumn="1" w:firstRow="1" w:lastColumn="0" w:lastRow="0" w:noHBand="0" w:noVBand="1" w:val="04A0"/>
      </w:tblPr>
      <w:tblGrid>
        <w:gridCol w:w="4703"/>
        <w:gridCol w:w="4703"/>
      </w:tblGrid>
      <w:tr>
        <w:tc>
          <w:tcPr>
            <w:tcW w:type="dxa" w:w="2494"/>
          </w:tcPr>
          <w:p>
            <w:pPr>
              <w:spacing w:after="40"/>
              <w:jc w:val="center"/>
            </w:pPr>
            <w:r/>
            <w:r>
              <w:rPr>
                <w:b/>
                <w:sz w:val="19"/>
              </w:rPr>
              <w:t>Proceso</w:t>
            </w:r>
          </w:p>
        </w:tc>
        <w:tc>
          <w:tcPr>
            <w:tcW w:type="dxa" w:w="6576"/>
          </w:tcPr>
          <w:p>
            <w:pPr>
              <w:spacing w:after="40"/>
              <w:jc w:val="center"/>
            </w:pPr>
            <w:r/>
            <w:r>
              <w:rPr>
                <w:b/>
                <w:sz w:val="19"/>
              </w:rPr>
              <w:t>Cómo se aplica en este proyecto</w:t>
            </w:r>
          </w:p>
        </w:tc>
      </w:tr>
      <w:tr>
        <w:tc>
          <w:tcPr>
            <w:tcW w:type="dxa" w:w="2494"/>
          </w:tcPr>
          <w:p>
            <w:pPr>
              <w:spacing w:after="40"/>
            </w:pPr>
            <w:r/>
            <w:r>
              <w:rPr>
                <w:sz w:val="19"/>
              </w:rPr>
              <w:t>Planificar la gestión de los riesgos</w:t>
            </w:r>
          </w:p>
        </w:tc>
        <w:tc>
          <w:tcPr>
            <w:tcW w:type="dxa" w:w="6576"/>
          </w:tcPr>
          <w:p>
            <w:pPr>
              <w:spacing w:after="40"/>
            </w:pPr>
            <w:r/>
            <w:r>
              <w:rPr>
                <w:sz w:val="19"/>
              </w:rPr>
              <w:t>Este documento. Define escalas, roles, periodicidad y umbrales.</w:t>
            </w:r>
          </w:p>
        </w:tc>
      </w:tr>
      <w:tr>
        <w:tc>
          <w:tcPr>
            <w:tcW w:type="dxa" w:w="2494"/>
          </w:tcPr>
          <w:p>
            <w:pPr>
              <w:spacing w:after="40"/>
            </w:pPr>
            <w:r/>
            <w:r>
              <w:rPr>
                <w:sz w:val="19"/>
              </w:rPr>
              <w:t>Identificar los riesgos</w:t>
            </w:r>
          </w:p>
        </w:tc>
        <w:tc>
          <w:tcPr>
            <w:tcW w:type="dxa" w:w="6576"/>
          </w:tcPr>
          <w:p>
            <w:pPr>
              <w:spacing w:after="40"/>
            </w:pPr>
            <w:r/>
            <w:r>
              <w:rPr>
                <w:sz w:val="19"/>
              </w:rPr>
              <w:t>Sesión inicial de identificación con todo el equipo, más revisión en cada reunión semanal. Técnicas: tormenta de ideas, análisis de supuestos y revisión de la red de precedencias en busca de puntos de convergencia.</w:t>
            </w:r>
          </w:p>
        </w:tc>
      </w:tr>
      <w:tr>
        <w:tc>
          <w:tcPr>
            <w:tcW w:type="dxa" w:w="2494"/>
          </w:tcPr>
          <w:p>
            <w:pPr>
              <w:spacing w:after="40"/>
            </w:pPr>
            <w:r/>
            <w:r>
              <w:rPr>
                <w:sz w:val="19"/>
              </w:rPr>
              <w:t>Análisis cualitativo</w:t>
            </w:r>
          </w:p>
        </w:tc>
        <w:tc>
          <w:tcPr>
            <w:tcW w:type="dxa" w:w="6576"/>
          </w:tcPr>
          <w:p>
            <w:pPr>
              <w:spacing w:after="40"/>
            </w:pPr>
            <w:r/>
            <w:r>
              <w:rPr>
                <w:sz w:val="19"/>
              </w:rPr>
              <w:t>Valoración de probabilidad e impacto en escalas de cinco niveles y ubicación en la matriz.</w:t>
            </w:r>
          </w:p>
        </w:tc>
      </w:tr>
      <w:tr>
        <w:tc>
          <w:tcPr>
            <w:tcW w:type="dxa" w:w="2494"/>
          </w:tcPr>
          <w:p>
            <w:pPr>
              <w:spacing w:after="40"/>
            </w:pPr>
            <w:r/>
            <w:r>
              <w:rPr>
                <w:sz w:val="19"/>
              </w:rPr>
              <w:t>Análisis cuantitativo</w:t>
            </w:r>
          </w:p>
        </w:tc>
        <w:tc>
          <w:tcPr>
            <w:tcW w:type="dxa" w:w="6576"/>
          </w:tcPr>
          <w:p>
            <w:pPr>
              <w:spacing w:after="40"/>
            </w:pPr>
            <w:r/>
            <w:r>
              <w:rPr>
                <w:sz w:val="19"/>
              </w:rPr>
              <w:t>Cálculo del valor monetario esperado de cada riesgo, cuyo total determina la reserva de contingencia.</w:t>
            </w:r>
          </w:p>
        </w:tc>
      </w:tr>
      <w:tr>
        <w:tc>
          <w:tcPr>
            <w:tcW w:type="dxa" w:w="2494"/>
          </w:tcPr>
          <w:p>
            <w:pPr>
              <w:spacing w:after="40"/>
            </w:pPr>
            <w:r/>
            <w:r>
              <w:rPr>
                <w:sz w:val="19"/>
              </w:rPr>
              <w:t>Planificar la respuesta</w:t>
            </w:r>
          </w:p>
        </w:tc>
        <w:tc>
          <w:tcPr>
            <w:tcW w:type="dxa" w:w="6576"/>
          </w:tcPr>
          <w:p>
            <w:pPr>
              <w:spacing w:after="40"/>
            </w:pPr>
            <w:r/>
            <w:r>
              <w:rPr>
                <w:sz w:val="19"/>
              </w:rPr>
              <w:t>Estrategia, responsable, disparador y plan de contingencia por cada riesgo, en la sección 13.</w:t>
            </w:r>
          </w:p>
        </w:tc>
      </w:tr>
      <w:tr>
        <w:tc>
          <w:tcPr>
            <w:tcW w:type="dxa" w:w="2494"/>
          </w:tcPr>
          <w:p>
            <w:pPr>
              <w:spacing w:after="40"/>
            </w:pPr>
            <w:r/>
            <w:r>
              <w:rPr>
                <w:sz w:val="19"/>
              </w:rPr>
              <w:t>Implementar la respuesta</w:t>
            </w:r>
          </w:p>
        </w:tc>
        <w:tc>
          <w:tcPr>
            <w:tcW w:type="dxa" w:w="6576"/>
          </w:tcPr>
          <w:p>
            <w:pPr>
              <w:spacing w:after="40"/>
            </w:pPr>
            <w:r/>
            <w:r>
              <w:rPr>
                <w:sz w:val="19"/>
              </w:rPr>
              <w:t>El responsable ejecuta la estrategia acordada cuando se cumple el disparador.</w:t>
            </w:r>
          </w:p>
        </w:tc>
      </w:tr>
      <w:tr>
        <w:tc>
          <w:tcPr>
            <w:tcW w:type="dxa" w:w="2494"/>
          </w:tcPr>
          <w:p>
            <w:pPr>
              <w:spacing w:after="40"/>
            </w:pPr>
            <w:r/>
            <w:r>
              <w:rPr>
                <w:sz w:val="19"/>
              </w:rPr>
              <w:t>Monitorear los riesgos</w:t>
            </w:r>
          </w:p>
        </w:tc>
        <w:tc>
          <w:tcPr>
            <w:tcW w:type="dxa" w:w="6576"/>
          </w:tcPr>
          <w:p>
            <w:pPr>
              <w:spacing w:after="40"/>
            </w:pPr>
            <w:r/>
            <w:r>
              <w:rPr>
                <w:sz w:val="19"/>
              </w:rPr>
              <w:t>Revisión semanal del registro. Se reevalúan probabilidades, se cierran los superados y se identifican nuevos.</w:t>
            </w:r>
          </w:p>
        </w:tc>
      </w:tr>
    </w:tbl>
    <w:p>
      <w:pPr>
        <w:spacing w:after="40"/>
      </w:pPr>
    </w:p>
    <w:p>
      <w:pPr>
        <w:pStyle w:val="Heading2"/>
      </w:pPr>
      <w:r>
        <w:t>11. Roles y periodicidad</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Rol</w:t>
            </w:r>
          </w:p>
        </w:tc>
        <w:tc>
          <w:tcPr>
            <w:tcW w:type="dxa" w:w="7030"/>
          </w:tcPr>
          <w:p>
            <w:pPr>
              <w:spacing w:after="40"/>
              <w:jc w:val="center"/>
            </w:pPr>
            <w:r/>
            <w:r>
              <w:rPr>
                <w:b/>
                <w:sz w:val="19"/>
              </w:rPr>
              <w:t>Responsabilidad en materia de riesgos</w:t>
            </w:r>
          </w:p>
        </w:tc>
      </w:tr>
      <w:tr>
        <w:tc>
          <w:tcPr>
            <w:tcW w:type="dxa" w:w="2041"/>
          </w:tcPr>
          <w:p>
            <w:pPr>
              <w:spacing w:after="40"/>
            </w:pPr>
            <w:r/>
            <w:r>
              <w:rPr>
                <w:sz w:val="19"/>
              </w:rPr>
              <w:t>Director de proyecto</w:t>
            </w:r>
          </w:p>
        </w:tc>
        <w:tc>
          <w:tcPr>
            <w:tcW w:type="dxa" w:w="7030"/>
          </w:tcPr>
          <w:p>
            <w:pPr>
              <w:spacing w:after="40"/>
            </w:pPr>
            <w:r/>
            <w:r>
              <w:rPr>
                <w:sz w:val="19"/>
              </w:rPr>
              <w:t>Autoriza el uso de la reserva de contingencia y decide ante riesgos que comprometan el alcance.</w:t>
            </w:r>
          </w:p>
        </w:tc>
      </w:tr>
      <w:tr>
        <w:tc>
          <w:tcPr>
            <w:tcW w:type="dxa" w:w="2041"/>
          </w:tcPr>
          <w:p>
            <w:pPr>
              <w:spacing w:after="40"/>
            </w:pPr>
            <w:r/>
            <w:r>
              <w:rPr>
                <w:sz w:val="19"/>
              </w:rPr>
              <w:t>Gerente de proyecto</w:t>
            </w:r>
          </w:p>
        </w:tc>
        <w:tc>
          <w:tcPr>
            <w:tcW w:type="dxa" w:w="7030"/>
          </w:tcPr>
          <w:p>
            <w:pPr>
              <w:spacing w:after="40"/>
            </w:pPr>
            <w:r/>
            <w:r>
              <w:rPr>
                <w:sz w:val="19"/>
              </w:rPr>
              <w:t>Es el dueño del registro de riesgos. Lo actualiza, lo presenta semanalmente y vigila los disparadores.</w:t>
            </w:r>
          </w:p>
        </w:tc>
      </w:tr>
      <w:tr>
        <w:tc>
          <w:tcPr>
            <w:tcW w:type="dxa" w:w="2041"/>
          </w:tcPr>
          <w:p>
            <w:pPr>
              <w:spacing w:after="40"/>
            </w:pPr>
            <w:r/>
            <w:r>
              <w:rPr>
                <w:sz w:val="19"/>
              </w:rPr>
              <w:t>Responsable de área</w:t>
            </w:r>
          </w:p>
        </w:tc>
        <w:tc>
          <w:tcPr>
            <w:tcW w:type="dxa" w:w="7030"/>
          </w:tcPr>
          <w:p>
            <w:pPr>
              <w:spacing w:after="40"/>
            </w:pPr>
            <w:r/>
            <w:r>
              <w:rPr>
                <w:sz w:val="19"/>
              </w:rPr>
              <w:t>Identifica y reporta los riesgos de su ámbito, y ejecuta las respuestas que le corresponden.</w:t>
            </w:r>
          </w:p>
        </w:tc>
      </w:tr>
      <w:tr>
        <w:tc>
          <w:tcPr>
            <w:tcW w:type="dxa" w:w="2041"/>
          </w:tcPr>
          <w:p>
            <w:pPr>
              <w:spacing w:after="40"/>
            </w:pPr>
            <w:r/>
            <w:r>
              <w:rPr>
                <w:sz w:val="19"/>
              </w:rPr>
              <w:t>Todo el equipo</w:t>
            </w:r>
          </w:p>
        </w:tc>
        <w:tc>
          <w:tcPr>
            <w:tcW w:type="dxa" w:w="7030"/>
          </w:tcPr>
          <w:p>
            <w:pPr>
              <w:spacing w:after="40"/>
            </w:pPr>
            <w:r/>
            <w:r>
              <w:rPr>
                <w:sz w:val="19"/>
              </w:rPr>
              <w:t>Reporta cualquier riesgo que detecte, sin esperar a la reunión semanal si es urgente.</w:t>
            </w:r>
          </w:p>
        </w:tc>
      </w:tr>
    </w:tbl>
    <w:p>
      <w:pPr>
        <w:spacing w:after="40"/>
      </w:pPr>
    </w:p>
    <w:p>
      <w:pPr>
        <w:spacing w:after="160"/>
        <w:jc w:val="both"/>
      </w:pPr>
      <w:r>
        <w:rPr>
          <w:b w:val="0"/>
          <w:i w:val="0"/>
        </w:rPr>
        <w:t>Periodicidad: revisión del registro en la reunión semanal de seguimiento. Reevaluación completa en los hitos de control del proyecto.</w:t>
      </w:r>
    </w:p>
    <w:p>
      <w:pPr>
        <w:pStyle w:val="Heading2"/>
      </w:pPr>
      <w:r>
        <w:t>12. Escalas, matriz y umbrales</w:t>
      </w:r>
    </w:p>
    <w:p>
      <w:pPr>
        <w:spacing w:after="160"/>
        <w:jc w:val="both"/>
      </w:pPr>
      <w:r>
        <w:rPr>
          <w:b w:val="0"/>
          <w:i w:val="0"/>
        </w:rPr>
        <w:t>Las escalas se definen antes de valorar los riesgos, para que la valoración sea reproducible y no dependa de la impresión de quien la hace.</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020"/>
          </w:tcPr>
          <w:p>
            <w:pPr>
              <w:spacing w:after="40"/>
              <w:jc w:val="center"/>
            </w:pPr>
            <w:r/>
            <w:r>
              <w:rPr>
                <w:b/>
                <w:sz w:val="18"/>
              </w:rPr>
              <w:t>Nivel</w:t>
            </w:r>
          </w:p>
        </w:tc>
        <w:tc>
          <w:tcPr>
            <w:tcW w:type="dxa" w:w="1020"/>
          </w:tcPr>
          <w:p>
            <w:pPr>
              <w:spacing w:after="40"/>
              <w:jc w:val="center"/>
            </w:pPr>
            <w:r/>
            <w:r>
              <w:rPr>
                <w:b/>
                <w:sz w:val="18"/>
              </w:rPr>
              <w:t>Probabilidad</w:t>
            </w:r>
          </w:p>
        </w:tc>
        <w:tc>
          <w:tcPr>
            <w:tcW w:type="dxa" w:w="1587"/>
          </w:tcPr>
          <w:p>
            <w:pPr>
              <w:spacing w:after="40"/>
              <w:jc w:val="center"/>
            </w:pPr>
            <w:r/>
            <w:r>
              <w:rPr>
                <w:b/>
                <w:sz w:val="18"/>
              </w:rPr>
              <w:t>Impacto en costo</w:t>
            </w:r>
          </w:p>
        </w:tc>
        <w:tc>
          <w:tcPr>
            <w:tcW w:type="dxa" w:w="2494"/>
          </w:tcPr>
          <w:p>
            <w:pPr>
              <w:spacing w:after="40"/>
              <w:jc w:val="center"/>
            </w:pPr>
            <w:r/>
            <w:r>
              <w:rPr>
                <w:b/>
                <w:sz w:val="18"/>
              </w:rPr>
              <w:t>Impacto en cronograma</w:t>
            </w:r>
          </w:p>
        </w:tc>
        <w:tc>
          <w:tcPr>
            <w:tcW w:type="dxa" w:w="2948"/>
          </w:tcPr>
          <w:p>
            <w:pPr>
              <w:spacing w:after="40"/>
              <w:jc w:val="center"/>
            </w:pPr>
            <w:r/>
            <w:r>
              <w:rPr>
                <w:b/>
                <w:sz w:val="18"/>
              </w:rPr>
              <w:t>Impacto en alcance</w:t>
            </w:r>
          </w:p>
        </w:tc>
      </w:tr>
      <w:tr>
        <w:tc>
          <w:tcPr>
            <w:tcW w:type="dxa" w:w="1020"/>
          </w:tcPr>
          <w:p>
            <w:pPr>
              <w:spacing w:after="40"/>
            </w:pPr>
            <w:r/>
            <w:r>
              <w:rPr>
                <w:sz w:val="18"/>
              </w:rPr>
              <w:t>Muy bajo</w:t>
            </w:r>
          </w:p>
        </w:tc>
        <w:tc>
          <w:tcPr>
            <w:tcW w:type="dxa" w:w="1020"/>
          </w:tcPr>
          <w:p>
            <w:pPr>
              <w:spacing w:after="40"/>
            </w:pPr>
            <w:r/>
            <w:r>
              <w:rPr>
                <w:sz w:val="18"/>
              </w:rPr>
              <w:t>10 %</w:t>
            </w:r>
          </w:p>
        </w:tc>
        <w:tc>
          <w:tcPr>
            <w:tcW w:type="dxa" w:w="1587"/>
          </w:tcPr>
          <w:p>
            <w:pPr>
              <w:spacing w:after="40"/>
            </w:pPr>
            <w:r/>
            <w:r>
              <w:rPr>
                <w:sz w:val="18"/>
              </w:rPr>
              <w:t>Hasta $4,000</w:t>
            </w:r>
          </w:p>
        </w:tc>
        <w:tc>
          <w:tcPr>
            <w:tcW w:type="dxa" w:w="2494"/>
          </w:tcPr>
          <w:p>
            <w:pPr>
              <w:spacing w:after="40"/>
            </w:pPr>
            <w:r/>
            <w:r>
              <w:rPr>
                <w:sz w:val="18"/>
              </w:rPr>
              <w:t>Menos de un día hábil</w:t>
            </w:r>
          </w:p>
        </w:tc>
        <w:tc>
          <w:tcPr>
            <w:tcW w:type="dxa" w:w="2948"/>
          </w:tcPr>
          <w:p>
            <w:pPr>
              <w:spacing w:after="40"/>
            </w:pPr>
            <w:r/>
            <w:r>
              <w:rPr>
                <w:sz w:val="18"/>
              </w:rPr>
              <w:t>Ningún entregable afectado</w:t>
            </w:r>
          </w:p>
        </w:tc>
      </w:tr>
      <w:tr>
        <w:tc>
          <w:tcPr>
            <w:tcW w:type="dxa" w:w="1020"/>
          </w:tcPr>
          <w:p>
            <w:pPr>
              <w:spacing w:after="40"/>
            </w:pPr>
            <w:r/>
            <w:r>
              <w:rPr>
                <w:sz w:val="18"/>
              </w:rPr>
              <w:t>Bajo</w:t>
            </w:r>
          </w:p>
        </w:tc>
        <w:tc>
          <w:tcPr>
            <w:tcW w:type="dxa" w:w="1020"/>
          </w:tcPr>
          <w:p>
            <w:pPr>
              <w:spacing w:after="40"/>
            </w:pPr>
            <w:r/>
            <w:r>
              <w:rPr>
                <w:sz w:val="18"/>
              </w:rPr>
              <w:t>30 %</w:t>
            </w:r>
          </w:p>
        </w:tc>
        <w:tc>
          <w:tcPr>
            <w:tcW w:type="dxa" w:w="1587"/>
          </w:tcPr>
          <w:p>
            <w:pPr>
              <w:spacing w:after="40"/>
            </w:pPr>
            <w:r/>
            <w:r>
              <w:rPr>
                <w:sz w:val="18"/>
              </w:rPr>
              <w:t>Hasta $8,000</w:t>
            </w:r>
          </w:p>
        </w:tc>
        <w:tc>
          <w:tcPr>
            <w:tcW w:type="dxa" w:w="2494"/>
          </w:tcPr>
          <w:p>
            <w:pPr>
              <w:spacing w:after="40"/>
            </w:pPr>
            <w:r/>
            <w:r>
              <w:rPr>
                <w:sz w:val="18"/>
              </w:rPr>
              <w:t>De uno a dos días hábiles</w:t>
            </w:r>
          </w:p>
        </w:tc>
        <w:tc>
          <w:tcPr>
            <w:tcW w:type="dxa" w:w="2948"/>
          </w:tcPr>
          <w:p>
            <w:pPr>
              <w:spacing w:after="40"/>
            </w:pPr>
            <w:r/>
            <w:r>
              <w:rPr>
                <w:sz w:val="18"/>
              </w:rPr>
              <w:t>Un entregable secundario se degrada</w:t>
            </w:r>
          </w:p>
        </w:tc>
      </w:tr>
      <w:tr>
        <w:tc>
          <w:tcPr>
            <w:tcW w:type="dxa" w:w="1020"/>
          </w:tcPr>
          <w:p>
            <w:pPr>
              <w:spacing w:after="40"/>
            </w:pPr>
            <w:r/>
            <w:r>
              <w:rPr>
                <w:sz w:val="18"/>
              </w:rPr>
              <w:t>Medio</w:t>
            </w:r>
          </w:p>
        </w:tc>
        <w:tc>
          <w:tcPr>
            <w:tcW w:type="dxa" w:w="1020"/>
          </w:tcPr>
          <w:p>
            <w:pPr>
              <w:spacing w:after="40"/>
            </w:pPr>
            <w:r/>
            <w:r>
              <w:rPr>
                <w:sz w:val="18"/>
              </w:rPr>
              <w:t>50 %</w:t>
            </w:r>
          </w:p>
        </w:tc>
        <w:tc>
          <w:tcPr>
            <w:tcW w:type="dxa" w:w="1587"/>
          </w:tcPr>
          <w:p>
            <w:pPr>
              <w:spacing w:after="40"/>
            </w:pPr>
            <w:r/>
            <w:r>
              <w:rPr>
                <w:sz w:val="18"/>
              </w:rPr>
              <w:t>Hasta $14,000</w:t>
            </w:r>
          </w:p>
        </w:tc>
        <w:tc>
          <w:tcPr>
            <w:tcW w:type="dxa" w:w="2494"/>
          </w:tcPr>
          <w:p>
            <w:pPr>
              <w:spacing w:after="40"/>
            </w:pPr>
            <w:r/>
            <w:r>
              <w:rPr>
                <w:sz w:val="18"/>
              </w:rPr>
              <w:t>De tres a cinco días hábiles</w:t>
            </w:r>
          </w:p>
        </w:tc>
        <w:tc>
          <w:tcPr>
            <w:tcW w:type="dxa" w:w="2948"/>
          </w:tcPr>
          <w:p>
            <w:pPr>
              <w:spacing w:after="40"/>
            </w:pPr>
            <w:r/>
            <w:r>
              <w:rPr>
                <w:sz w:val="18"/>
              </w:rPr>
              <w:t>Un entregable principal se degrada</w:t>
            </w:r>
          </w:p>
        </w:tc>
      </w:tr>
      <w:tr>
        <w:tc>
          <w:tcPr>
            <w:tcW w:type="dxa" w:w="1020"/>
          </w:tcPr>
          <w:p>
            <w:pPr>
              <w:spacing w:after="40"/>
            </w:pPr>
            <w:r/>
            <w:r>
              <w:rPr>
                <w:sz w:val="18"/>
              </w:rPr>
              <w:t>Alto</w:t>
            </w:r>
          </w:p>
        </w:tc>
        <w:tc>
          <w:tcPr>
            <w:tcW w:type="dxa" w:w="1020"/>
          </w:tcPr>
          <w:p>
            <w:pPr>
              <w:spacing w:after="40"/>
            </w:pPr>
            <w:r/>
            <w:r>
              <w:rPr>
                <w:sz w:val="18"/>
              </w:rPr>
              <w:t>70 %</w:t>
            </w:r>
          </w:p>
        </w:tc>
        <w:tc>
          <w:tcPr>
            <w:tcW w:type="dxa" w:w="1587"/>
          </w:tcPr>
          <w:p>
            <w:pPr>
              <w:spacing w:after="40"/>
            </w:pPr>
            <w:r/>
            <w:r>
              <w:rPr>
                <w:sz w:val="18"/>
              </w:rPr>
              <w:t>Hasta $20,000</w:t>
            </w:r>
          </w:p>
        </w:tc>
        <w:tc>
          <w:tcPr>
            <w:tcW w:type="dxa" w:w="2494"/>
          </w:tcPr>
          <w:p>
            <w:pPr>
              <w:spacing w:after="40"/>
            </w:pPr>
            <w:r/>
            <w:r>
              <w:rPr>
                <w:sz w:val="18"/>
              </w:rPr>
              <w:t>De seis a diez días hábiles</w:t>
            </w:r>
          </w:p>
        </w:tc>
        <w:tc>
          <w:tcPr>
            <w:tcW w:type="dxa" w:w="2948"/>
          </w:tcPr>
          <w:p>
            <w:pPr>
              <w:spacing w:after="40"/>
            </w:pPr>
            <w:r/>
            <w:r>
              <w:rPr>
                <w:sz w:val="18"/>
              </w:rPr>
              <w:t>Se pierde un entregable secundario</w:t>
            </w:r>
          </w:p>
        </w:tc>
      </w:tr>
      <w:tr>
        <w:tc>
          <w:tcPr>
            <w:tcW w:type="dxa" w:w="1020"/>
          </w:tcPr>
          <w:p>
            <w:pPr>
              <w:spacing w:after="40"/>
            </w:pPr>
            <w:r/>
            <w:r>
              <w:rPr>
                <w:sz w:val="18"/>
              </w:rPr>
              <w:t>Muy alto</w:t>
            </w:r>
          </w:p>
        </w:tc>
        <w:tc>
          <w:tcPr>
            <w:tcW w:type="dxa" w:w="1020"/>
          </w:tcPr>
          <w:p>
            <w:pPr>
              <w:spacing w:after="40"/>
            </w:pPr>
            <w:r/>
            <w:r>
              <w:rPr>
                <w:sz w:val="18"/>
              </w:rPr>
              <w:t>90 %</w:t>
            </w:r>
          </w:p>
        </w:tc>
        <w:tc>
          <w:tcPr>
            <w:tcW w:type="dxa" w:w="1587"/>
          </w:tcPr>
          <w:p>
            <w:pPr>
              <w:spacing w:after="40"/>
            </w:pPr>
            <w:r/>
            <w:r>
              <w:rPr>
                <w:sz w:val="18"/>
              </w:rPr>
              <w:t>Más de $20,000</w:t>
            </w:r>
          </w:p>
        </w:tc>
        <w:tc>
          <w:tcPr>
            <w:tcW w:type="dxa" w:w="2494"/>
          </w:tcPr>
          <w:p>
            <w:pPr>
              <w:spacing w:after="40"/>
            </w:pPr>
            <w:r/>
            <w:r>
              <w:rPr>
                <w:sz w:val="18"/>
              </w:rPr>
              <w:t>Más de diez días, o compromete la entrega</w:t>
            </w:r>
          </w:p>
        </w:tc>
        <w:tc>
          <w:tcPr>
            <w:tcW w:type="dxa" w:w="2948"/>
          </w:tcPr>
          <w:p>
            <w:pPr>
              <w:spacing w:after="40"/>
            </w:pPr>
            <w:r/>
            <w:r>
              <w:rPr>
                <w:sz w:val="18"/>
              </w:rPr>
              <w:t>Se pierde un entregable principal</w:t>
            </w:r>
          </w:p>
        </w:tc>
      </w:tr>
    </w:tbl>
    <w:p>
      <w:pPr>
        <w:spacing w:after="40"/>
      </w:pPr>
    </w:p>
    <w:p>
      <w:pPr>
        <w:pStyle w:val="Heading3"/>
      </w:pPr>
      <w:r>
        <w:t>12.1 Umbrales de acción</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247"/>
          </w:tcPr>
          <w:p>
            <w:pPr>
              <w:spacing w:after="40"/>
              <w:jc w:val="center"/>
            </w:pPr>
            <w:r/>
            <w:r>
              <w:rPr>
                <w:b/>
                <w:sz w:val="19"/>
              </w:rPr>
              <w:t>Severidad</w:t>
            </w:r>
          </w:p>
        </w:tc>
        <w:tc>
          <w:tcPr>
            <w:tcW w:type="dxa" w:w="3061"/>
          </w:tcPr>
          <w:p>
            <w:pPr>
              <w:spacing w:after="40"/>
              <w:jc w:val="center"/>
            </w:pPr>
            <w:r/>
            <w:r>
              <w:rPr>
                <w:b/>
                <w:sz w:val="19"/>
              </w:rPr>
              <w:t>Definición</w:t>
            </w:r>
          </w:p>
        </w:tc>
        <w:tc>
          <w:tcPr>
            <w:tcW w:type="dxa" w:w="4762"/>
          </w:tcPr>
          <w:p>
            <w:pPr>
              <w:spacing w:after="40"/>
              <w:jc w:val="center"/>
            </w:pPr>
            <w:r/>
            <w:r>
              <w:rPr>
                <w:b/>
                <w:sz w:val="19"/>
              </w:rPr>
              <w:t>Acción obligatoria</w:t>
            </w:r>
          </w:p>
        </w:tc>
      </w:tr>
      <w:tr>
        <w:tc>
          <w:tcPr>
            <w:tcW w:type="dxa" w:w="1247"/>
          </w:tcPr>
          <w:p>
            <w:pPr>
              <w:spacing w:after="40"/>
            </w:pPr>
            <w:r/>
            <w:r>
              <w:rPr>
                <w:sz w:val="19"/>
              </w:rPr>
              <w:t>Baja</w:t>
            </w:r>
          </w:p>
        </w:tc>
        <w:tc>
          <w:tcPr>
            <w:tcW w:type="dxa" w:w="3061"/>
          </w:tcPr>
          <w:p>
            <w:pPr>
              <w:spacing w:after="40"/>
            </w:pPr>
            <w:r/>
            <w:r>
              <w:rPr>
                <w:sz w:val="19"/>
              </w:rPr>
              <w:t>Producto de nivel de probabilidad por nivel de impacto menor o igual a 4</w:t>
            </w:r>
          </w:p>
        </w:tc>
        <w:tc>
          <w:tcPr>
            <w:tcW w:type="dxa" w:w="4762"/>
          </w:tcPr>
          <w:p>
            <w:pPr>
              <w:spacing w:after="40"/>
            </w:pPr>
            <w:r/>
            <w:r>
              <w:rPr>
                <w:sz w:val="19"/>
              </w:rPr>
              <w:t>Se registra y se vigila. No requiere respuesta activa.</w:t>
            </w:r>
          </w:p>
        </w:tc>
      </w:tr>
      <w:tr>
        <w:tc>
          <w:tcPr>
            <w:tcW w:type="dxa" w:w="1247"/>
          </w:tcPr>
          <w:p>
            <w:pPr>
              <w:spacing w:after="40"/>
            </w:pPr>
            <w:r/>
            <w:r>
              <w:rPr>
                <w:sz w:val="19"/>
              </w:rPr>
              <w:t>Moderada</w:t>
            </w:r>
          </w:p>
        </w:tc>
        <w:tc>
          <w:tcPr>
            <w:tcW w:type="dxa" w:w="3061"/>
          </w:tcPr>
          <w:p>
            <w:pPr>
              <w:spacing w:after="40"/>
            </w:pPr>
            <w:r/>
            <w:r>
              <w:rPr>
                <w:sz w:val="19"/>
              </w:rPr>
              <w:t>Producto entre 5 y 9</w:t>
            </w:r>
          </w:p>
        </w:tc>
        <w:tc>
          <w:tcPr>
            <w:tcW w:type="dxa" w:w="4762"/>
          </w:tcPr>
          <w:p>
            <w:pPr>
              <w:spacing w:after="40"/>
            </w:pPr>
            <w:r/>
            <w:r>
              <w:rPr>
                <w:sz w:val="19"/>
              </w:rPr>
              <w:t>Requiere estrategia de respuesta y responsable asignado.</w:t>
            </w:r>
          </w:p>
        </w:tc>
      </w:tr>
      <w:tr>
        <w:tc>
          <w:tcPr>
            <w:tcW w:type="dxa" w:w="1247"/>
          </w:tcPr>
          <w:p>
            <w:pPr>
              <w:spacing w:after="40"/>
            </w:pPr>
            <w:r/>
            <w:r>
              <w:rPr>
                <w:sz w:val="19"/>
              </w:rPr>
              <w:t>Alta</w:t>
            </w:r>
          </w:p>
        </w:tc>
        <w:tc>
          <w:tcPr>
            <w:tcW w:type="dxa" w:w="3061"/>
          </w:tcPr>
          <w:p>
            <w:pPr>
              <w:spacing w:after="40"/>
            </w:pPr>
            <w:r/>
            <w:r>
              <w:rPr>
                <w:sz w:val="19"/>
              </w:rPr>
              <w:t>Producto entre 10 y 15</w:t>
            </w:r>
          </w:p>
        </w:tc>
        <w:tc>
          <w:tcPr>
            <w:tcW w:type="dxa" w:w="4762"/>
          </w:tcPr>
          <w:p>
            <w:pPr>
              <w:spacing w:after="40"/>
            </w:pPr>
            <w:r/>
            <w:r>
              <w:rPr>
                <w:sz w:val="19"/>
              </w:rPr>
              <w:t>Requiere respuesta activa, plan de contingencia y revisión semanal explícita.</w:t>
            </w:r>
          </w:p>
        </w:tc>
      </w:tr>
      <w:tr>
        <w:tc>
          <w:tcPr>
            <w:tcW w:type="dxa" w:w="1247"/>
          </w:tcPr>
          <w:p>
            <w:pPr>
              <w:spacing w:after="40"/>
            </w:pPr>
            <w:r/>
            <w:r>
              <w:rPr>
                <w:sz w:val="19"/>
              </w:rPr>
              <w:t>Muy alta</w:t>
            </w:r>
          </w:p>
        </w:tc>
        <w:tc>
          <w:tcPr>
            <w:tcW w:type="dxa" w:w="3061"/>
          </w:tcPr>
          <w:p>
            <w:pPr>
              <w:spacing w:after="40"/>
            </w:pPr>
            <w:r/>
            <w:r>
              <w:rPr>
                <w:sz w:val="19"/>
              </w:rPr>
              <w:t>Producto mayor a 15</w:t>
            </w:r>
          </w:p>
        </w:tc>
        <w:tc>
          <w:tcPr>
            <w:tcW w:type="dxa" w:w="4762"/>
          </w:tcPr>
          <w:p>
            <w:pPr>
              <w:spacing w:after="40"/>
            </w:pPr>
            <w:r/>
            <w:r>
              <w:rPr>
                <w:sz w:val="19"/>
              </w:rPr>
              <w:t>Se escala al director del proyecto. Requiere plan de contingencia aprobado antes de continuar.</w:t>
            </w:r>
          </w:p>
        </w:tc>
      </w:tr>
    </w:tbl>
    <w:p>
      <w:pPr>
        <w:spacing w:after="40"/>
      </w:pPr>
    </w:p>
    <w:p>
      <w:pPr>
        <w:spacing w:after="160"/>
        <w:jc w:val="both"/>
      </w:pPr>
      <w:r>
        <w:rPr>
          <w:b w:val="0"/>
          <w:i w:val="0"/>
        </w:rPr>
        <w:t>Tolerancia al riesgo del proyecto: la fecha de entrega es la restricción rígida, porque los exámenes del semestre inician el 23 de noviembre y no es negociable. El alcance es la variable con la que se absorben los imprevistos, y el costo tiene margen a través de las reservas. En caso de conflicto, se sacrifica alcance antes que fecha.</w:t>
      </w:r>
    </w:p>
    <w:p>
      <w:pPr>
        <w:pStyle w:val="Heading2"/>
      </w:pPr>
      <w:r>
        <w:t>13. Estructura de desglose de riesgos</w:t>
      </w:r>
    </w:p>
    <w:tbl>
      <w:tblPr>
        <w:tblStyle w:val="TableGrid"/>
        <w:tblW w:type="auto" w:w="0"/>
        <w:jc w:val="center"/>
        <w:tblLayout w:type="fixed"/>
        <w:tblLook w:firstColumn="1" w:firstRow="1" w:lastColumn="0" w:lastRow="0" w:noHBand="0" w:noVBand="1" w:val="04A0"/>
      </w:tblPr>
      <w:tblGrid>
        <w:gridCol w:w="3135"/>
        <w:gridCol w:w="3135"/>
        <w:gridCol w:w="3135"/>
      </w:tblGrid>
      <w:tr>
        <w:tc>
          <w:tcPr>
            <w:tcW w:type="dxa" w:w="1474"/>
          </w:tcPr>
          <w:p>
            <w:pPr>
              <w:spacing w:after="40"/>
              <w:jc w:val="center"/>
            </w:pPr>
            <w:r/>
            <w:r>
              <w:rPr>
                <w:b/>
                <w:sz w:val="19"/>
              </w:rPr>
              <w:t>Categoría</w:t>
            </w:r>
          </w:p>
        </w:tc>
        <w:tc>
          <w:tcPr>
            <w:tcW w:type="dxa" w:w="4762"/>
          </w:tcPr>
          <w:p>
            <w:pPr>
              <w:spacing w:after="40"/>
              <w:jc w:val="center"/>
            </w:pPr>
            <w:r/>
            <w:r>
              <w:rPr>
                <w:b/>
                <w:sz w:val="19"/>
              </w:rPr>
              <w:t>Qué agrupa</w:t>
            </w:r>
          </w:p>
        </w:tc>
        <w:tc>
          <w:tcPr>
            <w:tcW w:type="dxa" w:w="2835"/>
          </w:tcPr>
          <w:p>
            <w:pPr>
              <w:spacing w:after="40"/>
              <w:jc w:val="center"/>
            </w:pPr>
            <w:r/>
            <w:r>
              <w:rPr>
                <w:b/>
                <w:sz w:val="19"/>
              </w:rPr>
              <w:t>Riesgos del registro</w:t>
            </w:r>
          </w:p>
        </w:tc>
      </w:tr>
      <w:tr>
        <w:tc>
          <w:tcPr>
            <w:tcW w:type="dxa" w:w="1474"/>
          </w:tcPr>
          <w:p>
            <w:pPr>
              <w:spacing w:after="40"/>
            </w:pPr>
            <w:r/>
            <w:r>
              <w:rPr>
                <w:sz w:val="19"/>
              </w:rPr>
              <w:t>Técnico</w:t>
            </w:r>
          </w:p>
        </w:tc>
        <w:tc>
          <w:tcPr>
            <w:tcW w:type="dxa" w:w="4762"/>
          </w:tcPr>
          <w:p>
            <w:pPr>
              <w:spacing w:after="40"/>
            </w:pPr>
            <w:r/>
            <w:r>
              <w:rPr>
                <w:sz w:val="19"/>
              </w:rPr>
              <w:t>Rendimiento, latencia, integración y herramientas.</w:t>
            </w:r>
          </w:p>
        </w:tc>
        <w:tc>
          <w:tcPr>
            <w:tcW w:type="dxa" w:w="2835"/>
          </w:tcPr>
          <w:p>
            <w:pPr>
              <w:spacing w:after="40"/>
            </w:pPr>
            <w:r/>
            <w:r>
              <w:rPr>
                <w:sz w:val="19"/>
              </w:rPr>
              <w:t>R1, R7, R8</w:t>
            </w:r>
          </w:p>
        </w:tc>
      </w:tr>
      <w:tr>
        <w:tc>
          <w:tcPr>
            <w:tcW w:type="dxa" w:w="1474"/>
          </w:tcPr>
          <w:p>
            <w:pPr>
              <w:spacing w:after="40"/>
            </w:pPr>
            <w:r/>
            <w:r>
              <w:rPr>
                <w:sz w:val="19"/>
              </w:rPr>
              <w:t>Cronograma</w:t>
            </w:r>
          </w:p>
        </w:tc>
        <w:tc>
          <w:tcPr>
            <w:tcW w:type="dxa" w:w="4762"/>
          </w:tcPr>
          <w:p>
            <w:pPr>
              <w:spacing w:after="40"/>
            </w:pPr>
            <w:r/>
            <w:r>
              <w:rPr>
                <w:sz w:val="19"/>
              </w:rPr>
              <w:t>Encadenamiento de actividades y puntos de convergencia.</w:t>
            </w:r>
          </w:p>
        </w:tc>
        <w:tc>
          <w:tcPr>
            <w:tcW w:type="dxa" w:w="2835"/>
          </w:tcPr>
          <w:p>
            <w:pPr>
              <w:spacing w:after="40"/>
            </w:pPr>
            <w:r/>
            <w:r>
              <w:rPr>
                <w:sz w:val="19"/>
              </w:rPr>
              <w:t>R2</w:t>
            </w:r>
          </w:p>
        </w:tc>
      </w:tr>
      <w:tr>
        <w:tc>
          <w:tcPr>
            <w:tcW w:type="dxa" w:w="1474"/>
          </w:tcPr>
          <w:p>
            <w:pPr>
              <w:spacing w:after="40"/>
            </w:pPr>
            <w:r/>
            <w:r>
              <w:rPr>
                <w:sz w:val="19"/>
              </w:rPr>
              <w:t>Recursos</w:t>
            </w:r>
          </w:p>
        </w:tc>
        <w:tc>
          <w:tcPr>
            <w:tcW w:type="dxa" w:w="4762"/>
          </w:tcPr>
          <w:p>
            <w:pPr>
              <w:spacing w:after="40"/>
            </w:pPr>
            <w:r/>
            <w:r>
              <w:rPr>
                <w:sz w:val="19"/>
              </w:rPr>
              <w:t>Disponibilidad y carga de trabajo del equipo.</w:t>
            </w:r>
          </w:p>
        </w:tc>
        <w:tc>
          <w:tcPr>
            <w:tcW w:type="dxa" w:w="2835"/>
          </w:tcPr>
          <w:p>
            <w:pPr>
              <w:spacing w:after="40"/>
            </w:pPr>
            <w:r/>
            <w:r>
              <w:rPr>
                <w:sz w:val="19"/>
              </w:rPr>
              <w:t>R3, R9</w:t>
            </w:r>
          </w:p>
        </w:tc>
      </w:tr>
      <w:tr>
        <w:tc>
          <w:tcPr>
            <w:tcW w:type="dxa" w:w="1474"/>
          </w:tcPr>
          <w:p>
            <w:pPr>
              <w:spacing w:after="40"/>
            </w:pPr>
            <w:r/>
            <w:r>
              <w:rPr>
                <w:sz w:val="19"/>
              </w:rPr>
              <w:t>Externo</w:t>
            </w:r>
          </w:p>
        </w:tc>
        <w:tc>
          <w:tcPr>
            <w:tcW w:type="dxa" w:w="4762"/>
          </w:tcPr>
          <w:p>
            <w:pPr>
              <w:spacing w:after="40"/>
            </w:pPr>
            <w:r/>
            <w:r>
              <w:rPr>
                <w:sz w:val="19"/>
              </w:rPr>
              <w:t>Dependencias fuera del control del equipo.</w:t>
            </w:r>
          </w:p>
        </w:tc>
        <w:tc>
          <w:tcPr>
            <w:tcW w:type="dxa" w:w="2835"/>
          </w:tcPr>
          <w:p>
            <w:pPr>
              <w:spacing w:after="40"/>
            </w:pPr>
            <w:r/>
            <w:r>
              <w:rPr>
                <w:sz w:val="19"/>
              </w:rPr>
              <w:t>R4, R5, R6</w:t>
            </w:r>
          </w:p>
        </w:tc>
      </w:tr>
    </w:tbl>
    <w:p>
      <w:pPr>
        <w:spacing w:after="40"/>
      </w:pPr>
    </w:p>
    <w:p>
      <w:pPr>
        <w:pStyle w:val="Heading2"/>
      </w:pPr>
      <w:r>
        <w:t>14. Registro de riesgos y respuestas</w:t>
      </w:r>
    </w:p>
    <w:p>
      <w:pPr>
        <w:spacing w:after="160"/>
        <w:jc w:val="both"/>
      </w:pPr>
      <w:r>
        <w:rPr>
          <w:b w:val="0"/>
          <w:i w:val="0"/>
        </w:rPr>
        <w:t>Cada riesgo lleva su estrategia de respuesta, el responsable de ejecutarla, el disparador que indica que hay que actuar y el plan de contingencia si el riesgo se materializa.</w:t>
      </w:r>
    </w:p>
    <w:p>
      <w:pPr>
        <w:jc w:val="center"/>
      </w:pPr>
      <w:r>
        <w:drawing>
          <wp:inline xmlns:a="http://schemas.openxmlformats.org/drawingml/2006/main" xmlns:pic="http://schemas.openxmlformats.org/drawingml/2006/picture">
            <wp:extent cx="5112000" cy="3357838"/>
            <wp:docPr id="1" name="Picture 1"/>
            <wp:cNvGraphicFramePr>
              <a:graphicFrameLocks noChangeAspect="1"/>
            </wp:cNvGraphicFramePr>
            <a:graphic>
              <a:graphicData uri="http://schemas.openxmlformats.org/drawingml/2006/picture">
                <pic:pic>
                  <pic:nvPicPr>
                    <pic:cNvPr id="0" name="Fig4_Matriz_riesgos.png"/>
                    <pic:cNvPicPr/>
                  </pic:nvPicPr>
                  <pic:blipFill>
                    <a:blip r:embed="rId9"/>
                    <a:stretch>
                      <a:fillRect/>
                    </a:stretch>
                  </pic:blipFill>
                  <pic:spPr>
                    <a:xfrm>
                      <a:off x="0" y="0"/>
                      <a:ext cx="5112000" cy="3357838"/>
                    </a:xfrm>
                    <a:prstGeom prst="rect"/>
                  </pic:spPr>
                </pic:pic>
              </a:graphicData>
            </a:graphic>
          </wp:inline>
        </w:drawing>
      </w:r>
    </w:p>
    <w:p>
      <w:pPr>
        <w:spacing w:after="200"/>
        <w:jc w:val="center"/>
      </w:pPr>
      <w:r>
        <w:rPr>
          <w:i/>
          <w:sz w:val="18"/>
        </w:rPr>
        <w:t>Matriz de probabilidad e impacto de los nueve riesgos identificados.</w:t>
      </w:r>
    </w:p>
    <w:p>
      <w:pPr>
        <w:pStyle w:val="Heading3"/>
      </w:pPr>
      <w:r>
        <w:t>R1 — La latencia entre golpe y sonido supera los 30 ms y obliga a rehacer el sistema de audio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Técnico</w:t>
            </w:r>
          </w:p>
        </w:tc>
      </w:tr>
      <w:tr>
        <w:tc>
          <w:tcPr>
            <w:tcW w:type="dxa" w:w="2268"/>
          </w:tcPr>
          <w:p>
            <w:pPr>
              <w:spacing w:after="40"/>
            </w:pPr>
            <w:r/>
            <w:r>
              <w:rPr>
                <w:sz w:val="18"/>
              </w:rPr>
              <w:t>Probabilidad</w:t>
            </w:r>
          </w:p>
        </w:tc>
        <w:tc>
          <w:tcPr>
            <w:tcW w:type="dxa" w:w="6803"/>
          </w:tcPr>
          <w:p>
            <w:pPr>
              <w:spacing w:after="40"/>
            </w:pPr>
            <w:r/>
            <w:r>
              <w:rPr>
                <w:sz w:val="18"/>
              </w:rPr>
              <w:t>30%</w:t>
            </w:r>
          </w:p>
        </w:tc>
      </w:tr>
      <w:tr>
        <w:tc>
          <w:tcPr>
            <w:tcW w:type="dxa" w:w="2268"/>
          </w:tcPr>
          <w:p>
            <w:pPr>
              <w:spacing w:after="40"/>
            </w:pPr>
            <w:r/>
            <w:r>
              <w:rPr>
                <w:sz w:val="18"/>
              </w:rPr>
              <w:t>Impacto estimado</w:t>
            </w:r>
          </w:p>
        </w:tc>
        <w:tc>
          <w:tcPr>
            <w:tcW w:type="dxa" w:w="6803"/>
          </w:tcPr>
          <w:p>
            <w:pPr>
              <w:spacing w:after="40"/>
            </w:pPr>
            <w:r/>
            <w:r>
              <w:rPr>
                <w:sz w:val="18"/>
              </w:rPr>
              <w:t>$21,000</w:t>
            </w:r>
          </w:p>
        </w:tc>
      </w:tr>
      <w:tr>
        <w:tc>
          <w:tcPr>
            <w:tcW w:type="dxa" w:w="2268"/>
          </w:tcPr>
          <w:p>
            <w:pPr>
              <w:spacing w:after="40"/>
            </w:pPr>
            <w:r/>
            <w:r>
              <w:rPr>
                <w:sz w:val="18"/>
              </w:rPr>
              <w:t>Valor monetario esperado</w:t>
            </w:r>
          </w:p>
        </w:tc>
        <w:tc>
          <w:tcPr>
            <w:tcW w:type="dxa" w:w="6803"/>
          </w:tcPr>
          <w:p>
            <w:pPr>
              <w:spacing w:after="40"/>
            </w:pPr>
            <w:r/>
            <w:r>
              <w:rPr>
                <w:sz w:val="18"/>
              </w:rPr>
              <w:t>$6,300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Desarrollador VR</w:t>
            </w:r>
          </w:p>
        </w:tc>
      </w:tr>
      <w:tr>
        <w:tc>
          <w:tcPr>
            <w:tcW w:type="dxa" w:w="2268"/>
          </w:tcPr>
          <w:p>
            <w:pPr>
              <w:spacing w:after="40"/>
            </w:pPr>
            <w:r/>
            <w:r>
              <w:rPr>
                <w:sz w:val="18"/>
              </w:rPr>
              <w:t>Disparador</w:t>
            </w:r>
          </w:p>
        </w:tc>
        <w:tc>
          <w:tcPr>
            <w:tcW w:type="dxa" w:w="6803"/>
          </w:tcPr>
          <w:p>
            <w:pPr>
              <w:spacing w:after="40"/>
            </w:pPr>
            <w:r/>
            <w:r>
              <w:rPr>
                <w:sz w:val="18"/>
              </w:rPr>
              <w:t>El hito de verificación de latencia arroja una medición superior a 30 ms.</w:t>
            </w:r>
          </w:p>
        </w:tc>
      </w:tr>
      <w:tr>
        <w:tc>
          <w:tcPr>
            <w:tcW w:type="dxa" w:w="2268"/>
          </w:tcPr>
          <w:p>
            <w:pPr>
              <w:spacing w:after="40"/>
            </w:pPr>
            <w:r/>
            <w:r>
              <w:rPr>
                <w:sz w:val="18"/>
              </w:rPr>
              <w:t>Plan de respuesta y contingencia</w:t>
            </w:r>
          </w:p>
        </w:tc>
        <w:tc>
          <w:tcPr>
            <w:tcW w:type="dxa" w:w="6803"/>
          </w:tcPr>
          <w:p>
            <w:pPr>
              <w:spacing w:after="40"/>
            </w:pPr>
            <w:r/>
            <w:r>
              <w:rPr>
                <w:sz w:val="18"/>
              </w:rPr>
              <w:t>Sincronizar el audio contra el reloj del sistema de audio y no contra el ciclo de cuadro. Reducir el tamaño del búfer. Si aun así no se alcanza el umbral, se convoca al director para acotar el alcance del sistema de audio y se documenta la limitación.</w:t>
            </w:r>
          </w:p>
        </w:tc>
      </w:tr>
    </w:tbl>
    <w:p>
      <w:pPr>
        <w:spacing w:after="40"/>
      </w:pPr>
    </w:p>
    <w:p>
      <w:pPr>
        <w:pStyle w:val="Heading3"/>
      </w:pPr>
      <w:r>
        <w:t>R2 — La cadena del entorno tridimensional se retrasa y arrastra la fecha final</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Cronograma</w:t>
            </w:r>
          </w:p>
        </w:tc>
      </w:tr>
      <w:tr>
        <w:tc>
          <w:tcPr>
            <w:tcW w:type="dxa" w:w="2268"/>
          </w:tcPr>
          <w:p>
            <w:pPr>
              <w:spacing w:after="40"/>
            </w:pPr>
            <w:r/>
            <w:r>
              <w:rPr>
                <w:sz w:val="18"/>
              </w:rPr>
              <w:t>Probabilidad</w:t>
            </w:r>
          </w:p>
        </w:tc>
        <w:tc>
          <w:tcPr>
            <w:tcW w:type="dxa" w:w="6803"/>
          </w:tcPr>
          <w:p>
            <w:pPr>
              <w:spacing w:after="40"/>
            </w:pPr>
            <w:r/>
            <w:r>
              <w:rPr>
                <w:sz w:val="18"/>
              </w:rPr>
              <w:t>40%</w:t>
            </w:r>
          </w:p>
        </w:tc>
      </w:tr>
      <w:tr>
        <w:tc>
          <w:tcPr>
            <w:tcW w:type="dxa" w:w="2268"/>
          </w:tcPr>
          <w:p>
            <w:pPr>
              <w:spacing w:after="40"/>
            </w:pPr>
            <w:r/>
            <w:r>
              <w:rPr>
                <w:sz w:val="18"/>
              </w:rPr>
              <w:t>Impacto estimado</w:t>
            </w:r>
          </w:p>
        </w:tc>
        <w:tc>
          <w:tcPr>
            <w:tcW w:type="dxa" w:w="6803"/>
          </w:tcPr>
          <w:p>
            <w:pPr>
              <w:spacing w:after="40"/>
            </w:pPr>
            <w:r/>
            <w:r>
              <w:rPr>
                <w:sz w:val="18"/>
              </w:rPr>
              <w:t>$13,500</w:t>
            </w:r>
          </w:p>
        </w:tc>
      </w:tr>
      <w:tr>
        <w:tc>
          <w:tcPr>
            <w:tcW w:type="dxa" w:w="2268"/>
          </w:tcPr>
          <w:p>
            <w:pPr>
              <w:spacing w:after="40"/>
            </w:pPr>
            <w:r/>
            <w:r>
              <w:rPr>
                <w:sz w:val="18"/>
              </w:rPr>
              <w:t>Valor monetario esperado</w:t>
            </w:r>
          </w:p>
        </w:tc>
        <w:tc>
          <w:tcPr>
            <w:tcW w:type="dxa" w:w="6803"/>
          </w:tcPr>
          <w:p>
            <w:pPr>
              <w:spacing w:after="40"/>
            </w:pPr>
            <w:r/>
            <w:r>
              <w:rPr>
                <w:sz w:val="18"/>
              </w:rPr>
              <w:t>$5,400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Responsable de Entorno 3D</w:t>
            </w:r>
          </w:p>
        </w:tc>
      </w:tr>
      <w:tr>
        <w:tc>
          <w:tcPr>
            <w:tcW w:type="dxa" w:w="2268"/>
          </w:tcPr>
          <w:p>
            <w:pPr>
              <w:spacing w:after="40"/>
            </w:pPr>
            <w:r/>
            <w:r>
              <w:rPr>
                <w:sz w:val="18"/>
              </w:rPr>
              <w:t>Disparador</w:t>
            </w:r>
          </w:p>
        </w:tc>
        <w:tc>
          <w:tcPr>
            <w:tcW w:type="dxa" w:w="6803"/>
          </w:tcPr>
          <w:p>
            <w:pPr>
              <w:spacing w:after="40"/>
            </w:pPr>
            <w:r/>
            <w:r>
              <w:rPr>
                <w:sz w:val="18"/>
              </w:rPr>
              <w:t>Cualquier actividad de la cadena del entorno acumula un día de retraso.</w:t>
            </w:r>
          </w:p>
        </w:tc>
      </w:tr>
      <w:tr>
        <w:tc>
          <w:tcPr>
            <w:tcW w:type="dxa" w:w="2268"/>
          </w:tcPr>
          <w:p>
            <w:pPr>
              <w:spacing w:after="40"/>
            </w:pPr>
            <w:r/>
            <w:r>
              <w:rPr>
                <w:sz w:val="18"/>
              </w:rPr>
              <w:t>Plan de respuesta y contingencia</w:t>
            </w:r>
          </w:p>
        </w:tc>
        <w:tc>
          <w:tcPr>
            <w:tcW w:type="dxa" w:w="6803"/>
          </w:tcPr>
          <w:p>
            <w:pPr>
              <w:spacing w:after="40"/>
            </w:pPr>
            <w:r/>
            <w:r>
              <w:rPr>
                <w:sz w:val="18"/>
              </w:rPr>
              <w:t>Traslapar la búsqueda de assets con la composición del escenario. Reasignar temporalmente apoyo de otra área. La cadena tiene 17 actividades seriales y concentra más de la mitad de la ruta crítica, de modo que se vigila semanalmente.</w:t>
            </w:r>
          </w:p>
        </w:tc>
      </w:tr>
    </w:tbl>
    <w:p>
      <w:pPr>
        <w:spacing w:after="40"/>
      </w:pPr>
    </w:p>
    <w:p>
      <w:pPr>
        <w:pStyle w:val="Heading3"/>
      </w:pPr>
      <w:r>
        <w:t>R3 — La carga de QA no cabe en su ventana y obliga a redistribuir trabajo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Recursos</w:t>
            </w:r>
          </w:p>
        </w:tc>
      </w:tr>
      <w:tr>
        <w:tc>
          <w:tcPr>
            <w:tcW w:type="dxa" w:w="2268"/>
          </w:tcPr>
          <w:p>
            <w:pPr>
              <w:spacing w:after="40"/>
            </w:pPr>
            <w:r/>
            <w:r>
              <w:rPr>
                <w:sz w:val="18"/>
              </w:rPr>
              <w:t>Probabilidad</w:t>
            </w:r>
          </w:p>
        </w:tc>
        <w:tc>
          <w:tcPr>
            <w:tcW w:type="dxa" w:w="6803"/>
          </w:tcPr>
          <w:p>
            <w:pPr>
              <w:spacing w:after="40"/>
            </w:pPr>
            <w:r/>
            <w:r>
              <w:rPr>
                <w:sz w:val="18"/>
              </w:rPr>
              <w:t>60%</w:t>
            </w:r>
          </w:p>
        </w:tc>
      </w:tr>
      <w:tr>
        <w:tc>
          <w:tcPr>
            <w:tcW w:type="dxa" w:w="2268"/>
          </w:tcPr>
          <w:p>
            <w:pPr>
              <w:spacing w:after="40"/>
            </w:pPr>
            <w:r/>
            <w:r>
              <w:rPr>
                <w:sz w:val="18"/>
              </w:rPr>
              <w:t>Impacto estimado</w:t>
            </w:r>
          </w:p>
        </w:tc>
        <w:tc>
          <w:tcPr>
            <w:tcW w:type="dxa" w:w="6803"/>
          </w:tcPr>
          <w:p>
            <w:pPr>
              <w:spacing w:after="40"/>
            </w:pPr>
            <w:r/>
            <w:r>
              <w:rPr>
                <w:sz w:val="18"/>
              </w:rPr>
              <w:t>$10,000</w:t>
            </w:r>
          </w:p>
        </w:tc>
      </w:tr>
      <w:tr>
        <w:tc>
          <w:tcPr>
            <w:tcW w:type="dxa" w:w="2268"/>
          </w:tcPr>
          <w:p>
            <w:pPr>
              <w:spacing w:after="40"/>
            </w:pPr>
            <w:r/>
            <w:r>
              <w:rPr>
                <w:sz w:val="18"/>
              </w:rPr>
              <w:t>Valor monetario esperado</w:t>
            </w:r>
          </w:p>
        </w:tc>
        <w:tc>
          <w:tcPr>
            <w:tcW w:type="dxa" w:w="6803"/>
          </w:tcPr>
          <w:p>
            <w:pPr>
              <w:spacing w:after="40"/>
            </w:pPr>
            <w:r/>
            <w:r>
              <w:rPr>
                <w:sz w:val="18"/>
              </w:rPr>
              <w:t>$6,000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Gerente de proyecto</w:t>
            </w:r>
          </w:p>
        </w:tc>
      </w:tr>
      <w:tr>
        <w:tc>
          <w:tcPr>
            <w:tcW w:type="dxa" w:w="2268"/>
          </w:tcPr>
          <w:p>
            <w:pPr>
              <w:spacing w:after="40"/>
            </w:pPr>
            <w:r/>
            <w:r>
              <w:rPr>
                <w:sz w:val="18"/>
              </w:rPr>
              <w:t>Disparador</w:t>
            </w:r>
          </w:p>
        </w:tc>
        <w:tc>
          <w:tcPr>
            <w:tcW w:type="dxa" w:w="6803"/>
          </w:tcPr>
          <w:p>
            <w:pPr>
              <w:spacing w:after="40"/>
            </w:pPr>
            <w:r/>
            <w:r>
              <w:rPr>
                <w:sz w:val="18"/>
              </w:rPr>
              <w:t>La carga acumulada del área de QA supera el 110 % de su ventana disponible.</w:t>
            </w:r>
          </w:p>
        </w:tc>
      </w:tr>
      <w:tr>
        <w:tc>
          <w:tcPr>
            <w:tcW w:type="dxa" w:w="2268"/>
          </w:tcPr>
          <w:p>
            <w:pPr>
              <w:spacing w:after="40"/>
            </w:pPr>
            <w:r/>
            <w:r>
              <w:rPr>
                <w:sz w:val="18"/>
              </w:rPr>
              <w:t>Plan de respuesta y contingencia</w:t>
            </w:r>
          </w:p>
        </w:tc>
        <w:tc>
          <w:tcPr>
            <w:tcW w:type="dxa" w:w="6803"/>
          </w:tcPr>
          <w:p>
            <w:pPr>
              <w:spacing w:after="40"/>
            </w:pPr>
            <w:r/>
            <w:r>
              <w:rPr>
                <w:sz w:val="18"/>
              </w:rPr>
              <w:t>Redistribuir documentación, evidencias y manuales entre las ocho áreas, dejando en QA solo pruebas y gestión de errores. Es la medida que más brecha cierra.</w:t>
            </w:r>
          </w:p>
        </w:tc>
      </w:tr>
    </w:tbl>
    <w:p>
      <w:pPr>
        <w:spacing w:after="40"/>
      </w:pPr>
    </w:p>
    <w:p>
      <w:pPr>
        <w:pStyle w:val="Heading3"/>
      </w:pPr>
      <w:r>
        <w:t>R4 — Los recursos con licencia libre resultan insuficientes o de licencia ambigua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Externo</w:t>
            </w:r>
          </w:p>
        </w:tc>
      </w:tr>
      <w:tr>
        <w:tc>
          <w:tcPr>
            <w:tcW w:type="dxa" w:w="2268"/>
          </w:tcPr>
          <w:p>
            <w:pPr>
              <w:spacing w:after="40"/>
            </w:pPr>
            <w:r/>
            <w:r>
              <w:rPr>
                <w:sz w:val="18"/>
              </w:rPr>
              <w:t>Probabilidad</w:t>
            </w:r>
          </w:p>
        </w:tc>
        <w:tc>
          <w:tcPr>
            <w:tcW w:type="dxa" w:w="6803"/>
          </w:tcPr>
          <w:p>
            <w:pPr>
              <w:spacing w:after="40"/>
            </w:pPr>
            <w:r/>
            <w:r>
              <w:rPr>
                <w:sz w:val="18"/>
              </w:rPr>
              <w:t>35%</w:t>
            </w:r>
          </w:p>
        </w:tc>
      </w:tr>
      <w:tr>
        <w:tc>
          <w:tcPr>
            <w:tcW w:type="dxa" w:w="2268"/>
          </w:tcPr>
          <w:p>
            <w:pPr>
              <w:spacing w:after="40"/>
            </w:pPr>
            <w:r/>
            <w:r>
              <w:rPr>
                <w:sz w:val="18"/>
              </w:rPr>
              <w:t>Impacto estimado</w:t>
            </w:r>
          </w:p>
        </w:tc>
        <w:tc>
          <w:tcPr>
            <w:tcW w:type="dxa" w:w="6803"/>
          </w:tcPr>
          <w:p>
            <w:pPr>
              <w:spacing w:after="40"/>
            </w:pPr>
            <w:r/>
            <w:r>
              <w:rPr>
                <w:sz w:val="18"/>
              </w:rPr>
              <w:t>$8,000</w:t>
            </w:r>
          </w:p>
        </w:tc>
      </w:tr>
      <w:tr>
        <w:tc>
          <w:tcPr>
            <w:tcW w:type="dxa" w:w="2268"/>
          </w:tcPr>
          <w:p>
            <w:pPr>
              <w:spacing w:after="40"/>
            </w:pPr>
            <w:r/>
            <w:r>
              <w:rPr>
                <w:sz w:val="18"/>
              </w:rPr>
              <w:t>Valor monetario esperado</w:t>
            </w:r>
          </w:p>
        </w:tc>
        <w:tc>
          <w:tcPr>
            <w:tcW w:type="dxa" w:w="6803"/>
          </w:tcPr>
          <w:p>
            <w:pPr>
              <w:spacing w:after="40"/>
            </w:pPr>
            <w:r/>
            <w:r>
              <w:rPr>
                <w:sz w:val="18"/>
              </w:rPr>
              <w:t>$2,800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Responsable de Música y de Sonido</w:t>
            </w:r>
          </w:p>
        </w:tc>
      </w:tr>
      <w:tr>
        <w:tc>
          <w:tcPr>
            <w:tcW w:type="dxa" w:w="2268"/>
          </w:tcPr>
          <w:p>
            <w:pPr>
              <w:spacing w:after="40"/>
            </w:pPr>
            <w:r/>
            <w:r>
              <w:rPr>
                <w:sz w:val="18"/>
              </w:rPr>
              <w:t>Disparador</w:t>
            </w:r>
          </w:p>
        </w:tc>
        <w:tc>
          <w:tcPr>
            <w:tcW w:type="dxa" w:w="6803"/>
          </w:tcPr>
          <w:p>
            <w:pPr>
              <w:spacing w:after="40"/>
            </w:pPr>
            <w:r/>
            <w:r>
              <w:rPr>
                <w:sz w:val="18"/>
              </w:rPr>
              <w:t>Un recurso incorporado no tiene licencia verificable.</w:t>
            </w:r>
          </w:p>
        </w:tc>
      </w:tr>
      <w:tr>
        <w:tc>
          <w:tcPr>
            <w:tcW w:type="dxa" w:w="2268"/>
          </w:tcPr>
          <w:p>
            <w:pPr>
              <w:spacing w:after="40"/>
            </w:pPr>
            <w:r/>
            <w:r>
              <w:rPr>
                <w:sz w:val="18"/>
              </w:rPr>
              <w:t>Plan de respuesta y contingencia</w:t>
            </w:r>
          </w:p>
        </w:tc>
        <w:tc>
          <w:tcPr>
            <w:tcW w:type="dxa" w:w="6803"/>
          </w:tcPr>
          <w:p>
            <w:pPr>
              <w:spacing w:after="40"/>
            </w:pPr>
            <w:r/>
            <w:r>
              <w:rPr>
                <w:sz w:val="18"/>
              </w:rPr>
              <w:t>Verificar y registrar la licencia antes de incorporar cualquier recurso. Mantener una lista de recursos sustitutos. Si un recurso debe retirarse, se reemplaza desde esa lista.</w:t>
            </w:r>
          </w:p>
        </w:tc>
      </w:tr>
    </w:tbl>
    <w:p>
      <w:pPr>
        <w:spacing w:after="40"/>
      </w:pPr>
    </w:p>
    <w:p>
      <w:pPr>
        <w:pStyle w:val="Heading3"/>
      </w:pPr>
      <w:r>
        <w:t>R5 — La Facultad no concreta el préstamo de los visores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Externo</w:t>
            </w:r>
          </w:p>
        </w:tc>
      </w:tr>
      <w:tr>
        <w:tc>
          <w:tcPr>
            <w:tcW w:type="dxa" w:w="2268"/>
          </w:tcPr>
          <w:p>
            <w:pPr>
              <w:spacing w:after="40"/>
            </w:pPr>
            <w:r/>
            <w:r>
              <w:rPr>
                <w:sz w:val="18"/>
              </w:rPr>
              <w:t>Probabilidad</w:t>
            </w:r>
          </w:p>
        </w:tc>
        <w:tc>
          <w:tcPr>
            <w:tcW w:type="dxa" w:w="6803"/>
          </w:tcPr>
          <w:p>
            <w:pPr>
              <w:spacing w:after="40"/>
            </w:pPr>
            <w:r/>
            <w:r>
              <w:rPr>
                <w:sz w:val="18"/>
              </w:rPr>
              <w:t>20%</w:t>
            </w:r>
          </w:p>
        </w:tc>
      </w:tr>
      <w:tr>
        <w:tc>
          <w:tcPr>
            <w:tcW w:type="dxa" w:w="2268"/>
          </w:tcPr>
          <w:p>
            <w:pPr>
              <w:spacing w:after="40"/>
            </w:pPr>
            <w:r/>
            <w:r>
              <w:rPr>
                <w:sz w:val="18"/>
              </w:rPr>
              <w:t>Impacto estimado</w:t>
            </w:r>
          </w:p>
        </w:tc>
        <w:tc>
          <w:tcPr>
            <w:tcW w:type="dxa" w:w="6803"/>
          </w:tcPr>
          <w:p>
            <w:pPr>
              <w:spacing w:after="40"/>
            </w:pPr>
            <w:r/>
            <w:r>
              <w:rPr>
                <w:sz w:val="18"/>
              </w:rPr>
              <w:t>$18,998</w:t>
            </w:r>
          </w:p>
        </w:tc>
      </w:tr>
      <w:tr>
        <w:tc>
          <w:tcPr>
            <w:tcW w:type="dxa" w:w="2268"/>
          </w:tcPr>
          <w:p>
            <w:pPr>
              <w:spacing w:after="40"/>
            </w:pPr>
            <w:r/>
            <w:r>
              <w:rPr>
                <w:sz w:val="18"/>
              </w:rPr>
              <w:t>Valor monetario esperado</w:t>
            </w:r>
          </w:p>
        </w:tc>
        <w:tc>
          <w:tcPr>
            <w:tcW w:type="dxa" w:w="6803"/>
          </w:tcPr>
          <w:p>
            <w:pPr>
              <w:spacing w:after="40"/>
            </w:pPr>
            <w:r/>
            <w:r>
              <w:rPr>
                <w:sz w:val="18"/>
              </w:rPr>
              <w:t>$3,800</w:t>
            </w:r>
          </w:p>
        </w:tc>
      </w:tr>
      <w:tr>
        <w:tc>
          <w:tcPr>
            <w:tcW w:type="dxa" w:w="2268"/>
          </w:tcPr>
          <w:p>
            <w:pPr>
              <w:spacing w:after="40"/>
            </w:pPr>
            <w:r/>
            <w:r>
              <w:rPr>
                <w:sz w:val="18"/>
              </w:rPr>
              <w:t>Estrategia de respuesta</w:t>
            </w:r>
          </w:p>
        </w:tc>
        <w:tc>
          <w:tcPr>
            <w:tcW w:type="dxa" w:w="6803"/>
          </w:tcPr>
          <w:p>
            <w:pPr>
              <w:spacing w:after="40"/>
            </w:pPr>
            <w:r/>
            <w:r>
              <w:rPr>
                <w:sz w:val="18"/>
              </w:rPr>
              <w:t>Transferir</w:t>
            </w:r>
          </w:p>
        </w:tc>
      </w:tr>
      <w:tr>
        <w:tc>
          <w:tcPr>
            <w:tcW w:type="dxa" w:w="2268"/>
          </w:tcPr>
          <w:p>
            <w:pPr>
              <w:spacing w:after="40"/>
            </w:pPr>
            <w:r/>
            <w:r>
              <w:rPr>
                <w:sz w:val="18"/>
              </w:rPr>
              <w:t>Responsable</w:t>
            </w:r>
          </w:p>
        </w:tc>
        <w:tc>
          <w:tcPr>
            <w:tcW w:type="dxa" w:w="6803"/>
          </w:tcPr>
          <w:p>
            <w:pPr>
              <w:spacing w:after="40"/>
            </w:pPr>
            <w:r/>
            <w:r>
              <w:rPr>
                <w:sz w:val="18"/>
              </w:rPr>
              <w:t>Director de proyecto</w:t>
            </w:r>
          </w:p>
        </w:tc>
      </w:tr>
      <w:tr>
        <w:tc>
          <w:tcPr>
            <w:tcW w:type="dxa" w:w="2268"/>
          </w:tcPr>
          <w:p>
            <w:pPr>
              <w:spacing w:after="40"/>
            </w:pPr>
            <w:r/>
            <w:r>
              <w:rPr>
                <w:sz w:val="18"/>
              </w:rPr>
              <w:t>Disparador</w:t>
            </w:r>
          </w:p>
        </w:tc>
        <w:tc>
          <w:tcPr>
            <w:tcW w:type="dxa" w:w="6803"/>
          </w:tcPr>
          <w:p>
            <w:pPr>
              <w:spacing w:after="40"/>
            </w:pPr>
            <w:r/>
            <w:r>
              <w:rPr>
                <w:sz w:val="18"/>
              </w:rPr>
              <w:t>No hay confirmación escrita del préstamo antes del inicio de la fase de desarrollo.</w:t>
            </w:r>
          </w:p>
        </w:tc>
      </w:tr>
      <w:tr>
        <w:tc>
          <w:tcPr>
            <w:tcW w:type="dxa" w:w="2268"/>
          </w:tcPr>
          <w:p>
            <w:pPr>
              <w:spacing w:after="40"/>
            </w:pPr>
            <w:r/>
            <w:r>
              <w:rPr>
                <w:sz w:val="18"/>
              </w:rPr>
              <w:t>Plan de respuesta y contingencia</w:t>
            </w:r>
          </w:p>
        </w:tc>
        <w:tc>
          <w:tcPr>
            <w:tcW w:type="dxa" w:w="6803"/>
          </w:tcPr>
          <w:p>
            <w:pPr>
              <w:spacing w:after="40"/>
            </w:pPr>
            <w:r/>
            <w:r>
              <w:rPr>
                <w:sz w:val="18"/>
              </w:rPr>
              <w:t>Obtener confirmación por escrito de la Facultad. Si no se concreta, se evalúa renta por el periodo de pruebas o se reduce a un solo visor, con el impacto correspondiente sobre las sesiones simultáneas.</w:t>
            </w:r>
          </w:p>
        </w:tc>
      </w:tr>
    </w:tbl>
    <w:p>
      <w:pPr>
        <w:spacing w:after="40"/>
      </w:pPr>
    </w:p>
    <w:p>
      <w:pPr>
        <w:pStyle w:val="Heading3"/>
      </w:pPr>
      <w:r>
        <w:t>R6 — Falla o indisponibilidad de un visor prestado durante el proyecto</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Externo</w:t>
            </w:r>
          </w:p>
        </w:tc>
      </w:tr>
      <w:tr>
        <w:tc>
          <w:tcPr>
            <w:tcW w:type="dxa" w:w="2268"/>
          </w:tcPr>
          <w:p>
            <w:pPr>
              <w:spacing w:after="40"/>
            </w:pPr>
            <w:r/>
            <w:r>
              <w:rPr>
                <w:sz w:val="18"/>
              </w:rPr>
              <w:t>Probabilidad</w:t>
            </w:r>
          </w:p>
        </w:tc>
        <w:tc>
          <w:tcPr>
            <w:tcW w:type="dxa" w:w="6803"/>
          </w:tcPr>
          <w:p>
            <w:pPr>
              <w:spacing w:after="40"/>
            </w:pPr>
            <w:r/>
            <w:r>
              <w:rPr>
                <w:sz w:val="18"/>
              </w:rPr>
              <w:t>15%</w:t>
            </w:r>
          </w:p>
        </w:tc>
      </w:tr>
      <w:tr>
        <w:tc>
          <w:tcPr>
            <w:tcW w:type="dxa" w:w="2268"/>
          </w:tcPr>
          <w:p>
            <w:pPr>
              <w:spacing w:after="40"/>
            </w:pPr>
            <w:r/>
            <w:r>
              <w:rPr>
                <w:sz w:val="18"/>
              </w:rPr>
              <w:t>Impacto estimado</w:t>
            </w:r>
          </w:p>
        </w:tc>
        <w:tc>
          <w:tcPr>
            <w:tcW w:type="dxa" w:w="6803"/>
          </w:tcPr>
          <w:p>
            <w:pPr>
              <w:spacing w:after="40"/>
            </w:pPr>
            <w:r/>
            <w:r>
              <w:rPr>
                <w:sz w:val="18"/>
              </w:rPr>
              <w:t>$9,000</w:t>
            </w:r>
          </w:p>
        </w:tc>
      </w:tr>
      <w:tr>
        <w:tc>
          <w:tcPr>
            <w:tcW w:type="dxa" w:w="2268"/>
          </w:tcPr>
          <w:p>
            <w:pPr>
              <w:spacing w:after="40"/>
            </w:pPr>
            <w:r/>
            <w:r>
              <w:rPr>
                <w:sz w:val="18"/>
              </w:rPr>
              <w:t>Valor monetario esperado</w:t>
            </w:r>
          </w:p>
        </w:tc>
        <w:tc>
          <w:tcPr>
            <w:tcW w:type="dxa" w:w="6803"/>
          </w:tcPr>
          <w:p>
            <w:pPr>
              <w:spacing w:after="40"/>
            </w:pPr>
            <w:r/>
            <w:r>
              <w:rPr>
                <w:sz w:val="18"/>
              </w:rPr>
              <w:t>$1,350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Coordinador</w:t>
            </w:r>
          </w:p>
        </w:tc>
      </w:tr>
      <w:tr>
        <w:tc>
          <w:tcPr>
            <w:tcW w:type="dxa" w:w="2268"/>
          </w:tcPr>
          <w:p>
            <w:pPr>
              <w:spacing w:after="40"/>
            </w:pPr>
            <w:r/>
            <w:r>
              <w:rPr>
                <w:sz w:val="18"/>
              </w:rPr>
              <w:t>Disparador</w:t>
            </w:r>
          </w:p>
        </w:tc>
        <w:tc>
          <w:tcPr>
            <w:tcW w:type="dxa" w:w="6803"/>
          </w:tcPr>
          <w:p>
            <w:pPr>
              <w:spacing w:after="40"/>
            </w:pPr>
            <w:r/>
            <w:r>
              <w:rPr>
                <w:sz w:val="18"/>
              </w:rPr>
              <w:t>Un visor presenta fallas o deja de estar disponible.</w:t>
            </w:r>
          </w:p>
        </w:tc>
      </w:tr>
      <w:tr>
        <w:tc>
          <w:tcPr>
            <w:tcW w:type="dxa" w:w="2268"/>
          </w:tcPr>
          <w:p>
            <w:pPr>
              <w:spacing w:after="40"/>
            </w:pPr>
            <w:r/>
            <w:r>
              <w:rPr>
                <w:sz w:val="18"/>
              </w:rPr>
              <w:t>Plan de respuesta y contingencia</w:t>
            </w:r>
          </w:p>
        </w:tc>
        <w:tc>
          <w:tcPr>
            <w:tcW w:type="dxa" w:w="6803"/>
          </w:tcPr>
          <w:p>
            <w:pPr>
              <w:spacing w:after="40"/>
            </w:pPr>
            <w:r/>
            <w:r>
              <w:rPr>
                <w:sz w:val="18"/>
              </w:rPr>
              <w:t>Mantener el desarrollo ejecutable también en el simulador de escritorio, de modo que la falta de visor no detenga el trabajo. Reportar la incidencia a la Facultad de inmediato.</w:t>
            </w:r>
          </w:p>
        </w:tc>
      </w:tr>
    </w:tbl>
    <w:p>
      <w:pPr>
        <w:spacing w:after="40"/>
      </w:pPr>
    </w:p>
    <w:p>
      <w:pPr>
        <w:pStyle w:val="Heading3"/>
      </w:pPr>
      <w:r>
        <w:t>R7 — Usuarios de prueba reportan mareo y hay que rehacer la ergonomía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Técnico</w:t>
            </w:r>
          </w:p>
        </w:tc>
      </w:tr>
      <w:tr>
        <w:tc>
          <w:tcPr>
            <w:tcW w:type="dxa" w:w="2268"/>
          </w:tcPr>
          <w:p>
            <w:pPr>
              <w:spacing w:after="40"/>
            </w:pPr>
            <w:r/>
            <w:r>
              <w:rPr>
                <w:sz w:val="18"/>
              </w:rPr>
              <w:t>Probabilidad</w:t>
            </w:r>
          </w:p>
        </w:tc>
        <w:tc>
          <w:tcPr>
            <w:tcW w:type="dxa" w:w="6803"/>
          </w:tcPr>
          <w:p>
            <w:pPr>
              <w:spacing w:after="40"/>
            </w:pPr>
            <w:r/>
            <w:r>
              <w:rPr>
                <w:sz w:val="18"/>
              </w:rPr>
              <w:t>20%</w:t>
            </w:r>
          </w:p>
        </w:tc>
      </w:tr>
      <w:tr>
        <w:tc>
          <w:tcPr>
            <w:tcW w:type="dxa" w:w="2268"/>
          </w:tcPr>
          <w:p>
            <w:pPr>
              <w:spacing w:after="40"/>
            </w:pPr>
            <w:r/>
            <w:r>
              <w:rPr>
                <w:sz w:val="18"/>
              </w:rPr>
              <w:t>Impacto estimado</w:t>
            </w:r>
          </w:p>
        </w:tc>
        <w:tc>
          <w:tcPr>
            <w:tcW w:type="dxa" w:w="6803"/>
          </w:tcPr>
          <w:p>
            <w:pPr>
              <w:spacing w:after="40"/>
            </w:pPr>
            <w:r/>
            <w:r>
              <w:rPr>
                <w:sz w:val="18"/>
              </w:rPr>
              <w:t>$7,800</w:t>
            </w:r>
          </w:p>
        </w:tc>
      </w:tr>
      <w:tr>
        <w:tc>
          <w:tcPr>
            <w:tcW w:type="dxa" w:w="2268"/>
          </w:tcPr>
          <w:p>
            <w:pPr>
              <w:spacing w:after="40"/>
            </w:pPr>
            <w:r/>
            <w:r>
              <w:rPr>
                <w:sz w:val="18"/>
              </w:rPr>
              <w:t>Valor monetario esperado</w:t>
            </w:r>
          </w:p>
        </w:tc>
        <w:tc>
          <w:tcPr>
            <w:tcW w:type="dxa" w:w="6803"/>
          </w:tcPr>
          <w:p>
            <w:pPr>
              <w:spacing w:after="40"/>
            </w:pPr>
            <w:r/>
            <w:r>
              <w:rPr>
                <w:sz w:val="18"/>
              </w:rPr>
              <w:t>$1,560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Diseñador UX-XR</w:t>
            </w:r>
          </w:p>
        </w:tc>
      </w:tr>
      <w:tr>
        <w:tc>
          <w:tcPr>
            <w:tcW w:type="dxa" w:w="2268"/>
          </w:tcPr>
          <w:p>
            <w:pPr>
              <w:spacing w:after="40"/>
            </w:pPr>
            <w:r/>
            <w:r>
              <w:rPr>
                <w:sz w:val="18"/>
              </w:rPr>
              <w:t>Disparador</w:t>
            </w:r>
          </w:p>
        </w:tc>
        <w:tc>
          <w:tcPr>
            <w:tcW w:type="dxa" w:w="6803"/>
          </w:tcPr>
          <w:p>
            <w:pPr>
              <w:spacing w:after="40"/>
            </w:pPr>
            <w:r/>
            <w:r>
              <w:rPr>
                <w:sz w:val="18"/>
              </w:rPr>
              <w:t>Un participante reporta molestia durante o después de una sesión.</w:t>
            </w:r>
          </w:p>
        </w:tc>
      </w:tr>
      <w:tr>
        <w:tc>
          <w:tcPr>
            <w:tcW w:type="dxa" w:w="2268"/>
          </w:tcPr>
          <w:p>
            <w:pPr>
              <w:spacing w:after="40"/>
            </w:pPr>
            <w:r/>
            <w:r>
              <w:rPr>
                <w:sz w:val="18"/>
              </w:rPr>
              <w:t>Plan de respuesta y contingencia</w:t>
            </w:r>
          </w:p>
        </w:tc>
        <w:tc>
          <w:tcPr>
            <w:tcW w:type="dxa" w:w="6803"/>
          </w:tcPr>
          <w:p>
            <w:pPr>
              <w:spacing w:after="40"/>
            </w:pPr>
            <w:r/>
            <w:r>
              <w:rPr>
                <w:sz w:val="18"/>
              </w:rPr>
              <w:t>Aplicar los lineamientos de comodidad desde el diseño: sin movimiento impuesto, interfaz a distancia adecuada, sesiones limitadas en duración. Suspender la sesión ante el primer síntoma.</w:t>
            </w:r>
          </w:p>
        </w:tc>
      </w:tr>
    </w:tbl>
    <w:p>
      <w:pPr>
        <w:spacing w:after="40"/>
      </w:pPr>
    </w:p>
    <w:p>
      <w:pPr>
        <w:pStyle w:val="Heading3"/>
      </w:pPr>
      <w:r>
        <w:t>R8 — Pérdida de trabajo por conflicto de versiones</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Técnico</w:t>
            </w:r>
          </w:p>
        </w:tc>
      </w:tr>
      <w:tr>
        <w:tc>
          <w:tcPr>
            <w:tcW w:type="dxa" w:w="2268"/>
          </w:tcPr>
          <w:p>
            <w:pPr>
              <w:spacing w:after="40"/>
            </w:pPr>
            <w:r/>
            <w:r>
              <w:rPr>
                <w:sz w:val="18"/>
              </w:rPr>
              <w:t>Probabilidad</w:t>
            </w:r>
          </w:p>
        </w:tc>
        <w:tc>
          <w:tcPr>
            <w:tcW w:type="dxa" w:w="6803"/>
          </w:tcPr>
          <w:p>
            <w:pPr>
              <w:spacing w:after="40"/>
            </w:pPr>
            <w:r/>
            <w:r>
              <w:rPr>
                <w:sz w:val="18"/>
              </w:rPr>
              <w:t>20%</w:t>
            </w:r>
          </w:p>
        </w:tc>
      </w:tr>
      <w:tr>
        <w:tc>
          <w:tcPr>
            <w:tcW w:type="dxa" w:w="2268"/>
          </w:tcPr>
          <w:p>
            <w:pPr>
              <w:spacing w:after="40"/>
            </w:pPr>
            <w:r/>
            <w:r>
              <w:rPr>
                <w:sz w:val="18"/>
              </w:rPr>
              <w:t>Impacto estimado</w:t>
            </w:r>
          </w:p>
        </w:tc>
        <w:tc>
          <w:tcPr>
            <w:tcW w:type="dxa" w:w="6803"/>
          </w:tcPr>
          <w:p>
            <w:pPr>
              <w:spacing w:after="40"/>
            </w:pPr>
            <w:r/>
            <w:r>
              <w:rPr>
                <w:sz w:val="18"/>
              </w:rPr>
              <w:t>$5,000</w:t>
            </w:r>
          </w:p>
        </w:tc>
      </w:tr>
      <w:tr>
        <w:tc>
          <w:tcPr>
            <w:tcW w:type="dxa" w:w="2268"/>
          </w:tcPr>
          <w:p>
            <w:pPr>
              <w:spacing w:after="40"/>
            </w:pPr>
            <w:r/>
            <w:r>
              <w:rPr>
                <w:sz w:val="18"/>
              </w:rPr>
              <w:t>Valor monetario esperado</w:t>
            </w:r>
          </w:p>
        </w:tc>
        <w:tc>
          <w:tcPr>
            <w:tcW w:type="dxa" w:w="6803"/>
          </w:tcPr>
          <w:p>
            <w:pPr>
              <w:spacing w:after="40"/>
            </w:pPr>
            <w:r/>
            <w:r>
              <w:rPr>
                <w:sz w:val="18"/>
              </w:rPr>
              <w:t>$1,000</w:t>
            </w:r>
          </w:p>
        </w:tc>
      </w:tr>
      <w:tr>
        <w:tc>
          <w:tcPr>
            <w:tcW w:type="dxa" w:w="2268"/>
          </w:tcPr>
          <w:p>
            <w:pPr>
              <w:spacing w:after="40"/>
            </w:pPr>
            <w:r/>
            <w:r>
              <w:rPr>
                <w:sz w:val="18"/>
              </w:rPr>
              <w:t>Estrategia de respuesta</w:t>
            </w:r>
          </w:p>
        </w:tc>
        <w:tc>
          <w:tcPr>
            <w:tcW w:type="dxa" w:w="6803"/>
          </w:tcPr>
          <w:p>
            <w:pPr>
              <w:spacing w:after="40"/>
            </w:pPr>
            <w:r/>
            <w:r>
              <w:rPr>
                <w:sz w:val="18"/>
              </w:rPr>
              <w:t>Mitigar</w:t>
            </w:r>
          </w:p>
        </w:tc>
      </w:tr>
      <w:tr>
        <w:tc>
          <w:tcPr>
            <w:tcW w:type="dxa" w:w="2268"/>
          </w:tcPr>
          <w:p>
            <w:pPr>
              <w:spacing w:after="40"/>
            </w:pPr>
            <w:r/>
            <w:r>
              <w:rPr>
                <w:sz w:val="18"/>
              </w:rPr>
              <w:t>Responsable</w:t>
            </w:r>
          </w:p>
        </w:tc>
        <w:tc>
          <w:tcPr>
            <w:tcW w:type="dxa" w:w="6803"/>
          </w:tcPr>
          <w:p>
            <w:pPr>
              <w:spacing w:after="40"/>
            </w:pPr>
            <w:r/>
            <w:r>
              <w:rPr>
                <w:sz w:val="18"/>
              </w:rPr>
              <w:t>Gerente de proyecto</w:t>
            </w:r>
          </w:p>
        </w:tc>
      </w:tr>
      <w:tr>
        <w:tc>
          <w:tcPr>
            <w:tcW w:type="dxa" w:w="2268"/>
          </w:tcPr>
          <w:p>
            <w:pPr>
              <w:spacing w:after="40"/>
            </w:pPr>
            <w:r/>
            <w:r>
              <w:rPr>
                <w:sz w:val="18"/>
              </w:rPr>
              <w:t>Disparador</w:t>
            </w:r>
          </w:p>
        </w:tc>
        <w:tc>
          <w:tcPr>
            <w:tcW w:type="dxa" w:w="6803"/>
          </w:tcPr>
          <w:p>
            <w:pPr>
              <w:spacing w:after="40"/>
            </w:pPr>
            <w:r/>
            <w:r>
              <w:rPr>
                <w:sz w:val="18"/>
              </w:rPr>
              <w:t>Se detecta un conflicto de integración que requiere rehacer trabajo.</w:t>
            </w:r>
          </w:p>
        </w:tc>
      </w:tr>
      <w:tr>
        <w:tc>
          <w:tcPr>
            <w:tcW w:type="dxa" w:w="2268"/>
          </w:tcPr>
          <w:p>
            <w:pPr>
              <w:spacing w:after="40"/>
            </w:pPr>
            <w:r/>
            <w:r>
              <w:rPr>
                <w:sz w:val="18"/>
              </w:rPr>
              <w:t>Plan de respuesta y contingencia</w:t>
            </w:r>
          </w:p>
        </w:tc>
        <w:tc>
          <w:tcPr>
            <w:tcW w:type="dxa" w:w="6803"/>
          </w:tcPr>
          <w:p>
            <w:pPr>
              <w:spacing w:after="40"/>
            </w:pPr>
            <w:r/>
            <w:r>
              <w:rPr>
                <w:sz w:val="18"/>
              </w:rPr>
              <w:t>Rama por funcionalidad e integración frecuente. Revisión antes de integrar. Respaldo del repositorio.</w:t>
            </w:r>
          </w:p>
        </w:tc>
      </w:tr>
    </w:tbl>
    <w:p>
      <w:pPr>
        <w:spacing w:after="40"/>
      </w:pPr>
    </w:p>
    <w:p>
      <w:pPr>
        <w:pStyle w:val="Heading3"/>
      </w:pPr>
      <w:r>
        <w:t>R9 — Un integrante reduce su disponibilidad por carga académica</w:t>
      </w:r>
    </w:p>
    <w:tbl>
      <w:tblPr>
        <w:tblStyle w:val="TableGrid"/>
        <w:tblW w:type="auto" w:w="0"/>
        <w:jc w:val="center"/>
        <w:tblLayout w:type="fixed"/>
        <w:tblLook w:firstColumn="1" w:firstRow="1" w:lastColumn="0" w:lastRow="0" w:noHBand="0" w:noVBand="1" w:val="04A0"/>
      </w:tblPr>
      <w:tblGrid>
        <w:gridCol w:w="4703"/>
        <w:gridCol w:w="4703"/>
      </w:tblGrid>
      <w:tr>
        <w:tc>
          <w:tcPr>
            <w:tcW w:type="dxa" w:w="2268"/>
          </w:tcPr>
          <w:p>
            <w:pPr>
              <w:spacing w:after="40"/>
              <w:jc w:val="center"/>
            </w:pPr>
            <w:r/>
            <w:r>
              <w:rPr>
                <w:b/>
                <w:sz w:val="18"/>
              </w:rPr>
              <w:t>Campo</w:t>
            </w:r>
          </w:p>
        </w:tc>
        <w:tc>
          <w:tcPr>
            <w:tcW w:type="dxa" w:w="6803"/>
          </w:tcPr>
          <w:p>
            <w:pPr>
              <w:spacing w:after="40"/>
              <w:jc w:val="center"/>
            </w:pPr>
            <w:r/>
            <w:r>
              <w:rPr>
                <w:b/>
                <w:sz w:val="18"/>
              </w:rPr>
              <w:t>Contenido</w:t>
            </w:r>
          </w:p>
        </w:tc>
      </w:tr>
      <w:tr>
        <w:tc>
          <w:tcPr>
            <w:tcW w:type="dxa" w:w="2268"/>
          </w:tcPr>
          <w:p>
            <w:pPr>
              <w:spacing w:after="40"/>
            </w:pPr>
            <w:r/>
            <w:r>
              <w:rPr>
                <w:sz w:val="18"/>
              </w:rPr>
              <w:t>Categoría</w:t>
            </w:r>
          </w:p>
        </w:tc>
        <w:tc>
          <w:tcPr>
            <w:tcW w:type="dxa" w:w="6803"/>
          </w:tcPr>
          <w:p>
            <w:pPr>
              <w:spacing w:after="40"/>
            </w:pPr>
            <w:r/>
            <w:r>
              <w:rPr>
                <w:sz w:val="18"/>
              </w:rPr>
              <w:t>Recursos</w:t>
            </w:r>
          </w:p>
        </w:tc>
      </w:tr>
      <w:tr>
        <w:tc>
          <w:tcPr>
            <w:tcW w:type="dxa" w:w="2268"/>
          </w:tcPr>
          <w:p>
            <w:pPr>
              <w:spacing w:after="40"/>
            </w:pPr>
            <w:r/>
            <w:r>
              <w:rPr>
                <w:sz w:val="18"/>
              </w:rPr>
              <w:t>Probabilidad</w:t>
            </w:r>
          </w:p>
        </w:tc>
        <w:tc>
          <w:tcPr>
            <w:tcW w:type="dxa" w:w="6803"/>
          </w:tcPr>
          <w:p>
            <w:pPr>
              <w:spacing w:after="40"/>
            </w:pPr>
            <w:r/>
            <w:r>
              <w:rPr>
                <w:sz w:val="18"/>
              </w:rPr>
              <w:t>45%</w:t>
            </w:r>
          </w:p>
        </w:tc>
      </w:tr>
      <w:tr>
        <w:tc>
          <w:tcPr>
            <w:tcW w:type="dxa" w:w="2268"/>
          </w:tcPr>
          <w:p>
            <w:pPr>
              <w:spacing w:after="40"/>
            </w:pPr>
            <w:r/>
            <w:r>
              <w:rPr>
                <w:sz w:val="18"/>
              </w:rPr>
              <w:t>Impacto estimado</w:t>
            </w:r>
          </w:p>
        </w:tc>
        <w:tc>
          <w:tcPr>
            <w:tcW w:type="dxa" w:w="6803"/>
          </w:tcPr>
          <w:p>
            <w:pPr>
              <w:spacing w:after="40"/>
            </w:pPr>
            <w:r/>
            <w:r>
              <w:rPr>
                <w:sz w:val="18"/>
              </w:rPr>
              <w:t>$9,000</w:t>
            </w:r>
          </w:p>
        </w:tc>
      </w:tr>
      <w:tr>
        <w:tc>
          <w:tcPr>
            <w:tcW w:type="dxa" w:w="2268"/>
          </w:tcPr>
          <w:p>
            <w:pPr>
              <w:spacing w:after="40"/>
            </w:pPr>
            <w:r/>
            <w:r>
              <w:rPr>
                <w:sz w:val="18"/>
              </w:rPr>
              <w:t>Valor monetario esperado</w:t>
            </w:r>
          </w:p>
        </w:tc>
        <w:tc>
          <w:tcPr>
            <w:tcW w:type="dxa" w:w="6803"/>
          </w:tcPr>
          <w:p>
            <w:pPr>
              <w:spacing w:after="40"/>
            </w:pPr>
            <w:r/>
            <w:r>
              <w:rPr>
                <w:sz w:val="18"/>
              </w:rPr>
              <w:t>$4,050</w:t>
            </w:r>
          </w:p>
        </w:tc>
      </w:tr>
      <w:tr>
        <w:tc>
          <w:tcPr>
            <w:tcW w:type="dxa" w:w="2268"/>
          </w:tcPr>
          <w:p>
            <w:pPr>
              <w:spacing w:after="40"/>
            </w:pPr>
            <w:r/>
            <w:r>
              <w:rPr>
                <w:sz w:val="18"/>
              </w:rPr>
              <w:t>Estrategia de respuesta</w:t>
            </w:r>
          </w:p>
        </w:tc>
        <w:tc>
          <w:tcPr>
            <w:tcW w:type="dxa" w:w="6803"/>
          </w:tcPr>
          <w:p>
            <w:pPr>
              <w:spacing w:after="40"/>
            </w:pPr>
            <w:r/>
            <w:r>
              <w:rPr>
                <w:sz w:val="18"/>
              </w:rPr>
              <w:t>Aceptar</w:t>
            </w:r>
          </w:p>
        </w:tc>
      </w:tr>
      <w:tr>
        <w:tc>
          <w:tcPr>
            <w:tcW w:type="dxa" w:w="2268"/>
          </w:tcPr>
          <w:p>
            <w:pPr>
              <w:spacing w:after="40"/>
            </w:pPr>
            <w:r/>
            <w:r>
              <w:rPr>
                <w:sz w:val="18"/>
              </w:rPr>
              <w:t>Responsable</w:t>
            </w:r>
          </w:p>
        </w:tc>
        <w:tc>
          <w:tcPr>
            <w:tcW w:type="dxa" w:w="6803"/>
          </w:tcPr>
          <w:p>
            <w:pPr>
              <w:spacing w:after="40"/>
            </w:pPr>
            <w:r/>
            <w:r>
              <w:rPr>
                <w:sz w:val="18"/>
              </w:rPr>
              <w:t>Director de proyecto</w:t>
            </w:r>
          </w:p>
        </w:tc>
      </w:tr>
      <w:tr>
        <w:tc>
          <w:tcPr>
            <w:tcW w:type="dxa" w:w="2268"/>
          </w:tcPr>
          <w:p>
            <w:pPr>
              <w:spacing w:after="40"/>
            </w:pPr>
            <w:r/>
            <w:r>
              <w:rPr>
                <w:sz w:val="18"/>
              </w:rPr>
              <w:t>Disparador</w:t>
            </w:r>
          </w:p>
        </w:tc>
        <w:tc>
          <w:tcPr>
            <w:tcW w:type="dxa" w:w="6803"/>
          </w:tcPr>
          <w:p>
            <w:pPr>
              <w:spacing w:after="40"/>
            </w:pPr>
            <w:r/>
            <w:r>
              <w:rPr>
                <w:sz w:val="18"/>
              </w:rPr>
              <w:t>Un integrante comunica que su disponibilidad se reduce.</w:t>
            </w:r>
          </w:p>
        </w:tc>
      </w:tr>
      <w:tr>
        <w:tc>
          <w:tcPr>
            <w:tcW w:type="dxa" w:w="2268"/>
          </w:tcPr>
          <w:p>
            <w:pPr>
              <w:spacing w:after="40"/>
            </w:pPr>
            <w:r/>
            <w:r>
              <w:rPr>
                <w:sz w:val="18"/>
              </w:rPr>
              <w:t>Plan de respuesta y contingencia</w:t>
            </w:r>
          </w:p>
        </w:tc>
        <w:tc>
          <w:tcPr>
            <w:tcW w:type="dxa" w:w="6803"/>
          </w:tcPr>
          <w:p>
            <w:pPr>
              <w:spacing w:after="40"/>
            </w:pPr>
            <w:r/>
            <w:r>
              <w:rPr>
                <w:sz w:val="18"/>
              </w:rPr>
              <w:t>Es un riesgo inherente a un proyecto académico y no puede eliminarse. Se acepta de forma activa: se reasignan sus actividades entre el resto y, si hace falta, se recorta alcance conforme a la tolerancia declarada en la sección 12.1.</w:t>
            </w:r>
          </w:p>
        </w:tc>
      </w:tr>
    </w:tbl>
    <w:p>
      <w:pPr>
        <w:spacing w:after="40"/>
      </w:pPr>
    </w:p>
    <w:p>
      <w:pPr>
        <w:spacing w:after="160"/>
        <w:jc w:val="both"/>
      </w:pPr>
      <w:r>
        <w:rPr>
          <w:b w:val="0"/>
          <w:i w:val="0"/>
        </w:rPr>
        <w:t>Valor monetario esperado total del registro: $32,260. La reserva de contingencia del presupuesto se fija en $32,300 sobre esa base. El cálculo completo está en la sección 13 del documento de análisis.</w:t>
      </w:r>
    </w:p>
    <w:p>
      <w:pPr>
        <w:pStyle w:val="Heading2"/>
      </w:pPr>
      <w:r>
        <w:t>15. Monitoreo de los riesgos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2608"/>
          </w:tcPr>
          <w:p>
            <w:pPr>
              <w:spacing w:after="40"/>
              <w:jc w:val="center"/>
            </w:pPr>
            <w:r/>
            <w:r>
              <w:rPr>
                <w:b/>
                <w:sz w:val="19"/>
              </w:rPr>
              <w:t>Actividad</w:t>
            </w:r>
          </w:p>
        </w:tc>
        <w:tc>
          <w:tcPr>
            <w:tcW w:type="dxa" w:w="1361"/>
          </w:tcPr>
          <w:p>
            <w:pPr>
              <w:spacing w:after="40"/>
              <w:jc w:val="center"/>
            </w:pPr>
            <w:r/>
            <w:r>
              <w:rPr>
                <w:b/>
                <w:sz w:val="19"/>
              </w:rPr>
              <w:t>Frecuencia</w:t>
            </w:r>
          </w:p>
        </w:tc>
        <w:tc>
          <w:tcPr>
            <w:tcW w:type="dxa" w:w="1928"/>
          </w:tcPr>
          <w:p>
            <w:pPr>
              <w:spacing w:after="40"/>
              <w:jc w:val="center"/>
            </w:pPr>
            <w:r/>
            <w:r>
              <w:rPr>
                <w:b/>
                <w:sz w:val="19"/>
              </w:rPr>
              <w:t>Responsable</w:t>
            </w:r>
          </w:p>
        </w:tc>
        <w:tc>
          <w:tcPr>
            <w:tcW w:type="dxa" w:w="3175"/>
          </w:tcPr>
          <w:p>
            <w:pPr>
              <w:spacing w:after="40"/>
              <w:jc w:val="center"/>
            </w:pPr>
            <w:r/>
            <w:r>
              <w:rPr>
                <w:b/>
                <w:sz w:val="19"/>
              </w:rPr>
              <w:t>Producto</w:t>
            </w:r>
          </w:p>
        </w:tc>
      </w:tr>
      <w:tr>
        <w:tc>
          <w:tcPr>
            <w:tcW w:type="dxa" w:w="2608"/>
          </w:tcPr>
          <w:p>
            <w:pPr>
              <w:spacing w:after="40"/>
            </w:pPr>
            <w:r/>
            <w:r>
              <w:rPr>
                <w:sz w:val="19"/>
              </w:rPr>
              <w:t>Revisión del registro de riesgos</w:t>
            </w:r>
          </w:p>
        </w:tc>
        <w:tc>
          <w:tcPr>
            <w:tcW w:type="dxa" w:w="1361"/>
          </w:tcPr>
          <w:p>
            <w:pPr>
              <w:spacing w:after="40"/>
            </w:pPr>
            <w:r/>
            <w:r>
              <w:rPr>
                <w:sz w:val="19"/>
              </w:rPr>
              <w:t>Semanal</w:t>
            </w:r>
          </w:p>
        </w:tc>
        <w:tc>
          <w:tcPr>
            <w:tcW w:type="dxa" w:w="1928"/>
          </w:tcPr>
          <w:p>
            <w:pPr>
              <w:spacing w:after="40"/>
            </w:pPr>
            <w:r/>
            <w:r>
              <w:rPr>
                <w:sz w:val="19"/>
              </w:rPr>
              <w:t>Gerente de proyecto</w:t>
            </w:r>
          </w:p>
        </w:tc>
        <w:tc>
          <w:tcPr>
            <w:tcW w:type="dxa" w:w="3175"/>
          </w:tcPr>
          <w:p>
            <w:pPr>
              <w:spacing w:after="40"/>
            </w:pPr>
            <w:r/>
            <w:r>
              <w:rPr>
                <w:sz w:val="19"/>
              </w:rPr>
              <w:t>Registro actualizado con probabilidades reevaluadas</w:t>
            </w:r>
          </w:p>
        </w:tc>
      </w:tr>
      <w:tr>
        <w:tc>
          <w:tcPr>
            <w:tcW w:type="dxa" w:w="2608"/>
          </w:tcPr>
          <w:p>
            <w:pPr>
              <w:spacing w:after="40"/>
            </w:pPr>
            <w:r/>
            <w:r>
              <w:rPr>
                <w:sz w:val="19"/>
              </w:rPr>
              <w:t>Verificación de disparadores</w:t>
            </w:r>
          </w:p>
        </w:tc>
        <w:tc>
          <w:tcPr>
            <w:tcW w:type="dxa" w:w="1361"/>
          </w:tcPr>
          <w:p>
            <w:pPr>
              <w:spacing w:after="40"/>
            </w:pPr>
            <w:r/>
            <w:r>
              <w:rPr>
                <w:sz w:val="19"/>
              </w:rPr>
              <w:t>Semanal</w:t>
            </w:r>
          </w:p>
        </w:tc>
        <w:tc>
          <w:tcPr>
            <w:tcW w:type="dxa" w:w="1928"/>
          </w:tcPr>
          <w:p>
            <w:pPr>
              <w:spacing w:after="40"/>
            </w:pPr>
            <w:r/>
            <w:r>
              <w:rPr>
                <w:sz w:val="19"/>
              </w:rPr>
              <w:t>Responsable de cada riesgo</w:t>
            </w:r>
          </w:p>
        </w:tc>
        <w:tc>
          <w:tcPr>
            <w:tcW w:type="dxa" w:w="3175"/>
          </w:tcPr>
          <w:p>
            <w:pPr>
              <w:spacing w:after="40"/>
            </w:pPr>
            <w:r/>
            <w:r>
              <w:rPr>
                <w:sz w:val="19"/>
              </w:rPr>
              <w:t>Confirmación de que ningún disparador se ha cumplido, o activación de la respuesta</w:t>
            </w:r>
          </w:p>
        </w:tc>
      </w:tr>
      <w:tr>
        <w:tc>
          <w:tcPr>
            <w:tcW w:type="dxa" w:w="2608"/>
          </w:tcPr>
          <w:p>
            <w:pPr>
              <w:spacing w:after="40"/>
            </w:pPr>
            <w:r/>
            <w:r>
              <w:rPr>
                <w:sz w:val="19"/>
              </w:rPr>
              <w:t>Identificación de riesgos nuevos</w:t>
            </w:r>
          </w:p>
        </w:tc>
        <w:tc>
          <w:tcPr>
            <w:tcW w:type="dxa" w:w="1361"/>
          </w:tcPr>
          <w:p>
            <w:pPr>
              <w:spacing w:after="40"/>
            </w:pPr>
            <w:r/>
            <w:r>
              <w:rPr>
                <w:sz w:val="19"/>
              </w:rPr>
              <w:t>Semanal</w:t>
            </w:r>
          </w:p>
        </w:tc>
        <w:tc>
          <w:tcPr>
            <w:tcW w:type="dxa" w:w="1928"/>
          </w:tcPr>
          <w:p>
            <w:pPr>
              <w:spacing w:after="40"/>
            </w:pPr>
            <w:r/>
            <w:r>
              <w:rPr>
                <w:sz w:val="19"/>
              </w:rPr>
              <w:t>Todo el equipo</w:t>
            </w:r>
          </w:p>
        </w:tc>
        <w:tc>
          <w:tcPr>
            <w:tcW w:type="dxa" w:w="3175"/>
          </w:tcPr>
          <w:p>
            <w:pPr>
              <w:spacing w:after="40"/>
            </w:pPr>
            <w:r/>
            <w:r>
              <w:rPr>
                <w:sz w:val="19"/>
              </w:rPr>
              <w:t>Altas en el registro</w:t>
            </w:r>
          </w:p>
        </w:tc>
      </w:tr>
      <w:tr>
        <w:tc>
          <w:tcPr>
            <w:tcW w:type="dxa" w:w="2608"/>
          </w:tcPr>
          <w:p>
            <w:pPr>
              <w:spacing w:after="40"/>
            </w:pPr>
            <w:r/>
            <w:r>
              <w:rPr>
                <w:sz w:val="19"/>
              </w:rPr>
              <w:t>Reevaluación completa</w:t>
            </w:r>
          </w:p>
        </w:tc>
        <w:tc>
          <w:tcPr>
            <w:tcW w:type="dxa" w:w="1361"/>
          </w:tcPr>
          <w:p>
            <w:pPr>
              <w:spacing w:after="40"/>
            </w:pPr>
            <w:r/>
            <w:r>
              <w:rPr>
                <w:sz w:val="19"/>
              </w:rPr>
              <w:t>En cada hito de control</w:t>
            </w:r>
          </w:p>
        </w:tc>
        <w:tc>
          <w:tcPr>
            <w:tcW w:type="dxa" w:w="1928"/>
          </w:tcPr>
          <w:p>
            <w:pPr>
              <w:spacing w:after="40"/>
            </w:pPr>
            <w:r/>
            <w:r>
              <w:rPr>
                <w:sz w:val="19"/>
              </w:rPr>
              <w:t>Gerente y director</w:t>
            </w:r>
          </w:p>
        </w:tc>
        <w:tc>
          <w:tcPr>
            <w:tcW w:type="dxa" w:w="3175"/>
          </w:tcPr>
          <w:p>
            <w:pPr>
              <w:spacing w:after="40"/>
            </w:pPr>
            <w:r/>
            <w:r>
              <w:rPr>
                <w:sz w:val="19"/>
              </w:rPr>
              <w:t>Registro revisado y reserva ajustada si procede</w:t>
            </w:r>
          </w:p>
        </w:tc>
      </w:tr>
      <w:tr>
        <w:tc>
          <w:tcPr>
            <w:tcW w:type="dxa" w:w="2608"/>
          </w:tcPr>
          <w:p>
            <w:pPr>
              <w:spacing w:after="40"/>
            </w:pPr>
            <w:r/>
            <w:r>
              <w:rPr>
                <w:sz w:val="19"/>
              </w:rPr>
              <w:t>Cierre de riesgos superados</w:t>
            </w:r>
          </w:p>
        </w:tc>
        <w:tc>
          <w:tcPr>
            <w:tcW w:type="dxa" w:w="1361"/>
          </w:tcPr>
          <w:p>
            <w:pPr>
              <w:spacing w:after="40"/>
            </w:pPr>
            <w:r/>
            <w:r>
              <w:rPr>
                <w:sz w:val="19"/>
              </w:rPr>
              <w:t>En cada hito</w:t>
            </w:r>
          </w:p>
        </w:tc>
        <w:tc>
          <w:tcPr>
            <w:tcW w:type="dxa" w:w="1928"/>
          </w:tcPr>
          <w:p>
            <w:pPr>
              <w:spacing w:after="40"/>
            </w:pPr>
            <w:r/>
            <w:r>
              <w:rPr>
                <w:sz w:val="19"/>
              </w:rPr>
              <w:t>Gerente de proyecto</w:t>
            </w:r>
          </w:p>
        </w:tc>
        <w:tc>
          <w:tcPr>
            <w:tcW w:type="dxa" w:w="3175"/>
          </w:tcPr>
          <w:p>
            <w:pPr>
              <w:spacing w:after="40"/>
            </w:pPr>
            <w:r/>
            <w:r>
              <w:rPr>
                <w:sz w:val="19"/>
              </w:rPr>
              <w:t>Riesgos marcados como cerrados, con la lección aprendida</w:t>
            </w:r>
          </w:p>
        </w:tc>
      </w:tr>
    </w:tbl>
    <w:p>
      <w:pPr>
        <w:spacing w:after="40"/>
      </w:pPr>
    </w:p>
    <w:p>
      <w:pPr>
        <w:spacing w:after="160"/>
        <w:jc w:val="both"/>
      </w:pPr>
      <w:r>
        <w:rPr>
          <w:b w:val="0"/>
          <w:i w:val="0"/>
        </w:rPr>
        <w:t>Un riesgo se cierra cuando la ventana en que podía materializarse ya pasó. Por ejemplo, el riesgo de latencia se cierra una vez superado el hito de verificación. Cerrarlo libera la parte de reserva que tenía asociada.</w:t>
      </w:r>
    </w:p>
    <w:p>
      <w:r>
        <w:br w:type="page"/>
      </w:r>
    </w:p>
    <w:p>
      <w:pPr>
        <w:pStyle w:val="Heading1"/>
      </w:pPr>
      <w:r>
        <w:t>PARTE III. CERTIFICACIONES EN DIRECCIÓN DE PROYECTOS</w:t>
      </w:r>
    </w:p>
    <w:p>
      <w:pPr>
        <w:spacing w:after="160"/>
        <w:jc w:val="both"/>
      </w:pPr>
      <w:r>
        <w:rPr>
          <w:b w:val="0"/>
          <w:i w:val="0"/>
        </w:rPr>
        <w:t>Revisión de las principales certificaciones profesionales del área, con sus requisitos, costo y perfil al que se dirigen. Los montos están en dólares estadounidenses, que es la moneda en que los organismos emisores publican sus tarifas, y corresponden a 2026.</w:t>
      </w:r>
    </w:p>
    <w:p>
      <w:pPr>
        <w:pStyle w:val="Heading2"/>
      </w:pPr>
      <w:r>
        <w:t>16. Panorama general</w:t>
      </w:r>
    </w:p>
    <w:p>
      <w:pPr>
        <w:spacing w:after="160"/>
        <w:jc w:val="both"/>
      </w:pPr>
      <w:r>
        <w:rPr>
          <w:b w:val="0"/>
          <w:i w:val="0"/>
        </w:rPr>
        <w:t>Las certificaciones del área se agrupan en tres familias. Distinguirlas importa porque responden a filosofías distintas y no compiten entre sí de forma directa.</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Familia</w:t>
            </w:r>
          </w:p>
        </w:tc>
        <w:tc>
          <w:tcPr>
            <w:tcW w:type="dxa" w:w="3061"/>
          </w:tcPr>
          <w:p>
            <w:pPr>
              <w:spacing w:after="40"/>
              <w:jc w:val="center"/>
            </w:pPr>
            <w:r/>
            <w:r>
              <w:rPr>
                <w:b/>
                <w:sz w:val="18"/>
              </w:rPr>
              <w:t>Enfoque</w:t>
            </w:r>
          </w:p>
        </w:tc>
        <w:tc>
          <w:tcPr>
            <w:tcW w:type="dxa" w:w="2041"/>
          </w:tcPr>
          <w:p>
            <w:pPr>
              <w:spacing w:after="40"/>
              <w:jc w:val="center"/>
            </w:pPr>
            <w:r/>
            <w:r>
              <w:rPr>
                <w:b/>
                <w:sz w:val="18"/>
              </w:rPr>
              <w:t>Organismo</w:t>
            </w:r>
          </w:p>
        </w:tc>
        <w:tc>
          <w:tcPr>
            <w:tcW w:type="dxa" w:w="2041"/>
          </w:tcPr>
          <w:p>
            <w:pPr>
              <w:spacing w:after="40"/>
              <w:jc w:val="center"/>
            </w:pPr>
            <w:r/>
            <w:r>
              <w:rPr>
                <w:b/>
                <w:sz w:val="18"/>
              </w:rPr>
              <w:t>Certificaciones principales</w:t>
            </w:r>
          </w:p>
        </w:tc>
      </w:tr>
      <w:tr>
        <w:tc>
          <w:tcPr>
            <w:tcW w:type="dxa" w:w="1928"/>
          </w:tcPr>
          <w:p>
            <w:pPr>
              <w:spacing w:after="40"/>
            </w:pPr>
            <w:r/>
            <w:r>
              <w:rPr>
                <w:sz w:val="18"/>
              </w:rPr>
              <w:t>Basadas en cuerpo de conocimiento</w:t>
            </w:r>
          </w:p>
        </w:tc>
        <w:tc>
          <w:tcPr>
            <w:tcW w:type="dxa" w:w="3061"/>
          </w:tcPr>
          <w:p>
            <w:pPr>
              <w:spacing w:after="40"/>
            </w:pPr>
            <w:r/>
            <w:r>
              <w:rPr>
                <w:sz w:val="18"/>
              </w:rPr>
              <w:t>Certifican dominio de un conjunto de procesos, herramientas y técnicas. Es el enfoque de la guía PMBOK.</w:t>
            </w:r>
          </w:p>
        </w:tc>
        <w:tc>
          <w:tcPr>
            <w:tcW w:type="dxa" w:w="2041"/>
          </w:tcPr>
          <w:p>
            <w:pPr>
              <w:spacing w:after="40"/>
            </w:pPr>
            <w:r/>
            <w:r>
              <w:rPr>
                <w:sz w:val="18"/>
              </w:rPr>
              <w:t>Project Management Institute (PMI), Estados Unidos</w:t>
            </w:r>
          </w:p>
        </w:tc>
        <w:tc>
          <w:tcPr>
            <w:tcW w:type="dxa" w:w="2041"/>
          </w:tcPr>
          <w:p>
            <w:pPr>
              <w:spacing w:after="40"/>
            </w:pPr>
            <w:r/>
            <w:r>
              <w:rPr>
                <w:sz w:val="18"/>
              </w:rPr>
              <w:t>CAPM, PMP, PMI-ACP, PMI-RMP, PMI-SP</w:t>
            </w:r>
          </w:p>
        </w:tc>
      </w:tr>
      <w:tr>
        <w:tc>
          <w:tcPr>
            <w:tcW w:type="dxa" w:w="1928"/>
          </w:tcPr>
          <w:p>
            <w:pPr>
              <w:spacing w:after="40"/>
            </w:pPr>
            <w:r/>
            <w:r>
              <w:rPr>
                <w:sz w:val="18"/>
              </w:rPr>
              <w:t>Basadas en método</w:t>
            </w:r>
          </w:p>
        </w:tc>
        <w:tc>
          <w:tcPr>
            <w:tcW w:type="dxa" w:w="3061"/>
          </w:tcPr>
          <w:p>
            <w:pPr>
              <w:spacing w:after="40"/>
            </w:pPr>
            <w:r/>
            <w:r>
              <w:rPr>
                <w:sz w:val="18"/>
              </w:rPr>
              <w:t>Certifican la aplicación de un método prescriptivo, con roles y productos definidos.</w:t>
            </w:r>
          </w:p>
        </w:tc>
        <w:tc>
          <w:tcPr>
            <w:tcW w:type="dxa" w:w="2041"/>
          </w:tcPr>
          <w:p>
            <w:pPr>
              <w:spacing w:after="40"/>
            </w:pPr>
            <w:r/>
            <w:r>
              <w:rPr>
                <w:sz w:val="18"/>
              </w:rPr>
              <w:t>PeopleCert, Reino Unido</w:t>
            </w:r>
          </w:p>
        </w:tc>
        <w:tc>
          <w:tcPr>
            <w:tcW w:type="dxa" w:w="2041"/>
          </w:tcPr>
          <w:p>
            <w:pPr>
              <w:spacing w:after="40"/>
            </w:pPr>
            <w:r/>
            <w:r>
              <w:rPr>
                <w:sz w:val="18"/>
              </w:rPr>
              <w:t>PRINCE2 Foundation y Practitioner</w:t>
            </w:r>
          </w:p>
        </w:tc>
      </w:tr>
      <w:tr>
        <w:tc>
          <w:tcPr>
            <w:tcW w:type="dxa" w:w="1928"/>
          </w:tcPr>
          <w:p>
            <w:pPr>
              <w:spacing w:after="40"/>
            </w:pPr>
            <w:r/>
            <w:r>
              <w:rPr>
                <w:sz w:val="18"/>
              </w:rPr>
              <w:t>Basadas en competencia</w:t>
            </w:r>
          </w:p>
        </w:tc>
        <w:tc>
          <w:tcPr>
            <w:tcW w:type="dxa" w:w="3061"/>
          </w:tcPr>
          <w:p>
            <w:pPr>
              <w:spacing w:after="40"/>
            </w:pPr>
            <w:r/>
            <w:r>
              <w:rPr>
                <w:sz w:val="18"/>
              </w:rPr>
              <w:t>Certifican capacidad demostrada mediante evaluación de experiencia real, por niveles.</w:t>
            </w:r>
          </w:p>
        </w:tc>
        <w:tc>
          <w:tcPr>
            <w:tcW w:type="dxa" w:w="2041"/>
          </w:tcPr>
          <w:p>
            <w:pPr>
              <w:spacing w:after="40"/>
            </w:pPr>
            <w:r/>
            <w:r>
              <w:rPr>
                <w:sz w:val="18"/>
              </w:rPr>
              <w:t>International Project Management Association (IPMA)</w:t>
            </w:r>
          </w:p>
        </w:tc>
        <w:tc>
          <w:tcPr>
            <w:tcW w:type="dxa" w:w="2041"/>
          </w:tcPr>
          <w:p>
            <w:pPr>
              <w:spacing w:after="40"/>
            </w:pPr>
            <w:r/>
            <w:r>
              <w:rPr>
                <w:sz w:val="18"/>
              </w:rPr>
              <w:t>IPMA niveles D, C, B y A</w:t>
            </w:r>
          </w:p>
        </w:tc>
      </w:tr>
      <w:tr>
        <w:tc>
          <w:tcPr>
            <w:tcW w:type="dxa" w:w="1928"/>
          </w:tcPr>
          <w:p>
            <w:pPr>
              <w:spacing w:after="40"/>
            </w:pPr>
            <w:r/>
            <w:r>
              <w:rPr>
                <w:sz w:val="18"/>
              </w:rPr>
              <w:t>Marcos ágiles</w:t>
            </w:r>
          </w:p>
        </w:tc>
        <w:tc>
          <w:tcPr>
            <w:tcW w:type="dxa" w:w="3061"/>
          </w:tcPr>
          <w:p>
            <w:pPr>
              <w:spacing w:after="40"/>
            </w:pPr>
            <w:r/>
            <w:r>
              <w:rPr>
                <w:sz w:val="18"/>
              </w:rPr>
              <w:t>Certifican el dominio de un marco de trabajo específico, no de la dirección de proyectos en general.</w:t>
            </w:r>
          </w:p>
        </w:tc>
        <w:tc>
          <w:tcPr>
            <w:tcW w:type="dxa" w:w="2041"/>
          </w:tcPr>
          <w:p>
            <w:pPr>
              <w:spacing w:after="40"/>
            </w:pPr>
            <w:r/>
            <w:r>
              <w:rPr>
                <w:sz w:val="18"/>
              </w:rPr>
              <w:t>Scrum.org, Scrum Alliance, Scaled Agile</w:t>
            </w:r>
          </w:p>
        </w:tc>
        <w:tc>
          <w:tcPr>
            <w:tcW w:type="dxa" w:w="2041"/>
          </w:tcPr>
          <w:p>
            <w:pPr>
              <w:spacing w:after="40"/>
            </w:pPr>
            <w:r/>
            <w:r>
              <w:rPr>
                <w:sz w:val="18"/>
              </w:rPr>
              <w:t>PSM, CSM, SAFe</w:t>
            </w:r>
          </w:p>
        </w:tc>
      </w:tr>
    </w:tbl>
    <w:p>
      <w:pPr>
        <w:spacing w:after="40"/>
      </w:pPr>
    </w:p>
    <w:p>
      <w:pPr>
        <w:pStyle w:val="Heading2"/>
      </w:pPr>
      <w:r>
        <w:t>17. Certificaciones del Project Management Institute</w:t>
      </w:r>
    </w:p>
    <w:p>
      <w:pPr>
        <w:spacing w:after="160"/>
        <w:jc w:val="both"/>
      </w:pPr>
      <w:r>
        <w:rPr>
          <w:b w:val="0"/>
          <w:i w:val="0"/>
        </w:rPr>
        <w:t>Son las de mayor reconocimiento en México y las que corresponden directamente a la guía PMBOK que se emplea en esta materia.</w:t>
      </w:r>
    </w:p>
    <w:tbl>
      <w:tblPr>
        <w:tblStyle w:val="TableGrid"/>
        <w:tblW w:type="auto" w:w="0"/>
        <w:jc w:val="center"/>
        <w:tblLayout w:type="fixed"/>
        <w:tblLook w:firstColumn="1" w:firstRow="1" w:lastColumn="0" w:lastRow="0" w:noHBand="0" w:noVBand="1" w:val="04A0"/>
      </w:tblPr>
      <w:tblGrid>
        <w:gridCol w:w="1881"/>
        <w:gridCol w:w="1881"/>
        <w:gridCol w:w="1881"/>
        <w:gridCol w:w="1881"/>
        <w:gridCol w:w="1881"/>
      </w:tblGrid>
      <w:tr>
        <w:tc>
          <w:tcPr>
            <w:tcW w:type="dxa" w:w="1814"/>
          </w:tcPr>
          <w:p>
            <w:pPr>
              <w:spacing w:after="40"/>
              <w:jc w:val="center"/>
            </w:pPr>
            <w:r/>
            <w:r>
              <w:rPr>
                <w:b/>
                <w:sz w:val="16"/>
              </w:rPr>
              <w:t>Certificación</w:t>
            </w:r>
          </w:p>
        </w:tc>
        <w:tc>
          <w:tcPr>
            <w:tcW w:type="dxa" w:w="2041"/>
          </w:tcPr>
          <w:p>
            <w:pPr>
              <w:spacing w:after="40"/>
              <w:jc w:val="center"/>
            </w:pPr>
            <w:r/>
            <w:r>
              <w:rPr>
                <w:b/>
                <w:sz w:val="16"/>
              </w:rPr>
              <w:t>Dirigida a</w:t>
            </w:r>
          </w:p>
        </w:tc>
        <w:tc>
          <w:tcPr>
            <w:tcW w:type="dxa" w:w="2494"/>
          </w:tcPr>
          <w:p>
            <w:pPr>
              <w:spacing w:after="40"/>
              <w:jc w:val="center"/>
            </w:pPr>
            <w:r/>
            <w:r>
              <w:rPr>
                <w:b/>
                <w:sz w:val="16"/>
              </w:rPr>
              <w:t>Requisitos</w:t>
            </w:r>
          </w:p>
        </w:tc>
        <w:tc>
          <w:tcPr>
            <w:tcW w:type="dxa" w:w="1701"/>
          </w:tcPr>
          <w:p>
            <w:pPr>
              <w:spacing w:after="40"/>
              <w:jc w:val="center"/>
            </w:pPr>
            <w:r/>
            <w:r>
              <w:rPr>
                <w:b/>
                <w:sz w:val="16"/>
              </w:rPr>
              <w:t>Examen</w:t>
            </w:r>
          </w:p>
        </w:tc>
        <w:tc>
          <w:tcPr>
            <w:tcW w:type="dxa" w:w="1134"/>
          </w:tcPr>
          <w:p>
            <w:pPr>
              <w:spacing w:after="40"/>
              <w:jc w:val="center"/>
            </w:pPr>
            <w:r/>
            <w:r>
              <w:rPr>
                <w:b/>
                <w:sz w:val="16"/>
              </w:rPr>
              <w:t>Costo</w:t>
            </w:r>
          </w:p>
        </w:tc>
      </w:tr>
      <w:tr>
        <w:tc>
          <w:tcPr>
            <w:tcW w:type="dxa" w:w="1814"/>
          </w:tcPr>
          <w:p>
            <w:pPr>
              <w:spacing w:after="40"/>
            </w:pPr>
            <w:r/>
            <w:r>
              <w:rPr>
                <w:sz w:val="16"/>
              </w:rPr>
              <w:t>CAPM — Certified Associate in Project Management</w:t>
            </w:r>
          </w:p>
        </w:tc>
        <w:tc>
          <w:tcPr>
            <w:tcW w:type="dxa" w:w="2041"/>
          </w:tcPr>
          <w:p>
            <w:pPr>
              <w:spacing w:after="40"/>
            </w:pPr>
            <w:r/>
            <w:r>
              <w:rPr>
                <w:sz w:val="16"/>
              </w:rPr>
              <w:t>Estudiantes y personas sin experiencia dirigiendo proyectos. Es la puerta de entrada.</w:t>
            </w:r>
          </w:p>
        </w:tc>
        <w:tc>
          <w:tcPr>
            <w:tcW w:type="dxa" w:w="2494"/>
          </w:tcPr>
          <w:p>
            <w:pPr>
              <w:spacing w:after="40"/>
            </w:pPr>
            <w:r/>
            <w:r>
              <w:rPr>
                <w:sz w:val="16"/>
              </w:rPr>
              <w:t>Bachillerato concluido más 23 horas de formación en dirección de proyectos. No exige experiencia dirigiendo proyectos.</w:t>
            </w:r>
          </w:p>
        </w:tc>
        <w:tc>
          <w:tcPr>
            <w:tcW w:type="dxa" w:w="1701"/>
          </w:tcPr>
          <w:p>
            <w:pPr>
              <w:spacing w:after="40"/>
            </w:pPr>
            <w:r/>
            <w:r>
              <w:rPr>
                <w:sz w:val="16"/>
              </w:rPr>
              <w:t>150 preguntas, 3 horas. Cubre fundamentos, metodologías predictiva y ágil, y análisis de negocio.</w:t>
            </w:r>
          </w:p>
        </w:tc>
        <w:tc>
          <w:tcPr>
            <w:tcW w:type="dxa" w:w="1134"/>
          </w:tcPr>
          <w:p>
            <w:pPr>
              <w:spacing w:after="40"/>
            </w:pPr>
            <w:r/>
            <w:r>
              <w:rPr>
                <w:sz w:val="16"/>
              </w:rPr>
              <w:t>USD $225 miembros · USD $300 no miembros</w:t>
            </w:r>
          </w:p>
        </w:tc>
      </w:tr>
      <w:tr>
        <w:tc>
          <w:tcPr>
            <w:tcW w:type="dxa" w:w="1814"/>
          </w:tcPr>
          <w:p>
            <w:pPr>
              <w:spacing w:after="40"/>
            </w:pPr>
            <w:r/>
            <w:r>
              <w:rPr>
                <w:sz w:val="16"/>
              </w:rPr>
              <w:t>PMP — Project Management Professional</w:t>
            </w:r>
          </w:p>
        </w:tc>
        <w:tc>
          <w:tcPr>
            <w:tcW w:type="dxa" w:w="2041"/>
          </w:tcPr>
          <w:p>
            <w:pPr>
              <w:spacing w:after="40"/>
            </w:pPr>
            <w:r/>
            <w:r>
              <w:rPr>
                <w:sz w:val="16"/>
              </w:rPr>
              <w:t>Profesionales con experiencia comprobable dirigiendo proyectos. Es la certificación de referencia del área.</w:t>
            </w:r>
          </w:p>
        </w:tc>
        <w:tc>
          <w:tcPr>
            <w:tcW w:type="dxa" w:w="2494"/>
          </w:tcPr>
          <w:p>
            <w:pPr>
              <w:spacing w:after="40"/>
            </w:pPr>
            <w:r/>
            <w:r>
              <w:rPr>
                <w:sz w:val="16"/>
              </w:rPr>
              <w:t>Con título universitario de cuatro años: 36 meses dirigiendo proyectos, equivalentes a 4,500 horas, más 35 horas de formación. Sin título: 60 meses y 7,500 horas.</w:t>
            </w:r>
          </w:p>
        </w:tc>
        <w:tc>
          <w:tcPr>
            <w:tcW w:type="dxa" w:w="1701"/>
          </w:tcPr>
          <w:p>
            <w:pPr>
              <w:spacing w:after="40"/>
            </w:pPr>
            <w:r/>
            <w:r>
              <w:rPr>
                <w:sz w:val="16"/>
              </w:rPr>
              <w:t>180 preguntas, 230 minutos. Cubre personas, procesos y entorno de negocio, con enfoques predictivo, ágil e híbrido.</w:t>
            </w:r>
          </w:p>
        </w:tc>
        <w:tc>
          <w:tcPr>
            <w:tcW w:type="dxa" w:w="1134"/>
          </w:tcPr>
          <w:p>
            <w:pPr>
              <w:spacing w:after="40"/>
            </w:pPr>
            <w:r/>
            <w:r>
              <w:rPr>
                <w:sz w:val="16"/>
              </w:rPr>
              <w:t>USD $405 miembros · USD $555 no miembros</w:t>
            </w:r>
          </w:p>
        </w:tc>
      </w:tr>
      <w:tr>
        <w:tc>
          <w:tcPr>
            <w:tcW w:type="dxa" w:w="1814"/>
          </w:tcPr>
          <w:p>
            <w:pPr>
              <w:spacing w:after="40"/>
            </w:pPr>
            <w:r/>
            <w:r>
              <w:rPr>
                <w:sz w:val="16"/>
              </w:rPr>
              <w:t>PMI-ACP — Agile Certified Practitioner</w:t>
            </w:r>
          </w:p>
        </w:tc>
        <w:tc>
          <w:tcPr>
            <w:tcW w:type="dxa" w:w="2041"/>
          </w:tcPr>
          <w:p>
            <w:pPr>
              <w:spacing w:after="40"/>
            </w:pPr>
            <w:r/>
            <w:r>
              <w:rPr>
                <w:sz w:val="16"/>
              </w:rPr>
              <w:t>Quienes trabajan en entornos ágiles y quieren acreditar dominio de varios marcos, no de uno solo.</w:t>
            </w:r>
          </w:p>
        </w:tc>
        <w:tc>
          <w:tcPr>
            <w:tcW w:type="dxa" w:w="2494"/>
          </w:tcPr>
          <w:p>
            <w:pPr>
              <w:spacing w:after="40"/>
            </w:pPr>
            <w:r/>
            <w:r>
              <w:rPr>
                <w:sz w:val="16"/>
              </w:rPr>
              <w:t>Experiencia en proyectos ágiles más formación específica en prácticas ágiles.</w:t>
            </w:r>
          </w:p>
        </w:tc>
        <w:tc>
          <w:tcPr>
            <w:tcW w:type="dxa" w:w="1701"/>
          </w:tcPr>
          <w:p>
            <w:pPr>
              <w:spacing w:after="40"/>
            </w:pPr>
            <w:r/>
            <w:r>
              <w:rPr>
                <w:sz w:val="16"/>
              </w:rPr>
              <w:t>Cubre Scrum, Kanban, Lean, programación extrema y otros marcos.</w:t>
            </w:r>
          </w:p>
        </w:tc>
        <w:tc>
          <w:tcPr>
            <w:tcW w:type="dxa" w:w="1134"/>
          </w:tcPr>
          <w:p>
            <w:pPr>
              <w:spacing w:after="40"/>
            </w:pPr>
            <w:r/>
            <w:r>
              <w:rPr>
                <w:sz w:val="16"/>
              </w:rPr>
              <w:t>USD $435 miembros · USD $495 no miembros aproximadamente</w:t>
            </w:r>
          </w:p>
        </w:tc>
      </w:tr>
      <w:tr>
        <w:tc>
          <w:tcPr>
            <w:tcW w:type="dxa" w:w="1814"/>
          </w:tcPr>
          <w:p>
            <w:pPr>
              <w:spacing w:after="40"/>
            </w:pPr>
            <w:r/>
            <w:r>
              <w:rPr>
                <w:sz w:val="16"/>
              </w:rPr>
              <w:t>PMI-RMP — Risk Management Professional</w:t>
            </w:r>
          </w:p>
        </w:tc>
        <w:tc>
          <w:tcPr>
            <w:tcW w:type="dxa" w:w="2041"/>
          </w:tcPr>
          <w:p>
            <w:pPr>
              <w:spacing w:after="40"/>
            </w:pPr>
            <w:r/>
            <w:r>
              <w:rPr>
                <w:sz w:val="16"/>
              </w:rPr>
              <w:t>Especialistas en gestión de riesgos dentro de proyectos grandes.</w:t>
            </w:r>
          </w:p>
        </w:tc>
        <w:tc>
          <w:tcPr>
            <w:tcW w:type="dxa" w:w="2494"/>
          </w:tcPr>
          <w:p>
            <w:pPr>
              <w:spacing w:after="40"/>
            </w:pPr>
            <w:r/>
            <w:r>
              <w:rPr>
                <w:sz w:val="16"/>
              </w:rPr>
              <w:t>Experiencia comprobable en gestión de riesgos más formación específica.</w:t>
            </w:r>
          </w:p>
        </w:tc>
        <w:tc>
          <w:tcPr>
            <w:tcW w:type="dxa" w:w="1701"/>
          </w:tcPr>
          <w:p>
            <w:pPr>
              <w:spacing w:after="40"/>
            </w:pPr>
            <w:r/>
            <w:r>
              <w:rPr>
                <w:sz w:val="16"/>
              </w:rPr>
              <w:t>Enfocado exclusivamente en el área de riesgos.</w:t>
            </w:r>
          </w:p>
        </w:tc>
        <w:tc>
          <w:tcPr>
            <w:tcW w:type="dxa" w:w="1134"/>
          </w:tcPr>
          <w:p>
            <w:pPr>
              <w:spacing w:after="40"/>
            </w:pPr>
            <w:r/>
            <w:r>
              <w:rPr>
                <w:sz w:val="16"/>
              </w:rPr>
              <w:t>USD $520 miembros · USD $670 no miembros aproximadamente</w:t>
            </w:r>
          </w:p>
        </w:tc>
      </w:tr>
      <w:tr>
        <w:tc>
          <w:tcPr>
            <w:tcW w:type="dxa" w:w="1814"/>
          </w:tcPr>
          <w:p>
            <w:pPr>
              <w:spacing w:after="40"/>
            </w:pPr>
            <w:r/>
            <w:r>
              <w:rPr>
                <w:sz w:val="16"/>
              </w:rPr>
              <w:t>PMI-SP — Scheduling Professional</w:t>
            </w:r>
          </w:p>
        </w:tc>
        <w:tc>
          <w:tcPr>
            <w:tcW w:type="dxa" w:w="2041"/>
          </w:tcPr>
          <w:p>
            <w:pPr>
              <w:spacing w:after="40"/>
            </w:pPr>
            <w:r/>
            <w:r>
              <w:rPr>
                <w:sz w:val="16"/>
              </w:rPr>
              <w:t>Especialistas en programación y control de cronogramas. Es la que más se acerca al trabajo de ruta crítica de esta materia.</w:t>
            </w:r>
          </w:p>
        </w:tc>
        <w:tc>
          <w:tcPr>
            <w:tcW w:type="dxa" w:w="2494"/>
          </w:tcPr>
          <w:p>
            <w:pPr>
              <w:spacing w:after="40"/>
            </w:pPr>
            <w:r/>
            <w:r>
              <w:rPr>
                <w:sz w:val="16"/>
              </w:rPr>
              <w:t>Experiencia comprobable en desarrollo y control de cronogramas más formación específica.</w:t>
            </w:r>
          </w:p>
        </w:tc>
        <w:tc>
          <w:tcPr>
            <w:tcW w:type="dxa" w:w="1701"/>
          </w:tcPr>
          <w:p>
            <w:pPr>
              <w:spacing w:after="40"/>
            </w:pPr>
            <w:r/>
            <w:r>
              <w:rPr>
                <w:sz w:val="16"/>
              </w:rPr>
              <w:t>Enfocado en planificación temporal, red de precedencias, ruta crítica y control del cronograma.</w:t>
            </w:r>
          </w:p>
        </w:tc>
        <w:tc>
          <w:tcPr>
            <w:tcW w:type="dxa" w:w="1134"/>
          </w:tcPr>
          <w:p>
            <w:pPr>
              <w:spacing w:after="40"/>
            </w:pPr>
            <w:r/>
            <w:r>
              <w:rPr>
                <w:sz w:val="16"/>
              </w:rPr>
              <w:t>USD $520 miembros · USD $670 no miembros aproximadamente</w:t>
            </w:r>
          </w:p>
        </w:tc>
      </w:tr>
    </w:tbl>
    <w:p>
      <w:pPr>
        <w:spacing w:after="40"/>
      </w:pPr>
    </w:p>
    <w:p>
      <w:pPr>
        <w:spacing w:after="160"/>
        <w:jc w:val="both"/>
      </w:pPr>
      <w:r>
        <w:rPr>
          <w:b w:val="0"/>
          <w:i w:val="0"/>
        </w:rPr>
        <w:t>La membresía del PMI cuesta USD $139 anuales más USD $10 de inscripción inicial. Conviene evaluarla antes de presentar examen: en el caso del PMP, el ahorro en la cuota del examen supera el costo de la membresía, de modo que afiliarse resulta más barato que no hacerlo. Además da acceso a la guía PMBOK en formato digital sin costo adicional.</w:t>
      </w:r>
    </w:p>
    <w:p>
      <w:pPr>
        <w:pStyle w:val="Heading2"/>
      </w:pPr>
      <w:r>
        <w:t>18. Otras certificaciones relevantes</w:t>
      </w:r>
    </w:p>
    <w:tbl>
      <w:tblPr>
        <w:tblStyle w:val="TableGrid"/>
        <w:tblW w:type="auto" w:w="0"/>
        <w:jc w:val="center"/>
        <w:tblLayout w:type="fixed"/>
        <w:tblLook w:firstColumn="1" w:firstRow="1" w:lastColumn="0" w:lastRow="0" w:noHBand="0" w:noVBand="1" w:val="04A0"/>
      </w:tblPr>
      <w:tblGrid>
        <w:gridCol w:w="2351"/>
        <w:gridCol w:w="2351"/>
        <w:gridCol w:w="2351"/>
        <w:gridCol w:w="2351"/>
      </w:tblGrid>
      <w:tr>
        <w:tc>
          <w:tcPr>
            <w:tcW w:type="dxa" w:w="1928"/>
          </w:tcPr>
          <w:p>
            <w:pPr>
              <w:spacing w:after="40"/>
              <w:jc w:val="center"/>
            </w:pPr>
            <w:r/>
            <w:r>
              <w:rPr>
                <w:b/>
                <w:sz w:val="18"/>
              </w:rPr>
              <w:t>Certificación</w:t>
            </w:r>
          </w:p>
        </w:tc>
        <w:tc>
          <w:tcPr>
            <w:tcW w:type="dxa" w:w="1814"/>
          </w:tcPr>
          <w:p>
            <w:pPr>
              <w:spacing w:after="40"/>
              <w:jc w:val="center"/>
            </w:pPr>
            <w:r/>
            <w:r>
              <w:rPr>
                <w:b/>
                <w:sz w:val="18"/>
              </w:rPr>
              <w:t>Organismo</w:t>
            </w:r>
          </w:p>
        </w:tc>
        <w:tc>
          <w:tcPr>
            <w:tcW w:type="dxa" w:w="3969"/>
          </w:tcPr>
          <w:p>
            <w:pPr>
              <w:spacing w:after="40"/>
              <w:jc w:val="center"/>
            </w:pPr>
            <w:r/>
            <w:r>
              <w:rPr>
                <w:b/>
                <w:sz w:val="18"/>
              </w:rPr>
              <w:t>Características</w:t>
            </w:r>
          </w:p>
        </w:tc>
        <w:tc>
          <w:tcPr>
            <w:tcW w:type="dxa" w:w="1361"/>
          </w:tcPr>
          <w:p>
            <w:pPr>
              <w:spacing w:after="40"/>
              <w:jc w:val="center"/>
            </w:pPr>
            <w:r/>
            <w:r>
              <w:rPr>
                <w:b/>
                <w:sz w:val="18"/>
              </w:rPr>
              <w:t>Costo aproximado</w:t>
            </w:r>
          </w:p>
        </w:tc>
      </w:tr>
      <w:tr>
        <w:tc>
          <w:tcPr>
            <w:tcW w:type="dxa" w:w="1928"/>
          </w:tcPr>
          <w:p>
            <w:pPr>
              <w:spacing w:after="40"/>
            </w:pPr>
            <w:r/>
            <w:r>
              <w:rPr>
                <w:sz w:val="18"/>
              </w:rPr>
              <w:t>PRINCE2 Foundation</w:t>
            </w:r>
          </w:p>
        </w:tc>
        <w:tc>
          <w:tcPr>
            <w:tcW w:type="dxa" w:w="1814"/>
          </w:tcPr>
          <w:p>
            <w:pPr>
              <w:spacing w:after="40"/>
            </w:pPr>
            <w:r/>
            <w:r>
              <w:rPr>
                <w:sz w:val="18"/>
              </w:rPr>
              <w:t>PeopleCert</w:t>
            </w:r>
          </w:p>
        </w:tc>
        <w:tc>
          <w:tcPr>
            <w:tcW w:type="dxa" w:w="3969"/>
          </w:tcPr>
          <w:p>
            <w:pPr>
              <w:spacing w:after="40"/>
            </w:pPr>
            <w:r/>
            <w:r>
              <w:rPr>
                <w:sz w:val="18"/>
              </w:rPr>
              <w:t>Método prescriptivo de origen británico, muy extendido en Europa y en organismos públicos. Define siete principios, siete temas y siete procesos. No exige experiencia previa.</w:t>
            </w:r>
          </w:p>
        </w:tc>
        <w:tc>
          <w:tcPr>
            <w:tcW w:type="dxa" w:w="1361"/>
          </w:tcPr>
          <w:p>
            <w:pPr>
              <w:spacing w:after="40"/>
            </w:pPr>
            <w:r/>
            <w:r>
              <w:rPr>
                <w:sz w:val="18"/>
              </w:rPr>
              <w:t>USD $300 a $500 según el país</w:t>
            </w:r>
          </w:p>
        </w:tc>
      </w:tr>
      <w:tr>
        <w:tc>
          <w:tcPr>
            <w:tcW w:type="dxa" w:w="1928"/>
          </w:tcPr>
          <w:p>
            <w:pPr>
              <w:spacing w:after="40"/>
            </w:pPr>
            <w:r/>
            <w:r>
              <w:rPr>
                <w:sz w:val="18"/>
              </w:rPr>
              <w:t>PRINCE2 Practitioner</w:t>
            </w:r>
          </w:p>
        </w:tc>
        <w:tc>
          <w:tcPr>
            <w:tcW w:type="dxa" w:w="1814"/>
          </w:tcPr>
          <w:p>
            <w:pPr>
              <w:spacing w:after="40"/>
            </w:pPr>
            <w:r/>
            <w:r>
              <w:rPr>
                <w:sz w:val="18"/>
              </w:rPr>
              <w:t>PeopleCert</w:t>
            </w:r>
          </w:p>
        </w:tc>
        <w:tc>
          <w:tcPr>
            <w:tcW w:type="dxa" w:w="3969"/>
          </w:tcPr>
          <w:p>
            <w:pPr>
              <w:spacing w:after="40"/>
            </w:pPr>
            <w:r/>
            <w:r>
              <w:rPr>
                <w:sz w:val="18"/>
              </w:rPr>
              <w:t>Segundo nivel. Evalúa la capacidad de adaptar el método a un escenario concreto. Requiere tener Foundation.</w:t>
            </w:r>
          </w:p>
        </w:tc>
        <w:tc>
          <w:tcPr>
            <w:tcW w:type="dxa" w:w="1361"/>
          </w:tcPr>
          <w:p>
            <w:pPr>
              <w:spacing w:after="40"/>
            </w:pPr>
            <w:r/>
            <w:r>
              <w:rPr>
                <w:sz w:val="18"/>
              </w:rPr>
              <w:t>USD $500 a $700</w:t>
            </w:r>
          </w:p>
        </w:tc>
      </w:tr>
      <w:tr>
        <w:tc>
          <w:tcPr>
            <w:tcW w:type="dxa" w:w="1928"/>
          </w:tcPr>
          <w:p>
            <w:pPr>
              <w:spacing w:after="40"/>
            </w:pPr>
            <w:r/>
            <w:r>
              <w:rPr>
                <w:sz w:val="18"/>
              </w:rPr>
              <w:t>IPMA nivel D</w:t>
            </w:r>
          </w:p>
        </w:tc>
        <w:tc>
          <w:tcPr>
            <w:tcW w:type="dxa" w:w="1814"/>
          </w:tcPr>
          <w:p>
            <w:pPr>
              <w:spacing w:after="40"/>
            </w:pPr>
            <w:r/>
            <w:r>
              <w:rPr>
                <w:sz w:val="18"/>
              </w:rPr>
              <w:t>International Project Management Association</w:t>
            </w:r>
          </w:p>
        </w:tc>
        <w:tc>
          <w:tcPr>
            <w:tcW w:type="dxa" w:w="3969"/>
          </w:tcPr>
          <w:p>
            <w:pPr>
              <w:spacing w:after="40"/>
            </w:pPr>
            <w:r/>
            <w:r>
              <w:rPr>
                <w:sz w:val="18"/>
              </w:rPr>
              <w:t>Evalúa conocimiento de competencias en dirección de proyectos. Es el nivel de entrada y admite candidatos sin experiencia.</w:t>
            </w:r>
          </w:p>
        </w:tc>
        <w:tc>
          <w:tcPr>
            <w:tcW w:type="dxa" w:w="1361"/>
          </w:tcPr>
          <w:p>
            <w:pPr>
              <w:spacing w:after="40"/>
            </w:pPr>
            <w:r/>
            <w:r>
              <w:rPr>
                <w:sz w:val="18"/>
              </w:rPr>
              <w:t>Varía por asociación nacional</w:t>
            </w:r>
          </w:p>
        </w:tc>
      </w:tr>
      <w:tr>
        <w:tc>
          <w:tcPr>
            <w:tcW w:type="dxa" w:w="1928"/>
          </w:tcPr>
          <w:p>
            <w:pPr>
              <w:spacing w:after="40"/>
            </w:pPr>
            <w:r/>
            <w:r>
              <w:rPr>
                <w:sz w:val="18"/>
              </w:rPr>
              <w:t>Professional Scrum Master I (PSM I)</w:t>
            </w:r>
          </w:p>
        </w:tc>
        <w:tc>
          <w:tcPr>
            <w:tcW w:type="dxa" w:w="1814"/>
          </w:tcPr>
          <w:p>
            <w:pPr>
              <w:spacing w:after="40"/>
            </w:pPr>
            <w:r/>
            <w:r>
              <w:rPr>
                <w:sz w:val="18"/>
              </w:rPr>
              <w:t>Scrum.org</w:t>
            </w:r>
          </w:p>
        </w:tc>
        <w:tc>
          <w:tcPr>
            <w:tcW w:type="dxa" w:w="3969"/>
          </w:tcPr>
          <w:p>
            <w:pPr>
              <w:spacing w:after="40"/>
            </w:pPr>
            <w:r/>
            <w:r>
              <w:rPr>
                <w:sz w:val="18"/>
              </w:rPr>
              <w:t>Certifica dominio del marco Scrum. No caduca ni requiere renovación. No exige curso previo.</w:t>
            </w:r>
          </w:p>
        </w:tc>
        <w:tc>
          <w:tcPr>
            <w:tcW w:type="dxa" w:w="1361"/>
          </w:tcPr>
          <w:p>
            <w:pPr>
              <w:spacing w:after="40"/>
            </w:pPr>
            <w:r/>
            <w:r>
              <w:rPr>
                <w:sz w:val="18"/>
              </w:rPr>
              <w:t>USD $200</w:t>
            </w:r>
          </w:p>
        </w:tc>
      </w:tr>
      <w:tr>
        <w:tc>
          <w:tcPr>
            <w:tcW w:type="dxa" w:w="1928"/>
          </w:tcPr>
          <w:p>
            <w:pPr>
              <w:spacing w:after="40"/>
            </w:pPr>
            <w:r/>
            <w:r>
              <w:rPr>
                <w:sz w:val="18"/>
              </w:rPr>
              <w:t>Certified ScrumMaster (CSM)</w:t>
            </w:r>
          </w:p>
        </w:tc>
        <w:tc>
          <w:tcPr>
            <w:tcW w:type="dxa" w:w="1814"/>
          </w:tcPr>
          <w:p>
            <w:pPr>
              <w:spacing w:after="40"/>
            </w:pPr>
            <w:r/>
            <w:r>
              <w:rPr>
                <w:sz w:val="18"/>
              </w:rPr>
              <w:t>Scrum Alliance</w:t>
            </w:r>
          </w:p>
        </w:tc>
        <w:tc>
          <w:tcPr>
            <w:tcW w:type="dxa" w:w="3969"/>
          </w:tcPr>
          <w:p>
            <w:pPr>
              <w:spacing w:after="40"/>
            </w:pPr>
            <w:r/>
            <w:r>
              <w:rPr>
                <w:sz w:val="18"/>
              </w:rPr>
              <w:t>Equivalente en alcance, pero obliga a tomar un curso oficial de dos días y a renovar cada dos años.</w:t>
            </w:r>
          </w:p>
        </w:tc>
        <w:tc>
          <w:tcPr>
            <w:tcW w:type="dxa" w:w="1361"/>
          </w:tcPr>
          <w:p>
            <w:pPr>
              <w:spacing w:after="40"/>
            </w:pPr>
            <w:r/>
            <w:r>
              <w:rPr>
                <w:sz w:val="18"/>
              </w:rPr>
              <w:t>USD $1,000 a $1,400, curso incluido</w:t>
            </w:r>
          </w:p>
        </w:tc>
      </w:tr>
    </w:tbl>
    <w:p>
      <w:pPr>
        <w:spacing w:after="40"/>
      </w:pPr>
    </w:p>
    <w:p>
      <w:pPr>
        <w:pStyle w:val="Heading2"/>
      </w:pPr>
      <w:r>
        <w:t>19. Recomendación para el equipo</w:t>
      </w:r>
    </w:p>
    <w:p>
      <w:pPr>
        <w:spacing w:after="160"/>
        <w:jc w:val="both"/>
      </w:pPr>
      <w:r>
        <w:rPr>
          <w:b w:val="0"/>
          <w:i w:val="0"/>
        </w:rPr>
        <w:t>La certificación pertinente para el perfil del equipo es la CAPM, por tres razones concretas.</w:t>
      </w:r>
    </w:p>
    <w:p>
      <w:pPr>
        <w:pStyle w:val="ListNumber"/>
        <w:spacing w:after="60"/>
      </w:pPr>
      <w:r>
        <w:t>No exige experiencia dirigiendo proyectos. El PMP pide 36 meses con título universitario, lo que lo vuelve inalcanzable para quien todavía está estudiando.</w:t>
      </w:r>
    </w:p>
    <w:p>
      <w:pPr>
        <w:pStyle w:val="ListNumber"/>
        <w:spacing w:after="60"/>
      </w:pPr>
      <w:r>
        <w:t>Su requisito de 23 horas de formación en dirección de proyectos se cubre en buena medida con esta misma unidad de aprendizaje, siempre que se documente el contenido y la carga horaria.</w:t>
      </w:r>
    </w:p>
    <w:p>
      <w:pPr>
        <w:pStyle w:val="ListNumber"/>
        <w:spacing w:after="60"/>
      </w:pPr>
      <w:r>
        <w:t>Su temario coincide con lo que este proyecto ya aplicó: estructura de desglose del trabajo, red de precedencias, ruta crítica, estimación ascendente de costos, gestión de la calidad y gestión de riesgos.</w:t>
      </w:r>
    </w:p>
    <w:tbl>
      <w:tblPr>
        <w:tblStyle w:val="TableGrid"/>
        <w:tblW w:type="auto" w:w="0"/>
        <w:jc w:val="center"/>
        <w:tblLayout w:type="fixed"/>
        <w:tblLook w:firstColumn="1" w:firstRow="1" w:lastColumn="0" w:lastRow="0" w:noHBand="0" w:noVBand="1" w:val="04A0"/>
      </w:tblPr>
      <w:tblGrid>
        <w:gridCol w:w="4703"/>
        <w:gridCol w:w="4703"/>
      </w:tblGrid>
      <w:tr>
        <w:tc>
          <w:tcPr>
            <w:tcW w:type="dxa" w:w="2041"/>
          </w:tcPr>
          <w:p>
            <w:pPr>
              <w:spacing w:after="40"/>
              <w:jc w:val="center"/>
            </w:pPr>
            <w:r/>
            <w:r>
              <w:rPr>
                <w:b/>
                <w:sz w:val="19"/>
              </w:rPr>
              <w:t>Momento</w:t>
            </w:r>
          </w:p>
        </w:tc>
        <w:tc>
          <w:tcPr>
            <w:tcW w:type="dxa" w:w="7030"/>
          </w:tcPr>
          <w:p>
            <w:pPr>
              <w:spacing w:after="40"/>
              <w:jc w:val="center"/>
            </w:pPr>
            <w:r/>
            <w:r>
              <w:rPr>
                <w:b/>
                <w:sz w:val="19"/>
              </w:rPr>
              <w:t>Recomendación</w:t>
            </w:r>
          </w:p>
        </w:tc>
      </w:tr>
      <w:tr>
        <w:tc>
          <w:tcPr>
            <w:tcW w:type="dxa" w:w="2041"/>
          </w:tcPr>
          <w:p>
            <w:pPr>
              <w:spacing w:after="40"/>
            </w:pPr>
            <w:r/>
            <w:r>
              <w:rPr>
                <w:sz w:val="19"/>
              </w:rPr>
              <w:t>Durante la carrera</w:t>
            </w:r>
          </w:p>
        </w:tc>
        <w:tc>
          <w:tcPr>
            <w:tcW w:type="dxa" w:w="7030"/>
          </w:tcPr>
          <w:p>
            <w:pPr>
              <w:spacing w:after="40"/>
            </w:pPr>
            <w:r/>
            <w:r>
              <w:rPr>
                <w:sz w:val="19"/>
              </w:rPr>
              <w:t>CAPM. Es la única del PMI accesible sin experiencia, y convalida la formación de esta materia.</w:t>
            </w:r>
          </w:p>
        </w:tc>
      </w:tr>
      <w:tr>
        <w:tc>
          <w:tcPr>
            <w:tcW w:type="dxa" w:w="2041"/>
          </w:tcPr>
          <w:p>
            <w:pPr>
              <w:spacing w:after="40"/>
            </w:pPr>
            <w:r/>
            <w:r>
              <w:rPr>
                <w:sz w:val="19"/>
              </w:rPr>
              <w:t>Primer empleo</w:t>
            </w:r>
          </w:p>
        </w:tc>
        <w:tc>
          <w:tcPr>
            <w:tcW w:type="dxa" w:w="7030"/>
          </w:tcPr>
          <w:p>
            <w:pPr>
              <w:spacing w:after="40"/>
            </w:pPr>
            <w:r/>
            <w:r>
              <w:rPr>
                <w:sz w:val="19"/>
              </w:rPr>
              <w:t>PSM I si el entorno de trabajo es ágil. Cuesta USD $200, no caduca y no obliga a tomar curso.</w:t>
            </w:r>
          </w:p>
        </w:tc>
      </w:tr>
      <w:tr>
        <w:tc>
          <w:tcPr>
            <w:tcW w:type="dxa" w:w="2041"/>
          </w:tcPr>
          <w:p>
            <w:pPr>
              <w:spacing w:after="40"/>
            </w:pPr>
            <w:r/>
            <w:r>
              <w:rPr>
                <w:sz w:val="19"/>
              </w:rPr>
              <w:t>A los tres años de ejercicio</w:t>
            </w:r>
          </w:p>
        </w:tc>
        <w:tc>
          <w:tcPr>
            <w:tcW w:type="dxa" w:w="7030"/>
          </w:tcPr>
          <w:p>
            <w:pPr>
              <w:spacing w:after="40"/>
            </w:pPr>
            <w:r/>
            <w:r>
              <w:rPr>
                <w:sz w:val="19"/>
              </w:rPr>
              <w:t>PMP, una vez acumuladas las 4,500 horas dirigiendo proyectos que exige con título universitario.</w:t>
            </w:r>
          </w:p>
        </w:tc>
      </w:tr>
      <w:tr>
        <w:tc>
          <w:tcPr>
            <w:tcW w:type="dxa" w:w="2041"/>
          </w:tcPr>
          <w:p>
            <w:pPr>
              <w:spacing w:after="40"/>
            </w:pPr>
            <w:r/>
            <w:r>
              <w:rPr>
                <w:sz w:val="19"/>
              </w:rPr>
              <w:t>Especialización posterior</w:t>
            </w:r>
          </w:p>
        </w:tc>
        <w:tc>
          <w:tcPr>
            <w:tcW w:type="dxa" w:w="7030"/>
          </w:tcPr>
          <w:p>
            <w:pPr>
              <w:spacing w:after="40"/>
            </w:pPr>
            <w:r/>
            <w:r>
              <w:rPr>
                <w:sz w:val="19"/>
              </w:rPr>
              <w:t>PMI-SP para quien se incline por la planificación y el control de cronogramas, que es el terreno del trabajo de ruta crítica; PMI-RMP para quien se incline por la gestión de riesgos.</w:t>
            </w:r>
          </w:p>
        </w:tc>
      </w:tr>
    </w:tbl>
    <w:p>
      <w:pPr>
        <w:spacing w:after="40"/>
      </w:pPr>
    </w:p>
    <w:p>
      <w:pPr>
        <w:spacing w:after="160"/>
        <w:jc w:val="both"/>
      </w:pPr>
      <w:r>
        <w:rPr>
          <w:b w:val="0"/>
          <w:i w:val="0"/>
        </w:rPr>
        <w:t>Una advertencia sobre el valor de las certificaciones: acreditan conocimiento del vocabulario y de los procesos, no capacidad de dirigir. El PMI lo reconoce al exigir experiencia comprobable para el PMP y no solo un examen. Para un egresado, la certificación abre la puerta a entrevistas; lo que sostiene la carrera es haber ejecutado proyectos reales.</w:t>
      </w:r>
    </w:p>
    <w:p>
      <w:r>
        <w:br w:type="page"/>
      </w:r>
    </w:p>
    <w:p>
      <w:pPr>
        <w:pStyle w:val="Heading1"/>
      </w:pPr>
      <w:r>
        <w:t>20. Fuentes</w:t>
      </w:r>
    </w:p>
    <w:tbl>
      <w:tblPr>
        <w:tblStyle w:val="TableGrid"/>
        <w:tblW w:type="auto" w:w="0"/>
        <w:jc w:val="center"/>
        <w:tblLayout w:type="fixed"/>
        <w:tblLook w:firstColumn="1" w:firstRow="1" w:lastColumn="0" w:lastRow="0" w:noHBand="0" w:noVBand="1" w:val="04A0"/>
      </w:tblPr>
      <w:tblGrid>
        <w:gridCol w:w="4703"/>
        <w:gridCol w:w="4703"/>
      </w:tblGrid>
      <w:tr>
        <w:tc>
          <w:tcPr>
            <w:tcW w:type="dxa" w:w="3175"/>
          </w:tcPr>
          <w:p>
            <w:pPr>
              <w:spacing w:after="40"/>
              <w:jc w:val="center"/>
            </w:pPr>
            <w:r/>
            <w:r>
              <w:rPr>
                <w:b/>
                <w:sz w:val="19"/>
              </w:rPr>
              <w:t>Fuente</w:t>
            </w:r>
          </w:p>
        </w:tc>
        <w:tc>
          <w:tcPr>
            <w:tcW w:type="dxa" w:w="5896"/>
          </w:tcPr>
          <w:p>
            <w:pPr>
              <w:spacing w:after="40"/>
              <w:jc w:val="center"/>
            </w:pPr>
            <w:r/>
            <w:r>
              <w:rPr>
                <w:b/>
                <w:sz w:val="19"/>
              </w:rPr>
              <w:t>Contenido</w:t>
            </w:r>
          </w:p>
        </w:tc>
      </w:tr>
      <w:tr>
        <w:tc>
          <w:tcPr>
            <w:tcW w:type="dxa" w:w="3175"/>
          </w:tcPr>
          <w:p>
            <w:pPr>
              <w:spacing w:after="40"/>
            </w:pPr>
            <w:r/>
            <w:r>
              <w:rPr>
                <w:sz w:val="19"/>
              </w:rPr>
              <w:t>Project Management Institute, pmi.org</w:t>
            </w:r>
          </w:p>
        </w:tc>
        <w:tc>
          <w:tcPr>
            <w:tcW w:type="dxa" w:w="5896"/>
          </w:tcPr>
          <w:p>
            <w:pPr>
              <w:spacing w:after="40"/>
            </w:pPr>
            <w:r/>
            <w:r>
              <w:rPr>
                <w:sz w:val="19"/>
              </w:rPr>
              <w:t>Requisitos y cuotas vigentes de CAPM, PMP, PMI-ACP, PMI-RMP y PMI-SP, y de la membresía anual.</w:t>
            </w:r>
          </w:p>
        </w:tc>
      </w:tr>
      <w:tr>
        <w:tc>
          <w:tcPr>
            <w:tcW w:type="dxa" w:w="3175"/>
          </w:tcPr>
          <w:p>
            <w:pPr>
              <w:spacing w:after="40"/>
            </w:pPr>
            <w:r/>
            <w:r>
              <w:rPr>
                <w:sz w:val="19"/>
              </w:rPr>
              <w:t>PeopleCert, peoplecert.org</w:t>
            </w:r>
          </w:p>
        </w:tc>
        <w:tc>
          <w:tcPr>
            <w:tcW w:type="dxa" w:w="5896"/>
          </w:tcPr>
          <w:p>
            <w:pPr>
              <w:spacing w:after="40"/>
            </w:pPr>
            <w:r/>
            <w:r>
              <w:rPr>
                <w:sz w:val="19"/>
              </w:rPr>
              <w:t>Requisitos y cuotas de PRINCE2 Foundation y Practitioner.</w:t>
            </w:r>
          </w:p>
        </w:tc>
      </w:tr>
      <w:tr>
        <w:tc>
          <w:tcPr>
            <w:tcW w:type="dxa" w:w="3175"/>
          </w:tcPr>
          <w:p>
            <w:pPr>
              <w:spacing w:after="40"/>
            </w:pPr>
            <w:r/>
            <w:r>
              <w:rPr>
                <w:sz w:val="19"/>
              </w:rPr>
              <w:t>Scrum.org y Scrum Alliance</w:t>
            </w:r>
          </w:p>
        </w:tc>
        <w:tc>
          <w:tcPr>
            <w:tcW w:type="dxa" w:w="5896"/>
          </w:tcPr>
          <w:p>
            <w:pPr>
              <w:spacing w:after="40"/>
            </w:pPr>
            <w:r/>
            <w:r>
              <w:rPr>
                <w:sz w:val="19"/>
              </w:rPr>
              <w:t>Requisitos y cuotas de PSM I y CSM.</w:t>
            </w:r>
          </w:p>
        </w:tc>
      </w:tr>
      <w:tr>
        <w:tc>
          <w:tcPr>
            <w:tcW w:type="dxa" w:w="3175"/>
          </w:tcPr>
          <w:p>
            <w:pPr>
              <w:spacing w:after="40"/>
            </w:pPr>
            <w:r/>
            <w:r>
              <w:rPr>
                <w:sz w:val="19"/>
              </w:rPr>
              <w:t>International Project Management Association, ipma.world</w:t>
            </w:r>
          </w:p>
        </w:tc>
        <w:tc>
          <w:tcPr>
            <w:tcW w:type="dxa" w:w="5896"/>
          </w:tcPr>
          <w:p>
            <w:pPr>
              <w:spacing w:after="40"/>
            </w:pPr>
            <w:r/>
            <w:r>
              <w:rPr>
                <w:sz w:val="19"/>
              </w:rPr>
              <w:t>Esquema de certificación por niveles D a A.</w:t>
            </w:r>
          </w:p>
        </w:tc>
      </w:tr>
      <w:tr>
        <w:tc>
          <w:tcPr>
            <w:tcW w:type="dxa" w:w="3175"/>
          </w:tcPr>
          <w:p>
            <w:pPr>
              <w:spacing w:after="40"/>
            </w:pPr>
            <w:r/>
            <w:r>
              <w:rPr>
                <w:sz w:val="19"/>
              </w:rPr>
              <w:t>Guía de los Fundamentos para la Dirección de Proyectos (Guía del PMBOK), Project Management Institute</w:t>
            </w:r>
          </w:p>
        </w:tc>
        <w:tc>
          <w:tcPr>
            <w:tcW w:type="dxa" w:w="5896"/>
          </w:tcPr>
          <w:p>
            <w:pPr>
              <w:spacing w:after="40"/>
            </w:pPr>
            <w:r/>
            <w:r>
              <w:rPr>
                <w:sz w:val="19"/>
              </w:rPr>
              <w:t>Marco de referencia de las áreas 8 y 11, que sustentan las partes I y II de este documento.</w:t>
            </w:r>
          </w:p>
        </w:tc>
      </w:tr>
    </w:tbl>
    <w:p>
      <w:pPr>
        <w:spacing w:after="40"/>
      </w:pPr>
    </w:p>
    <w:p>
      <w:pPr>
        <w:spacing w:after="160"/>
        <w:jc w:val="both"/>
      </w:pPr>
      <w:r>
        <w:rPr>
          <w:b w:val="0"/>
          <w:i/>
        </w:rPr>
        <w:t>Los costos de examen se consultaron en septiembre de 2026 y los organismos emisores los actualizan periódicamente. Conviene verificarlos en el sitio oficial antes de inscribirse.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