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Solicitud de cambio: enfoque terapéutico del proyecto</w:t>
      </w:r>
    </w:p>
    <w:p>
      <w:pPr>
        <w:spacing w:after="80"/>
        <w:jc w:val="center"/>
      </w:pPr>
      <w:r>
        <w:rPr>
          <w:b w:val="0"/>
          <w:i w:val="0"/>
          <w:sz w:val="24"/>
        </w:rPr>
        <w:t>Simulación de Batería en Realidad Virtual con Enfoque Terapéutico</w:t>
      </w:r>
    </w:p>
    <w:p>
      <w:pPr>
        <w:spacing w:after="480"/>
      </w:pP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Facultad</w:t>
            </w:r>
          </w:p>
        </w:tc>
        <w:tc>
          <w:tcPr>
            <w:tcW w:type="dxa" w:w="6236"/>
          </w:tcPr>
          <w:p>
            <w:pPr>
              <w:spacing w:after="40"/>
            </w:pPr>
            <w:r/>
            <w:r>
              <w:rPr>
                <w:sz w:val="20"/>
              </w:rPr>
              <w:t>Ingeniería Mecánica y Eléctrica, UANL</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Fecha de registro</w:t>
            </w:r>
          </w:p>
        </w:tc>
        <w:tc>
          <w:tcPr>
            <w:tcW w:type="dxa" w:w="6236"/>
          </w:tcPr>
          <w:p>
            <w:pPr>
              <w:spacing w:after="40"/>
            </w:pPr>
            <w:r/>
            <w:r>
              <w:rPr>
                <w:sz w:val="20"/>
              </w:rPr>
              <w:t>18 de octubre de 2026</w:t>
            </w:r>
          </w:p>
        </w:tc>
      </w:tr>
      <w:tr>
        <w:tc>
          <w:tcPr>
            <w:tcW w:type="dxa" w:w="2551"/>
          </w:tcPr>
          <w:p>
            <w:pPr>
              <w:spacing w:after="40"/>
            </w:pPr>
            <w:r/>
            <w:r>
              <w:rPr>
                <w:sz w:val="20"/>
              </w:rPr>
              <w:t>Proceso</w:t>
            </w:r>
          </w:p>
        </w:tc>
        <w:tc>
          <w:tcPr>
            <w:tcW w:type="dxa" w:w="6236"/>
          </w:tcPr>
          <w:p>
            <w:pPr>
              <w:spacing w:after="40"/>
            </w:pPr>
            <w:r/>
            <w:r>
              <w:rPr>
                <w:sz w:val="20"/>
              </w:rPr>
              <w:t>PMBOK 4.6 Control Integrado de Cambios</w:t>
            </w:r>
          </w:p>
        </w:tc>
      </w:tr>
    </w:tbl>
    <w:p>
      <w:pPr>
        <w:spacing w:after="40"/>
      </w:pPr>
    </w:p>
    <w:p>
      <w:r>
        <w:br w:type="page"/>
      </w:r>
    </w:p>
    <w:p>
      <w:pPr>
        <w:pStyle w:val="Heading1"/>
      </w:pPr>
      <w:r>
        <w:t>1. Qué cambia</w:t>
      </w:r>
    </w:p>
    <w:p>
      <w:pPr>
        <w:spacing w:after="160"/>
        <w:jc w:val="both"/>
      </w:pPr>
      <w:r>
        <w:rPr>
          <w:b w:val="0"/>
          <w:i w:val="0"/>
        </w:rPr>
        <w:t>El proyecto deja de declararse como herramienta de apoyo a la rehabilitación motriz de miembro superior y pasa a declararse como herramienta de regulación emocional por medio de la ejecución rítmica.</w:t>
      </w:r>
    </w:p>
    <w:p>
      <w:pPr>
        <w:spacing w:after="160"/>
        <w:jc w:val="both"/>
      </w:pPr>
      <w:r>
        <w:rPr>
          <w:b w:val="0"/>
          <w:i w:val="0"/>
        </w:rPr>
        <w:t>El cambio es de ENCUADRE, no de producto. El prototipo que se construye es el mismo: una batería virtual que suena al golpearla, con un juego de ritmo y un registro de métricas. Lo que cambia es qué afirma el proyecto sobre el beneficio que produce, y por tanto qué tiene que demostrar.</w:t>
      </w:r>
    </w:p>
    <w:p>
      <w:pPr>
        <w:spacing w:after="160"/>
        <w:jc w:val="both"/>
      </w:pPr>
      <w:r>
        <w:rPr>
          <w:b w:val="0"/>
          <w:i w:val="0"/>
        </w:rPr>
        <w:t>La revisión 1 de la carta sponsor había situado el beneficio emocional como secundario. Pasa a ser el único declarado.</w:t>
      </w:r>
    </w:p>
    <w:p>
      <w:pPr>
        <w:pStyle w:val="Heading1"/>
      </w:pPr>
      <w:r>
        <w:t>2. Por qué se cambia</w:t>
      </w:r>
    </w:p>
    <w:p>
      <w:pPr>
        <w:spacing w:after="40"/>
        <w:jc w:val="both"/>
      </w:pPr>
      <w:r>
        <w:rPr>
          <w:b/>
          <w:i w:val="0"/>
        </w:rPr>
        <w:t>Sin asesor no hay fundamento clínico</w:t>
      </w:r>
    </w:p>
    <w:p>
      <w:pPr>
        <w:spacing w:after="160"/>
        <w:jc w:val="both"/>
      </w:pPr>
      <w:r>
        <w:rPr>
          <w:b w:val="0"/>
          <w:i w:val="0"/>
        </w:rPr>
        <w:t>El marco de rehabilitación motriz exige que alguien con credencial clínica valide las rutinas. El asesor terapéutico tenía fecha límite el 10 de septiembre y no se concretó. Sostener un lenguaje clínico sin esa validación es afirmar algo que el proyecto no puede respaldar.</w:t>
      </w:r>
    </w:p>
    <w:p>
      <w:pPr>
        <w:spacing w:after="40"/>
        <w:jc w:val="both"/>
      </w:pPr>
      <w:r>
        <w:rPr>
          <w:b/>
          <w:i w:val="0"/>
        </w:rPr>
        <w:t>La medición motriz pedía instrumentos que el proyecto no tiene</w:t>
      </w:r>
    </w:p>
    <w:p>
      <w:pPr>
        <w:spacing w:after="160"/>
        <w:jc w:val="both"/>
      </w:pPr>
      <w:r>
        <w:rPr>
          <w:b w:val="0"/>
          <w:i w:val="0"/>
        </w:rPr>
        <w:t>La amplitud de movimiento de miembro superior se mide con goniometría o con captura corporal. Un control de mano da la posición del control, no la del hombro ni la del codo: el mismo recorrido de la baqueta puede venir de un movimiento de muñeca o de uno de hombro, y el sistema no puede distinguirlos.</w:t>
      </w:r>
    </w:p>
    <w:p>
      <w:pPr>
        <w:spacing w:after="40"/>
        <w:jc w:val="both"/>
      </w:pPr>
      <w:r>
        <w:rPr>
          <w:b/>
          <w:i w:val="0"/>
        </w:rPr>
        <w:t>El beneficio emocional sí es observable con lo que hay</w:t>
      </w:r>
    </w:p>
    <w:p>
      <w:pPr>
        <w:spacing w:after="160"/>
        <w:jc w:val="both"/>
      </w:pPr>
      <w:r>
        <w:rPr>
          <w:b w:val="0"/>
          <w:i w:val="0"/>
        </w:rPr>
        <w:t>La precisión temporal y la constancia del pulso se miden con el reloj de audio que el prototipo ya usa, y no necesitan respaldo clínico: comprobar si alguien toca a tiempo es una observación de ejecución musical, no un diagnóstico.</w:t>
      </w:r>
    </w:p>
    <w:p>
      <w:pPr>
        <w:pStyle w:val="Heading1"/>
      </w:pPr>
      <w:r>
        <w:t>3. Cuándo se decidió, y por qué se registra ahora</w:t>
      </w:r>
    </w:p>
    <w:p>
      <w:pPr>
        <w:spacing w:after="160"/>
        <w:jc w:val="both"/>
      </w:pPr>
      <w:r>
        <w:rPr>
          <w:b w:val="0"/>
          <w:i w:val="0"/>
        </w:rPr>
        <w:t>La decisión se tomó antes del 18 de septiembre de 2026, en reunión de equipo. No se registró en ese momento: se habló, se actuó en consecuencia y el acuerdo no llegó a ningún documento.</w:t>
      </w:r>
    </w:p>
    <w:p>
      <w:pPr>
        <w:spacing w:after="160"/>
        <w:jc w:val="both"/>
      </w:pPr>
      <w:r>
        <w:rPr>
          <w:b w:val="0"/>
          <w:i w:val="0"/>
        </w:rPr>
        <w:t>Entre la decisión y este registro median alrededor de cuatro semanas. Durante ellas, la carta sponsor y el acta constitutiva siguieron afirmando un marco que el equipo ya había abandonado, y el prototipo se construyó conforme al marco nuevo. Cualquiera que hubiera cruzado los documentos con el avance habría encontrado la contradicción sin explicación.</w:t>
      </w:r>
    </w:p>
    <w:p>
      <w:pPr>
        <w:spacing w:after="160"/>
        <w:jc w:val="both"/>
      </w:pPr>
      <w:r>
        <w:rPr>
          <w:b w:val="0"/>
          <w:i/>
        </w:rPr>
        <w:t>Se deja constancia de la brecha en lugar de fechar hoy la decisión. Una decisión no registrada no es una decisión del proyecto, es un acuerdo de pasillo: no se puede auditar, no obliga a nadie y no sobrevive a que cambie quien la tomó. El hallazgo de gestión de este documento no es el cambio de enfoque, es haber tardado un mes en escribirlo.</w:t>
      </w:r>
    </w:p>
    <w:p>
      <w:pPr>
        <w:pStyle w:val="Heading1"/>
      </w:pPr>
      <w:r>
        <w:t>4. Qué pasajes se sustituyen</w:t>
      </w:r>
    </w:p>
    <w:p>
      <w:pPr>
        <w:spacing w:after="160"/>
        <w:jc w:val="both"/>
      </w:pPr>
      <w:r>
        <w:rPr>
          <w:b w:val="0"/>
          <w:i w:val="0"/>
        </w:rPr>
        <w:t>Los documentos originales NO se editan. Un acta aprobada que se reescribe borra la evidencia de que hubo una decisión, que es justamente lo que el control de cambios conserva. Este documento se anexa a ellos y sustituye los pasajes siguientes.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304"/>
          </w:tcPr>
          <w:p>
            <w:pPr>
              <w:spacing w:after="40"/>
              <w:jc w:val="center"/>
            </w:pPr>
            <w:r/>
            <w:r>
              <w:rPr>
                <w:b/>
                <w:sz w:val="16"/>
              </w:rPr>
              <w:t>Documento</w:t>
            </w:r>
          </w:p>
        </w:tc>
        <w:tc>
          <w:tcPr>
            <w:tcW w:type="dxa" w:w="1134"/>
          </w:tcPr>
          <w:p>
            <w:pPr>
              <w:spacing w:after="40"/>
              <w:jc w:val="center"/>
            </w:pPr>
            <w:r/>
            <w:r>
              <w:rPr>
                <w:b/>
                <w:sz w:val="16"/>
              </w:rPr>
              <w:t>Sección</w:t>
            </w:r>
          </w:p>
        </w:tc>
        <w:tc>
          <w:tcPr>
            <w:tcW w:type="dxa" w:w="3175"/>
          </w:tcPr>
          <w:p>
            <w:pPr>
              <w:spacing w:after="40"/>
              <w:jc w:val="center"/>
            </w:pPr>
            <w:r/>
            <w:r>
              <w:rPr>
                <w:b/>
                <w:sz w:val="16"/>
              </w:rPr>
              <w:t>Dice</w:t>
            </w:r>
          </w:p>
        </w:tc>
        <w:tc>
          <w:tcPr>
            <w:tcW w:type="dxa" w:w="3175"/>
          </w:tcPr>
          <w:p>
            <w:pPr>
              <w:spacing w:after="40"/>
              <w:jc w:val="center"/>
            </w:pPr>
            <w:r/>
            <w:r>
              <w:rPr>
                <w:b/>
                <w:sz w:val="16"/>
              </w:rPr>
              <w:t>Pasa a decir</w:t>
            </w:r>
          </w:p>
        </w:tc>
      </w:tr>
      <w:tr>
        <w:tc>
          <w:tcPr>
            <w:tcW w:type="dxa" w:w="1304"/>
          </w:tcPr>
          <w:p>
            <w:pPr>
              <w:spacing w:after="40"/>
            </w:pPr>
            <w:r/>
            <w:r>
              <w:rPr>
                <w:sz w:val="16"/>
              </w:rPr>
              <w:t>Carta sponsor</w:t>
            </w:r>
          </w:p>
        </w:tc>
        <w:tc>
          <w:tcPr>
            <w:tcW w:type="dxa" w:w="1134"/>
          </w:tcPr>
          <w:p>
            <w:pPr>
              <w:spacing w:after="40"/>
            </w:pPr>
            <w:r/>
            <w:r>
              <w:rPr>
                <w:sz w:val="16"/>
              </w:rPr>
              <w:t>2. Justificación</w:t>
            </w:r>
          </w:p>
        </w:tc>
        <w:tc>
          <w:tcPr>
            <w:tcW w:type="dxa" w:w="3175"/>
          </w:tcPr>
          <w:p>
            <w:pPr>
              <w:spacing w:after="40"/>
            </w:pPr>
            <w:r/>
            <w:r>
              <w:rPr>
                <w:sz w:val="16"/>
              </w:rPr>
              <w:t>una simulación diseñada para rehabilitación motriz tiene usuario, criterio de éxito medible y valor demostrable</w:t>
            </w:r>
          </w:p>
        </w:tc>
        <w:tc>
          <w:tcPr>
            <w:tcW w:type="dxa" w:w="3175"/>
          </w:tcPr>
          <w:p>
            <w:pPr>
              <w:spacing w:after="40"/>
            </w:pPr>
            <w:r/>
            <w:r>
              <w:rPr>
                <w:sz w:val="16"/>
              </w:rPr>
              <w:t>una simulación diseñada para la regulación emocional por medio del ritmo tiene usuario, criterio de éxito medible y valor demostrable</w:t>
            </w:r>
          </w:p>
        </w:tc>
      </w:tr>
      <w:tr>
        <w:tc>
          <w:tcPr>
            <w:tcW w:type="dxa" w:w="1304"/>
          </w:tcPr>
          <w:p>
            <w:pPr>
              <w:spacing w:after="40"/>
            </w:pPr>
            <w:r/>
            <w:r>
              <w:rPr>
                <w:sz w:val="16"/>
              </w:rPr>
              <w:t>Carta sponsor</w:t>
            </w:r>
          </w:p>
        </w:tc>
        <w:tc>
          <w:tcPr>
            <w:tcW w:type="dxa" w:w="1134"/>
          </w:tcPr>
          <w:p>
            <w:pPr>
              <w:spacing w:after="40"/>
            </w:pPr>
            <w:r/>
            <w:r>
              <w:rPr>
                <w:sz w:val="16"/>
              </w:rPr>
              <w:t>2. Justificación</w:t>
            </w:r>
          </w:p>
        </w:tc>
        <w:tc>
          <w:tcPr>
            <w:tcW w:type="dxa" w:w="3175"/>
          </w:tcPr>
          <w:p>
            <w:pPr>
              <w:spacing w:after="40"/>
            </w:pPr>
            <w:r/>
            <w:r>
              <w:rPr>
                <w:sz w:val="16"/>
              </w:rPr>
              <w:t>Existe evidencia clínica consolidada que respalda el uso de la percusión con fines terapéuticos.</w:t>
            </w:r>
          </w:p>
        </w:tc>
        <w:tc>
          <w:tcPr>
            <w:tcW w:type="dxa" w:w="3175"/>
          </w:tcPr>
          <w:p>
            <w:pPr>
              <w:spacing w:after="40"/>
            </w:pPr>
            <w:r/>
            <w:r>
              <w:rPr>
                <w:sz w:val="16"/>
              </w:rPr>
              <w:t>Existe literatura revisada por pares sobre el uso de la percusión grupal e individual para la reducción del estrés percibido. El proyecto la cita como antecedente, no como aval clínico de sus resultados.</w:t>
            </w:r>
          </w:p>
        </w:tc>
      </w:tr>
      <w:tr>
        <w:tc>
          <w:tcPr>
            <w:tcW w:type="dxa" w:w="1304"/>
          </w:tcPr>
          <w:p>
            <w:pPr>
              <w:spacing w:after="40"/>
            </w:pPr>
            <w:r/>
            <w:r>
              <w:rPr>
                <w:sz w:val="16"/>
              </w:rPr>
              <w:t>Carta sponsor</w:t>
            </w:r>
          </w:p>
        </w:tc>
        <w:tc>
          <w:tcPr>
            <w:tcW w:type="dxa" w:w="1134"/>
          </w:tcPr>
          <w:p>
            <w:pPr>
              <w:spacing w:after="40"/>
            </w:pPr>
            <w:r/>
            <w:r>
              <w:rPr>
                <w:sz w:val="16"/>
              </w:rPr>
              <w:t>3. Objetivo</w:t>
            </w:r>
          </w:p>
        </w:tc>
        <w:tc>
          <w:tcPr>
            <w:tcW w:type="dxa" w:w="3175"/>
          </w:tcPr>
          <w:p>
            <w:pPr>
              <w:spacing w:after="40"/>
            </w:pPr>
            <w:r/>
            <w:r>
              <w:rPr>
                <w:sz w:val="16"/>
              </w:rPr>
              <w:t>Herramienta de apoyo a la rehabilitación motriz, con beneficio emocional secundario</w:t>
            </w:r>
          </w:p>
        </w:tc>
        <w:tc>
          <w:tcPr>
            <w:tcW w:type="dxa" w:w="3175"/>
          </w:tcPr>
          <w:p>
            <w:pPr>
              <w:spacing w:after="40"/>
            </w:pPr>
            <w:r/>
            <w:r>
              <w:rPr>
                <w:sz w:val="16"/>
              </w:rPr>
              <w:t>Herramienta de regulación emocional por medio de la ejecución rítmica</w:t>
            </w:r>
          </w:p>
        </w:tc>
      </w:tr>
      <w:tr>
        <w:tc>
          <w:tcPr>
            <w:tcW w:type="dxa" w:w="1304"/>
          </w:tcPr>
          <w:p>
            <w:pPr>
              <w:spacing w:after="40"/>
            </w:pPr>
            <w:r/>
            <w:r>
              <w:rPr>
                <w:sz w:val="16"/>
              </w:rPr>
              <w:t>Carta sponsor</w:t>
            </w:r>
          </w:p>
        </w:tc>
        <w:tc>
          <w:tcPr>
            <w:tcW w:type="dxa" w:w="1134"/>
          </w:tcPr>
          <w:p>
            <w:pPr>
              <w:spacing w:after="40"/>
            </w:pPr>
            <w:r/>
            <w:r>
              <w:rPr>
                <w:sz w:val="16"/>
              </w:rPr>
              <w:t>3. Usuario</w:t>
            </w:r>
          </w:p>
        </w:tc>
        <w:tc>
          <w:tcPr>
            <w:tcW w:type="dxa" w:w="3175"/>
          </w:tcPr>
          <w:p>
            <w:pPr>
              <w:spacing w:after="40"/>
            </w:pPr>
            <w:r/>
            <w:r>
              <w:rPr>
                <w:sz w:val="16"/>
              </w:rPr>
              <w:t>Persona en proceso de rehabilitación motriz de miembro superior, bajo supervisión de un terapeuta</w:t>
            </w:r>
          </w:p>
        </w:tc>
        <w:tc>
          <w:tcPr>
            <w:tcW w:type="dxa" w:w="3175"/>
          </w:tcPr>
          <w:p>
            <w:pPr>
              <w:spacing w:after="40"/>
            </w:pPr>
            <w:r/>
            <w:r>
              <w:rPr>
                <w:sz w:val="16"/>
              </w:rPr>
              <w:t>Persona sin experiencia musical previa que busca una actividad rítmica de bajo estrés; no se requiere supervisión profesional</w:t>
            </w:r>
          </w:p>
        </w:tc>
      </w:tr>
      <w:tr>
        <w:tc>
          <w:tcPr>
            <w:tcW w:type="dxa" w:w="1304"/>
          </w:tcPr>
          <w:p>
            <w:pPr>
              <w:spacing w:after="40"/>
            </w:pPr>
            <w:r/>
            <w:r>
              <w:rPr>
                <w:sz w:val="16"/>
              </w:rPr>
              <w:t>Carta sponsor</w:t>
            </w:r>
          </w:p>
        </w:tc>
        <w:tc>
          <w:tcPr>
            <w:tcW w:type="dxa" w:w="1134"/>
          </w:tcPr>
          <w:p>
            <w:pPr>
              <w:spacing w:after="40"/>
            </w:pPr>
            <w:r/>
            <w:r>
              <w:rPr>
                <w:sz w:val="16"/>
              </w:rPr>
              <w:t>3. Validación</w:t>
            </w:r>
          </w:p>
        </w:tc>
        <w:tc>
          <w:tcPr>
            <w:tcW w:type="dxa" w:w="3175"/>
          </w:tcPr>
          <w:p>
            <w:pPr>
              <w:spacing w:after="40"/>
            </w:pPr>
            <w:r/>
            <w:r>
              <w:rPr>
                <w:sz w:val="16"/>
              </w:rPr>
              <w:t>Pruebas funcionales más validación clínica de un asesor terapéutico externo</w:t>
            </w:r>
          </w:p>
        </w:tc>
        <w:tc>
          <w:tcPr>
            <w:tcW w:type="dxa" w:w="3175"/>
          </w:tcPr>
          <w:p>
            <w:pPr>
              <w:spacing w:after="40"/>
            </w:pPr>
            <w:r/>
            <w:r>
              <w:rPr>
                <w:sz w:val="16"/>
              </w:rPr>
              <w:t>Pruebas funcionales con usuarios y registro objetivo de métricas de ejecución</w:t>
            </w:r>
          </w:p>
        </w:tc>
      </w:tr>
      <w:tr>
        <w:tc>
          <w:tcPr>
            <w:tcW w:type="dxa" w:w="1304"/>
          </w:tcPr>
          <w:p>
            <w:pPr>
              <w:spacing w:after="40"/>
            </w:pPr>
            <w:r/>
            <w:r>
              <w:rPr>
                <w:sz w:val="16"/>
              </w:rPr>
              <w:t>Carta sponsor</w:t>
            </w:r>
          </w:p>
        </w:tc>
        <w:tc>
          <w:tcPr>
            <w:tcW w:type="dxa" w:w="1134"/>
          </w:tcPr>
          <w:p>
            <w:pPr>
              <w:spacing w:after="40"/>
            </w:pPr>
            <w:r/>
            <w:r>
              <w:rPr>
                <w:sz w:val="16"/>
              </w:rPr>
              <w:t>4. Medida 9</w:t>
            </w:r>
          </w:p>
        </w:tc>
        <w:tc>
          <w:tcPr>
            <w:tcW w:type="dxa" w:w="3175"/>
          </w:tcPr>
          <w:p>
            <w:pPr>
              <w:spacing w:after="40"/>
            </w:pPr>
            <w:r/>
            <w:r>
              <w:rPr>
                <w:sz w:val="16"/>
              </w:rPr>
              <w:t>El sistema exporta, por sesión, precisión temporal, amplitud de movimiento y constancia del pulso.</w:t>
            </w:r>
          </w:p>
        </w:tc>
        <w:tc>
          <w:tcPr>
            <w:tcW w:type="dxa" w:w="3175"/>
          </w:tcPr>
          <w:p>
            <w:pPr>
              <w:spacing w:after="40"/>
            </w:pPr>
            <w:r/>
            <w:r>
              <w:rPr>
                <w:sz w:val="16"/>
              </w:rPr>
              <w:t>El sistema exporta, por sesión, precisión temporal y constancia del pulso, con los desfases individuales que permiten reanalizar los datos.</w:t>
            </w:r>
          </w:p>
        </w:tc>
      </w:tr>
      <w:tr>
        <w:tc>
          <w:tcPr>
            <w:tcW w:type="dxa" w:w="1304"/>
          </w:tcPr>
          <w:p>
            <w:pPr>
              <w:spacing w:after="40"/>
            </w:pPr>
            <w:r/>
            <w:r>
              <w:rPr>
                <w:sz w:val="16"/>
              </w:rPr>
              <w:t>Acta constitutiva</w:t>
            </w:r>
          </w:p>
        </w:tc>
        <w:tc>
          <w:tcPr>
            <w:tcW w:type="dxa" w:w="1134"/>
          </w:tcPr>
          <w:p>
            <w:pPr>
              <w:spacing w:after="40"/>
            </w:pPr>
            <w:r/>
            <w:r>
              <w:rPr>
                <w:sz w:val="16"/>
              </w:rPr>
              <w:t>Perfil del asesor</w:t>
            </w:r>
          </w:p>
        </w:tc>
        <w:tc>
          <w:tcPr>
            <w:tcW w:type="dxa" w:w="3175"/>
          </w:tcPr>
          <w:p>
            <w:pPr>
              <w:spacing w:after="40"/>
            </w:pPr>
            <w:r/>
            <w:r>
              <w:rPr>
                <w:sz w:val="16"/>
              </w:rPr>
              <w:t>Fisioterapeuta, terapeuta ocupacional o musicoterapeuta con certificación vigente y experiencia en rehabilitación de miembro superior.</w:t>
            </w:r>
          </w:p>
        </w:tc>
        <w:tc>
          <w:tcPr>
            <w:tcW w:type="dxa" w:w="3175"/>
          </w:tcPr>
          <w:p>
            <w:pPr>
              <w:spacing w:after="40"/>
            </w:pPr>
            <w:r/>
            <w:r>
              <w:rPr>
                <w:sz w:val="16"/>
              </w:rPr>
              <w:t>Rol retirado. La medida de éxito 8 quedó formalmente retirada en el documento 10, Recorte de alcance.</w:t>
            </w:r>
          </w:p>
        </w:tc>
      </w:tr>
    </w:tbl>
    <w:p>
      <w:pPr>
        <w:spacing w:after="40"/>
      </w:pPr>
    </w:p>
    <w:p>
      <w:pPr>
        <w:spacing w:after="200"/>
        <w:jc w:val="center"/>
      </w:pPr>
      <w:r>
        <w:rPr>
          <w:i/>
          <w:sz w:val="18"/>
        </w:rPr>
        <w:t>Tabla 1. Pasajes sustituidos. El texto de la columna «Dice» es literal; hay una prueba automatizada que lo verifica contra el archivo original.</w:t>
      </w:r>
    </w:p>
    <w:p>
      <w:pPr>
        <w:pStyle w:val="Heading1"/>
      </w:pPr>
      <w:r>
        <w:t>5. Qué no cambia</w:t>
      </w:r>
    </w:p>
    <w:p>
      <w:pPr>
        <w:spacing w:after="160"/>
        <w:jc w:val="both"/>
      </w:pPr>
      <w:r>
        <w:rPr>
          <w:b w:val="0"/>
          <w:i w:val="0"/>
        </w:rPr>
        <w:t>Acotar el cambio importa tanto como declararlo: sin esta sección, un lector razonable supondría que se movió más de lo que se movió.</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Elemento</w:t>
            </w:r>
          </w:p>
        </w:tc>
        <w:tc>
          <w:tcPr>
            <w:tcW w:type="dxa" w:w="6520"/>
          </w:tcPr>
          <w:p>
            <w:pPr>
              <w:spacing w:after="40"/>
              <w:jc w:val="center"/>
            </w:pPr>
            <w:r/>
            <w:r>
              <w:rPr>
                <w:b/>
                <w:sz w:val="18"/>
              </w:rPr>
              <w:t>Por qué no cambia</w:t>
            </w:r>
          </w:p>
        </w:tc>
      </w:tr>
      <w:tr>
        <w:tc>
          <w:tcPr>
            <w:tcW w:type="dxa" w:w="2268"/>
          </w:tcPr>
          <w:p>
            <w:pPr>
              <w:spacing w:after="40"/>
            </w:pPr>
            <w:r/>
            <w:r>
              <w:rPr>
                <w:sz w:val="18"/>
              </w:rPr>
              <w:t>Medidas de éxito 1 a 7 y 10</w:t>
            </w:r>
          </w:p>
        </w:tc>
        <w:tc>
          <w:tcPr>
            <w:tcW w:type="dxa" w:w="6520"/>
          </w:tcPr>
          <w:p>
            <w:pPr>
              <w:spacing w:after="40"/>
            </w:pPr>
            <w:r/>
            <w:r>
              <w:rPr>
                <w:sz w:val="18"/>
              </w:rPr>
              <w:t>Están redactadas en términos de comportamiento del sistema, sin supuesto clínico. Identificación de componentes, detección de contacto, correspondencia del sonido, latencia, estabilidad, interacción intuitiva, sensibilidad a la intensidad y seguridad de uso se verifican igual bajo cualquiera de los dos enfoques.</w:t>
            </w:r>
          </w:p>
        </w:tc>
      </w:tr>
      <w:tr>
        <w:tc>
          <w:tcPr>
            <w:tcW w:type="dxa" w:w="2268"/>
          </w:tcPr>
          <w:p>
            <w:pPr>
              <w:spacing w:after="40"/>
            </w:pPr>
            <w:r/>
            <w:r>
              <w:rPr>
                <w:sz w:val="18"/>
              </w:rPr>
              <w:t>Presupuesto</w:t>
            </w:r>
          </w:p>
        </w:tc>
        <w:tc>
          <w:tcPr>
            <w:tcW w:type="dxa" w:w="6520"/>
          </w:tcPr>
          <w:p>
            <w:pPr>
              <w:spacing w:after="40"/>
            </w:pPr>
            <w:r/>
            <w:r>
              <w:rPr>
                <w:sz w:val="18"/>
              </w:rPr>
              <w:t>$104,013 MXN. El asesor externo nunca llegó a contratarse, así que su retiro no libera dinero: el presupuesto vigente ya estaba calculado sin él.</w:t>
            </w:r>
          </w:p>
        </w:tc>
      </w:tr>
      <w:tr>
        <w:tc>
          <w:tcPr>
            <w:tcW w:type="dxa" w:w="2268"/>
          </w:tcPr>
          <w:p>
            <w:pPr>
              <w:spacing w:after="40"/>
            </w:pPr>
            <w:r/>
            <w:r>
              <w:rPr>
                <w:sz w:val="18"/>
              </w:rPr>
              <w:t>Cronograma y ruta crítica</w:t>
            </w:r>
          </w:p>
        </w:tc>
        <w:tc>
          <w:tcPr>
            <w:tcW w:type="dxa" w:w="6520"/>
          </w:tcPr>
          <w:p>
            <w:pPr>
              <w:spacing w:after="40"/>
            </w:pPr>
            <w:r/>
            <w:r>
              <w:rPr>
                <w:sz w:val="18"/>
              </w:rPr>
              <w:t>Ninguna actividad de la ruta crítica dependía del marco motriz. El recorte de alcance del documento 10 ya reflejó las que sí.</w:t>
            </w:r>
          </w:p>
        </w:tc>
      </w:tr>
      <w:tr>
        <w:tc>
          <w:tcPr>
            <w:tcW w:type="dxa" w:w="2268"/>
          </w:tcPr>
          <w:p>
            <w:pPr>
              <w:spacing w:after="40"/>
            </w:pPr>
            <w:r/>
            <w:r>
              <w:rPr>
                <w:sz w:val="18"/>
              </w:rPr>
              <w:t>Riesgo dominante</w:t>
            </w:r>
          </w:p>
        </w:tc>
        <w:tc>
          <w:tcPr>
            <w:tcW w:type="dxa" w:w="6520"/>
          </w:tcPr>
          <w:p>
            <w:pPr>
              <w:spacing w:after="40"/>
            </w:pPr>
            <w:r/>
            <w:r>
              <w:rPr>
                <w:sz w:val="18"/>
              </w:rPr>
              <w:t>La latencia por debajo de 30 ms sigue siendo el criterio que decide si el golpe se siente causal. Un golpe que no se siente propio no regula nada, igual que no rehabilitaba nada.</w:t>
            </w:r>
          </w:p>
        </w:tc>
      </w:tr>
      <w:tr>
        <w:tc>
          <w:tcPr>
            <w:tcW w:type="dxa" w:w="2268"/>
          </w:tcPr>
          <w:p>
            <w:pPr>
              <w:spacing w:after="40"/>
            </w:pPr>
            <w:r/>
            <w:r>
              <w:rPr>
                <w:sz w:val="18"/>
              </w:rPr>
              <w:t>Arquitectura del prototipo</w:t>
            </w:r>
          </w:p>
        </w:tc>
        <w:tc>
          <w:tcPr>
            <w:tcW w:type="dxa" w:w="6520"/>
          </w:tcPr>
          <w:p>
            <w:pPr>
              <w:spacing w:after="40"/>
            </w:pPr>
            <w:r/>
            <w:r>
              <w:rPr>
                <w:sz w:val="18"/>
              </w:rPr>
              <w:t>El reloj musical, el juicio de golpes y el registro de métricas no suponen ningún marco terapéutico: miden ejecución rítmica. La interfaz ITempoMap deja además abierta la rampa de tempo del iso-principio, que pertenece a los dos enfoques.</w:t>
            </w:r>
          </w:p>
        </w:tc>
      </w:tr>
    </w:tbl>
    <w:p>
      <w:pPr>
        <w:spacing w:after="40"/>
      </w:pPr>
    </w:p>
    <w:p>
      <w:pPr>
        <w:pStyle w:val="Heading1"/>
      </w:pPr>
      <w:r>
        <w:t>6. Qué pierde el proyecto</w:t>
      </w:r>
    </w:p>
    <w:p>
      <w:pPr>
        <w:spacing w:after="160"/>
        <w:jc w:val="both"/>
      </w:pPr>
      <w:r>
        <w:rPr>
          <w:b w:val="0"/>
          <w:i w:val="0"/>
        </w:rPr>
        <w:t>Un cambio que solo enumera ventajas no es un análisis, es una justificación. Estas son las renuncias.</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Se pierde</w:t>
            </w:r>
          </w:p>
        </w:tc>
        <w:tc>
          <w:tcPr>
            <w:tcW w:type="dxa" w:w="6520"/>
          </w:tcPr>
          <w:p>
            <w:pPr>
              <w:spacing w:after="40"/>
              <w:jc w:val="center"/>
            </w:pPr>
            <w:r/>
            <w:r>
              <w:rPr>
                <w:b/>
                <w:sz w:val="18"/>
              </w:rPr>
              <w:t>Alcance de la pérdida</w:t>
            </w:r>
          </w:p>
        </w:tc>
      </w:tr>
      <w:tr>
        <w:tc>
          <w:tcPr>
            <w:tcW w:type="dxa" w:w="2268"/>
          </w:tcPr>
          <w:p>
            <w:pPr>
              <w:spacing w:after="40"/>
            </w:pPr>
            <w:r/>
            <w:r>
              <w:rPr>
                <w:sz w:val="18"/>
              </w:rPr>
              <w:t>Se pierde el destinatario clínico</w:t>
            </w:r>
          </w:p>
        </w:tc>
        <w:tc>
          <w:tcPr>
            <w:tcW w:type="dxa" w:w="6520"/>
          </w:tcPr>
          <w:p>
            <w:pPr>
              <w:spacing w:after="40"/>
            </w:pPr>
            <w:r/>
            <w:r>
              <w:rPr>
                <w:sz w:val="18"/>
              </w:rPr>
              <w:t>La revisión 1 ganó valor al pasar de «simulación sin destinatario» a «herramienta con usuario definido». El usuario sigue existiendo, pero ya no es un paciente en rehabilitación: es alguien que busca una actividad rítmica. El valor social declarado baja.</w:t>
            </w:r>
          </w:p>
        </w:tc>
      </w:tr>
      <w:tr>
        <w:tc>
          <w:tcPr>
            <w:tcW w:type="dxa" w:w="2268"/>
          </w:tcPr>
          <w:p>
            <w:pPr>
              <w:spacing w:after="40"/>
            </w:pPr>
            <w:r/>
            <w:r>
              <w:rPr>
                <w:sz w:val="18"/>
              </w:rPr>
              <w:t>Se pierde la validación externa</w:t>
            </w:r>
          </w:p>
        </w:tc>
        <w:tc>
          <w:tcPr>
            <w:tcW w:type="dxa" w:w="6520"/>
          </w:tcPr>
          <w:p>
            <w:pPr>
              <w:spacing w:after="40"/>
            </w:pPr>
            <w:r/>
            <w:r>
              <w:rPr>
                <w:sz w:val="18"/>
              </w:rPr>
              <w:t>Ningún profesional avala el resultado. Queda como limitación explícita del informe final, no como omisión.</w:t>
            </w:r>
          </w:p>
        </w:tc>
      </w:tr>
      <w:tr>
        <w:tc>
          <w:tcPr>
            <w:tcW w:type="dxa" w:w="2268"/>
          </w:tcPr>
          <w:p>
            <w:pPr>
              <w:spacing w:after="40"/>
            </w:pPr>
            <w:r/>
            <w:r>
              <w:rPr>
                <w:sz w:val="18"/>
              </w:rPr>
              <w:t>Se pierde una métrica</w:t>
            </w:r>
          </w:p>
        </w:tc>
        <w:tc>
          <w:tcPr>
            <w:tcW w:type="dxa" w:w="6520"/>
          </w:tcPr>
          <w:p>
            <w:pPr>
              <w:spacing w:after="40"/>
            </w:pPr>
            <w:r/>
            <w:r>
              <w:rPr>
                <w:sz w:val="18"/>
              </w:rPr>
              <w:t>La amplitud de movimiento desaparece del registro. Las dos que quedan son suficientes para la medida 9, pero el conjunto de datos es menor.</w:t>
            </w:r>
          </w:p>
        </w:tc>
      </w:tr>
    </w:tbl>
    <w:p>
      <w:pPr>
        <w:spacing w:after="40"/>
      </w:pPr>
    </w:p>
    <w:p>
      <w:pPr>
        <w:pStyle w:val="Heading1"/>
      </w:pPr>
      <w:r>
        <w:t>7. Efecto sobre las medidas de éxito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567"/>
          </w:tcPr>
          <w:p>
            <w:pPr>
              <w:spacing w:after="40"/>
              <w:jc w:val="center"/>
            </w:pPr>
            <w:r/>
            <w:r>
              <w:rPr>
                <w:b/>
                <w:sz w:val="18"/>
              </w:rPr>
              <w:t>#</w:t>
            </w:r>
          </w:p>
        </w:tc>
        <w:tc>
          <w:tcPr>
            <w:tcW w:type="dxa" w:w="2551"/>
          </w:tcPr>
          <w:p>
            <w:pPr>
              <w:spacing w:after="40"/>
              <w:jc w:val="center"/>
            </w:pPr>
            <w:r/>
            <w:r>
              <w:rPr>
                <w:b/>
                <w:sz w:val="18"/>
              </w:rPr>
              <w:t>Medida</w:t>
            </w:r>
          </w:p>
        </w:tc>
        <w:tc>
          <w:tcPr>
            <w:tcW w:type="dxa" w:w="5669"/>
          </w:tcPr>
          <w:p>
            <w:pPr>
              <w:spacing w:after="40"/>
              <w:jc w:val="center"/>
            </w:pPr>
            <w:r/>
            <w:r>
              <w:rPr>
                <w:b/>
                <w:sz w:val="18"/>
              </w:rPr>
              <w:t>Efecto</w:t>
            </w:r>
          </w:p>
        </w:tc>
      </w:tr>
      <w:tr>
        <w:tc>
          <w:tcPr>
            <w:tcW w:type="dxa" w:w="567"/>
          </w:tcPr>
          <w:p>
            <w:pPr>
              <w:spacing w:after="40"/>
            </w:pPr>
            <w:r/>
            <w:r>
              <w:rPr>
                <w:sz w:val="18"/>
              </w:rPr>
              <w:t>1-7</w:t>
            </w:r>
          </w:p>
        </w:tc>
        <w:tc>
          <w:tcPr>
            <w:tcW w:type="dxa" w:w="2551"/>
          </w:tcPr>
          <w:p>
            <w:pPr>
              <w:spacing w:after="40"/>
            </w:pPr>
            <w:r/>
            <w:r>
              <w:rPr>
                <w:sz w:val="18"/>
              </w:rPr>
              <w:t>Identificación, detección, sonido, latencia, estabilidad, interacción, intensidad</w:t>
            </w:r>
          </w:p>
        </w:tc>
        <w:tc>
          <w:tcPr>
            <w:tcW w:type="dxa" w:w="5669"/>
          </w:tcPr>
          <w:p>
            <w:pPr>
              <w:spacing w:after="40"/>
            </w:pPr>
            <w:r/>
            <w:r>
              <w:rPr>
                <w:sz w:val="18"/>
              </w:rPr>
              <w:t>Sin cambio. Se verifican igual bajo cualquier enfoque.</w:t>
            </w:r>
          </w:p>
        </w:tc>
      </w:tr>
      <w:tr>
        <w:tc>
          <w:tcPr>
            <w:tcW w:type="dxa" w:w="567"/>
          </w:tcPr>
          <w:p>
            <w:pPr>
              <w:spacing w:after="40"/>
            </w:pPr>
            <w:r/>
            <w:r>
              <w:rPr>
                <w:sz w:val="18"/>
              </w:rPr>
              <w:t>8</w:t>
            </w:r>
          </w:p>
        </w:tc>
        <w:tc>
          <w:tcPr>
            <w:tcW w:type="dxa" w:w="2551"/>
          </w:tcPr>
          <w:p>
            <w:pPr>
              <w:spacing w:after="40"/>
            </w:pPr>
            <w:r/>
            <w:r>
              <w:rPr>
                <w:sz w:val="18"/>
              </w:rPr>
              <w:t>Pertinencia terapéutica</w:t>
            </w:r>
          </w:p>
        </w:tc>
        <w:tc>
          <w:tcPr>
            <w:tcW w:type="dxa" w:w="5669"/>
          </w:tcPr>
          <w:p>
            <w:pPr>
              <w:spacing w:after="40"/>
            </w:pPr>
            <w:r/>
            <w:r>
              <w:rPr>
                <w:sz w:val="18"/>
              </w:rPr>
              <w:t>Retirada. Ya consta en el documento 10, Recorte de alcance.</w:t>
            </w:r>
          </w:p>
        </w:tc>
      </w:tr>
      <w:tr>
        <w:tc>
          <w:tcPr>
            <w:tcW w:type="dxa" w:w="567"/>
          </w:tcPr>
          <w:p>
            <w:pPr>
              <w:spacing w:after="40"/>
            </w:pPr>
            <w:r/>
            <w:r>
              <w:rPr>
                <w:sz w:val="18"/>
              </w:rPr>
              <w:t>9</w:t>
            </w:r>
          </w:p>
        </w:tc>
        <w:tc>
          <w:tcPr>
            <w:tcW w:type="dxa" w:w="2551"/>
          </w:tcPr>
          <w:p>
            <w:pPr>
              <w:spacing w:after="40"/>
            </w:pPr>
            <w:r/>
            <w:r>
              <w:rPr>
                <w:sz w:val="18"/>
              </w:rPr>
              <w:t>Registro de métricas</w:t>
            </w:r>
          </w:p>
        </w:tc>
        <w:tc>
          <w:tcPr>
            <w:tcW w:type="dxa" w:w="5669"/>
          </w:tcPr>
          <w:p>
            <w:pPr>
              <w:spacing w:after="40"/>
            </w:pPr>
            <w:r/>
            <w:r>
              <w:rPr>
                <w:sz w:val="18"/>
              </w:rPr>
              <w:t>Se reduce: salen precisión temporal y constancia del pulso; sale la amplitud de movimiento. Cerrada el 18 de octubre.</w:t>
            </w:r>
          </w:p>
        </w:tc>
      </w:tr>
      <w:tr>
        <w:tc>
          <w:tcPr>
            <w:tcW w:type="dxa" w:w="567"/>
          </w:tcPr>
          <w:p>
            <w:pPr>
              <w:spacing w:after="40"/>
            </w:pPr>
            <w:r/>
            <w:r>
              <w:rPr>
                <w:sz w:val="18"/>
              </w:rPr>
              <w:t>10</w:t>
            </w:r>
          </w:p>
        </w:tc>
        <w:tc>
          <w:tcPr>
            <w:tcW w:type="dxa" w:w="2551"/>
          </w:tcPr>
          <w:p>
            <w:pPr>
              <w:spacing w:after="40"/>
            </w:pPr>
            <w:r/>
            <w:r>
              <w:rPr>
                <w:sz w:val="18"/>
              </w:rPr>
              <w:t>Seguridad de uso</w:t>
            </w:r>
          </w:p>
        </w:tc>
        <w:tc>
          <w:tcPr>
            <w:tcW w:type="dxa" w:w="5669"/>
          </w:tcPr>
          <w:p>
            <w:pPr>
              <w:spacing w:after="40"/>
            </w:pPr>
            <w:r/>
            <w:r>
              <w:rPr>
                <w:sz w:val="18"/>
              </w:rPr>
              <w:t>Sin cambio.</w:t>
            </w:r>
          </w:p>
        </w:tc>
      </w:tr>
    </w:tbl>
    <w:p>
      <w:pPr>
        <w:spacing w:after="40"/>
      </w:pPr>
    </w:p>
    <w:p>
      <w:pPr>
        <w:spacing w:after="160"/>
        <w:jc w:val="both"/>
      </w:pPr>
      <w:r>
        <w:rPr>
          <w:b w:val="0"/>
          <w:i w:val="0"/>
        </w:rPr>
      </w:r>
    </w:p>
    <w:p>
      <w:pPr>
        <w:spacing w:after="160"/>
        <w:jc w:val="both"/>
      </w:pPr>
      <w:r>
        <w:rPr>
          <w:b w:val="0"/>
          <w:i w:val="0"/>
        </w:rPr>
        <w:t>De las diez medidas originales quedan nueve verificables. Ocho dependen solo del sistema; la décima depende de lo que reporten los usuarios de prueba.</w:t>
      </w:r>
    </w:p>
    <w:p>
      <w:pPr>
        <w:pStyle w:val="Heading1"/>
      </w:pPr>
      <w:r>
        <w:t>8. Acciones derivadas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35"/>
          </w:tcPr>
          <w:p>
            <w:pPr>
              <w:spacing w:after="40"/>
              <w:jc w:val="center"/>
            </w:pPr>
            <w:r/>
            <w:r>
              <w:rPr>
                <w:b/>
                <w:sz w:val="18"/>
              </w:rPr>
              <w:t>Acción</w:t>
            </w:r>
          </w:p>
        </w:tc>
        <w:tc>
          <w:tcPr>
            <w:tcW w:type="dxa" w:w="2268"/>
          </w:tcPr>
          <w:p>
            <w:pPr>
              <w:spacing w:after="40"/>
              <w:jc w:val="center"/>
            </w:pPr>
            <w:r/>
            <w:r>
              <w:rPr>
                <w:b/>
                <w:sz w:val="18"/>
              </w:rPr>
              <w:t>Responsable</w:t>
            </w:r>
          </w:p>
        </w:tc>
        <w:tc>
          <w:tcPr>
            <w:tcW w:type="dxa" w:w="1984"/>
          </w:tcPr>
          <w:p>
            <w:pPr>
              <w:spacing w:after="40"/>
              <w:jc w:val="center"/>
            </w:pPr>
            <w:r/>
            <w:r>
              <w:rPr>
                <w:b/>
                <w:sz w:val="18"/>
              </w:rPr>
              <w:t>Plazo</w:t>
            </w:r>
          </w:p>
        </w:tc>
      </w:tr>
      <w:tr>
        <w:tc>
          <w:tcPr>
            <w:tcW w:type="dxa" w:w="4535"/>
          </w:tcPr>
          <w:p>
            <w:pPr>
              <w:spacing w:after="40"/>
            </w:pPr>
            <w:r/>
            <w:r>
              <w:rPr>
                <w:sz w:val="18"/>
              </w:rPr>
              <w:t>Anexar este documento a la carta sponsor y al acta constitutiva</w:t>
            </w:r>
          </w:p>
        </w:tc>
        <w:tc>
          <w:tcPr>
            <w:tcW w:type="dxa" w:w="2268"/>
          </w:tcPr>
          <w:p>
            <w:pPr>
              <w:spacing w:after="40"/>
            </w:pPr>
            <w:r/>
            <w:r>
              <w:rPr>
                <w:sz w:val="18"/>
              </w:rPr>
              <w:t>Gerente de proyecto</w:t>
            </w:r>
          </w:p>
        </w:tc>
        <w:tc>
          <w:tcPr>
            <w:tcW w:type="dxa" w:w="1984"/>
          </w:tcPr>
          <w:p>
            <w:pPr>
              <w:spacing w:after="40"/>
            </w:pPr>
            <w:r/>
            <w:r>
              <w:rPr>
                <w:sz w:val="18"/>
              </w:rPr>
              <w:t>Al firmarse</w:t>
            </w:r>
          </w:p>
        </w:tc>
      </w:tr>
      <w:tr>
        <w:tc>
          <w:tcPr>
            <w:tcW w:type="dxa" w:w="4535"/>
          </w:tcPr>
          <w:p>
            <w:pPr>
              <w:spacing w:after="40"/>
            </w:pPr>
            <w:r/>
            <w:r>
              <w:rPr>
                <w:sz w:val="18"/>
              </w:rPr>
              <w:t>Recoger la firma de la patrocinadora</w:t>
            </w:r>
          </w:p>
        </w:tc>
        <w:tc>
          <w:tcPr>
            <w:tcW w:type="dxa" w:w="2268"/>
          </w:tcPr>
          <w:p>
            <w:pPr>
              <w:spacing w:after="40"/>
            </w:pPr>
            <w:r/>
            <w:r>
              <w:rPr>
                <w:sz w:val="18"/>
              </w:rPr>
              <w:t>Director de proyecto</w:t>
            </w:r>
          </w:p>
        </w:tc>
        <w:tc>
          <w:tcPr>
            <w:tcW w:type="dxa" w:w="1984"/>
          </w:tcPr>
          <w:p>
            <w:pPr>
              <w:spacing w:after="40"/>
            </w:pPr>
            <w:r/>
            <w:r>
              <w:rPr>
                <w:sz w:val="18"/>
              </w:rPr>
              <w:t>Próxima sesión de clase</w:t>
            </w:r>
          </w:p>
        </w:tc>
      </w:tr>
      <w:tr>
        <w:tc>
          <w:tcPr>
            <w:tcW w:type="dxa" w:w="4535"/>
          </w:tcPr>
          <w:p>
            <w:pPr>
              <w:spacing w:after="40"/>
            </w:pPr>
            <w:r/>
            <w:r>
              <w:rPr>
                <w:sz w:val="18"/>
              </w:rPr>
              <w:t>Redactar la limitación en el informe final (QI.3)</w:t>
            </w:r>
          </w:p>
        </w:tc>
        <w:tc>
          <w:tcPr>
            <w:tcW w:type="dxa" w:w="2268"/>
          </w:tcPr>
          <w:p>
            <w:pPr>
              <w:spacing w:after="40"/>
            </w:pPr>
            <w:r/>
            <w:r>
              <w:rPr>
                <w:sz w:val="18"/>
              </w:rPr>
              <w:t>QA y gestión</w:t>
            </w:r>
          </w:p>
        </w:tc>
        <w:tc>
          <w:tcPr>
            <w:tcW w:type="dxa" w:w="1984"/>
          </w:tcPr>
          <w:p>
            <w:pPr>
              <w:spacing w:after="40"/>
            </w:pPr>
            <w:r/>
            <w:r>
              <w:rPr>
                <w:sz w:val="18"/>
              </w:rPr>
              <w:t>Antes del cierre del informe</w:t>
            </w:r>
          </w:p>
        </w:tc>
      </w:tr>
      <w:tr>
        <w:tc>
          <w:tcPr>
            <w:tcW w:type="dxa" w:w="4535"/>
          </w:tcPr>
          <w:p>
            <w:pPr>
              <w:spacing w:after="40"/>
            </w:pPr>
            <w:r/>
            <w:r>
              <w:rPr>
                <w:sz w:val="18"/>
              </w:rPr>
              <w:t>Verificar que el prototipo no exporte amplitud de movimiento</w:t>
            </w:r>
          </w:p>
        </w:tc>
        <w:tc>
          <w:tcPr>
            <w:tcW w:type="dxa" w:w="2268"/>
          </w:tcPr>
          <w:p>
            <w:pPr>
              <w:spacing w:after="40"/>
            </w:pPr>
            <w:r/>
            <w:r>
              <w:rPr>
                <w:sz w:val="18"/>
              </w:rPr>
              <w:t>Desarrollo VR</w:t>
            </w:r>
          </w:p>
        </w:tc>
        <w:tc>
          <w:tcPr>
            <w:tcW w:type="dxa" w:w="1984"/>
          </w:tcPr>
          <w:p>
            <w:pPr>
              <w:spacing w:after="40"/>
            </w:pPr>
            <w:r/>
            <w:r>
              <w:rPr>
                <w:sz w:val="18"/>
              </w:rPr>
              <w:t>Hecho: SessionStats no la calcula</w:t>
            </w:r>
          </w:p>
        </w:tc>
      </w:tr>
    </w:tbl>
    <w:p>
      <w:pPr>
        <w:spacing w:after="40"/>
      </w:pPr>
    </w:p>
    <w:p>
      <w:pPr>
        <w:pStyle w:val="Heading1"/>
      </w:pPr>
      <w:r>
        <w:t>9. Aprobación</w:t>
      </w:r>
    </w:p>
    <w:p>
      <w:pPr>
        <w:spacing w:after="160"/>
        <w:jc w:val="both"/>
      </w:pPr>
      <w:r>
        <w:rPr>
          <w:b w:val="0"/>
          <w:i w:val="0"/>
        </w:rPr>
        <w:t>Con la firma de este documento, el equipo deja constancia del cambio de enfoque y de la fecha en que se decidió, y la patrocinadora lo autoriza como anexo a la carta sponsor y al acta constitutiva.</w:t>
      </w:r>
    </w:p>
    <w:p>
      <w:pPr>
        <w:spacing w:after="160"/>
        <w:jc w:val="both"/>
      </w:pPr>
      <w:r>
        <w:rPr>
          <w:b w:val="0"/>
          <w:i w:val="0"/>
        </w:rPr>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494"/>
          </w:tcPr>
          <w:p>
            <w:pPr>
              <w:spacing w:after="40"/>
              <w:jc w:val="center"/>
            </w:pPr>
            <w:r/>
            <w:r>
              <w:rPr>
                <w:b/>
                <w:sz w:val="18"/>
              </w:rPr>
              <w:t>Rol</w:t>
            </w:r>
          </w:p>
        </w:tc>
        <w:tc>
          <w:tcPr>
            <w:tcW w:type="dxa" w:w="3742"/>
          </w:tcPr>
          <w:p>
            <w:pPr>
              <w:spacing w:after="40"/>
              <w:jc w:val="center"/>
            </w:pPr>
            <w:r/>
            <w:r>
              <w:rPr>
                <w:b/>
                <w:sz w:val="18"/>
              </w:rPr>
              <w:t>Nombre</w:t>
            </w:r>
          </w:p>
        </w:tc>
        <w:tc>
          <w:tcPr>
            <w:tcW w:type="dxa" w:w="2835"/>
          </w:tcPr>
          <w:p>
            <w:pPr>
              <w:spacing w:after="40"/>
              <w:jc w:val="center"/>
            </w:pPr>
            <w:r/>
            <w:r>
              <w:rPr>
                <w:b/>
                <w:sz w:val="18"/>
              </w:rPr>
              <w:t>Firma</w:t>
            </w:r>
          </w:p>
        </w:tc>
      </w:tr>
      <w:tr>
        <w:tc>
          <w:tcPr>
            <w:tcW w:type="dxa" w:w="2494"/>
          </w:tcPr>
          <w:p>
            <w:pPr>
              <w:spacing w:after="40"/>
            </w:pPr>
            <w:r/>
            <w:r>
              <w:rPr>
                <w:sz w:val="18"/>
              </w:rPr>
              <w:t>Patrocinadora</w:t>
            </w:r>
          </w:p>
        </w:tc>
        <w:tc>
          <w:tcPr>
            <w:tcW w:type="dxa" w:w="3742"/>
          </w:tcPr>
          <w:p>
            <w:pPr>
              <w:spacing w:after="40"/>
            </w:pPr>
            <w:r/>
            <w:r>
              <w:rPr>
                <w:sz w:val="18"/>
              </w:rPr>
              <w:t>Dra. Leticia Amalia Neira Tovar</w:t>
            </w:r>
          </w:p>
        </w:tc>
        <w:tc>
          <w:tcPr>
            <w:tcW w:type="dxa" w:w="2835"/>
          </w:tcPr>
          <w:p>
            <w:pPr>
              <w:spacing w:after="40"/>
            </w:pPr>
            <w:r/>
            <w:r>
              <w:rPr>
                <w:sz w:val="18"/>
              </w:rPr>
              <w:t>__________________________</w:t>
            </w:r>
          </w:p>
        </w:tc>
      </w:tr>
      <w:tr>
        <w:tc>
          <w:tcPr>
            <w:tcW w:type="dxa" w:w="2494"/>
          </w:tcPr>
          <w:p>
            <w:pPr>
              <w:spacing w:after="40"/>
            </w:pPr>
            <w:r/>
            <w:r>
              <w:rPr>
                <w:sz w:val="18"/>
              </w:rPr>
              <w:t>Dirección de proyecto</w:t>
            </w:r>
          </w:p>
        </w:tc>
        <w:tc>
          <w:tcPr>
            <w:tcW w:type="dxa" w:w="3742"/>
          </w:tcPr>
          <w:p>
            <w:pPr>
              <w:spacing w:after="40"/>
            </w:pPr>
            <w:r/>
            <w:r>
              <w:rPr>
                <w:sz w:val="18"/>
              </w:rPr>
              <w:t>Sarai Galindo García</w:t>
            </w:r>
          </w:p>
        </w:tc>
        <w:tc>
          <w:tcPr>
            <w:tcW w:type="dxa" w:w="2835"/>
          </w:tcPr>
          <w:p>
            <w:pPr>
              <w:spacing w:after="40"/>
            </w:pPr>
            <w:r/>
            <w:r>
              <w:rPr>
                <w:sz w:val="18"/>
              </w:rPr>
              <w:t>__________________________</w:t>
            </w:r>
          </w:p>
        </w:tc>
      </w:tr>
      <w:tr>
        <w:tc>
          <w:tcPr>
            <w:tcW w:type="dxa" w:w="2494"/>
          </w:tcPr>
          <w:p>
            <w:pPr>
              <w:spacing w:after="40"/>
            </w:pPr>
            <w:r/>
            <w:r>
              <w:rPr>
                <w:sz w:val="18"/>
              </w:rPr>
              <w:t>Gerencia de proyecto</w:t>
            </w:r>
          </w:p>
        </w:tc>
        <w:tc>
          <w:tcPr>
            <w:tcW w:type="dxa" w:w="3742"/>
          </w:tcPr>
          <w:p>
            <w:pPr>
              <w:spacing w:after="40"/>
            </w:pPr>
            <w:r/>
            <w:r>
              <w:rPr>
                <w:sz w:val="18"/>
              </w:rPr>
              <w:t>Abiud Misael Benítez Franco</w:t>
            </w:r>
          </w:p>
        </w:tc>
        <w:tc>
          <w:tcPr>
            <w:tcW w:type="dxa" w:w="2835"/>
          </w:tcPr>
          <w:p>
            <w:pPr>
              <w:spacing w:after="40"/>
            </w:pPr>
            <w:r/>
            <w:r>
              <w:rPr>
                <w:sz w:val="18"/>
              </w:rPr>
              <w:t>__________________________</w:t>
            </w:r>
          </w:p>
        </w:tc>
      </w:tr>
      <w:tr>
        <w:tc>
          <w:tcPr>
            <w:tcW w:type="dxa" w:w="2494"/>
          </w:tcPr>
          <w:p>
            <w:pPr>
              <w:spacing w:after="40"/>
            </w:pPr>
            <w:r/>
            <w:r>
              <w:rPr>
                <w:sz w:val="18"/>
              </w:rPr>
              <w:t>QA y documentación</w:t>
            </w:r>
          </w:p>
        </w:tc>
        <w:tc>
          <w:tcPr>
            <w:tcW w:type="dxa" w:w="3742"/>
          </w:tcPr>
          <w:p>
            <w:pPr>
              <w:spacing w:after="40"/>
            </w:pPr>
            <w:r/>
            <w:r>
              <w:rPr>
                <w:sz w:val="18"/>
              </w:rPr>
              <w:t>Diana Laura Tello Salinas</w:t>
            </w:r>
          </w:p>
        </w:tc>
        <w:tc>
          <w:tcPr>
            <w:tcW w:type="dxa" w:w="2835"/>
          </w:tcPr>
          <w:p>
            <w:pPr>
              <w:spacing w:after="40"/>
            </w:pPr>
            <w:r/>
            <w:r>
              <w:rPr>
                <w:sz w:val="18"/>
              </w:rPr>
              <w:t>__________________________</w:t>
            </w:r>
          </w:p>
        </w:tc>
      </w:tr>
      <w:tr>
        <w:tc>
          <w:tcPr>
            <w:tcW w:type="dxa" w:w="2494"/>
          </w:tcPr>
          <w:p>
            <w:pPr>
              <w:spacing w:after="40"/>
            </w:pPr>
            <w:r/>
            <w:r>
              <w:rPr>
                <w:sz w:val="18"/>
              </w:rPr>
              <w:t>Entorno 3D</w:t>
            </w:r>
          </w:p>
        </w:tc>
        <w:tc>
          <w:tcPr>
            <w:tcW w:type="dxa" w:w="3742"/>
          </w:tcPr>
          <w:p>
            <w:pPr>
              <w:spacing w:after="40"/>
            </w:pPr>
            <w:r/>
            <w:r>
              <w:rPr>
                <w:sz w:val="18"/>
              </w:rPr>
              <w:t>Kimberly González Sepúlveda</w:t>
            </w:r>
          </w:p>
        </w:tc>
        <w:tc>
          <w:tcPr>
            <w:tcW w:type="dxa" w:w="2835"/>
          </w:tcPr>
          <w:p>
            <w:pPr>
              <w:spacing w:after="40"/>
            </w:pPr>
            <w:r/>
            <w:r>
              <w:rPr>
                <w:sz w:val="18"/>
              </w:rPr>
              <w:t>__________________________</w:t>
            </w:r>
          </w:p>
        </w:tc>
      </w:tr>
      <w:tr>
        <w:tc>
          <w:tcPr>
            <w:tcW w:type="dxa" w:w="2494"/>
          </w:tcPr>
          <w:p>
            <w:pPr>
              <w:spacing w:after="40"/>
            </w:pPr>
            <w:r/>
            <w:r>
              <w:rPr>
                <w:sz w:val="18"/>
              </w:rPr>
              <w:t>Sonido</w:t>
            </w:r>
          </w:p>
        </w:tc>
        <w:tc>
          <w:tcPr>
            <w:tcW w:type="dxa" w:w="3742"/>
          </w:tcPr>
          <w:p>
            <w:pPr>
              <w:spacing w:after="40"/>
            </w:pPr>
            <w:r/>
            <w:r>
              <w:rPr>
                <w:sz w:val="18"/>
              </w:rPr>
              <w:t>Christian Salvador Valadez Gallegos</w:t>
            </w:r>
          </w:p>
        </w:tc>
        <w:tc>
          <w:tcPr>
            <w:tcW w:type="dxa" w:w="2835"/>
          </w:tcPr>
          <w:p>
            <w:pPr>
              <w:spacing w:after="40"/>
            </w:pPr>
            <w:r/>
            <w:r>
              <w:rPr>
                <w:sz w:val="18"/>
              </w:rPr>
              <w:t>__________________________</w:t>
            </w:r>
          </w:p>
        </w:tc>
      </w:tr>
      <w:tr>
        <w:tc>
          <w:tcPr>
            <w:tcW w:type="dxa" w:w="2494"/>
          </w:tcPr>
          <w:p>
            <w:pPr>
              <w:spacing w:after="40"/>
            </w:pPr>
            <w:r/>
            <w:r>
              <w:rPr>
                <w:sz w:val="18"/>
              </w:rPr>
              <w:t>Música</w:t>
            </w:r>
          </w:p>
        </w:tc>
        <w:tc>
          <w:tcPr>
            <w:tcW w:type="dxa" w:w="3742"/>
          </w:tcPr>
          <w:p>
            <w:pPr>
              <w:spacing w:after="40"/>
            </w:pPr>
            <w:r/>
            <w:r>
              <w:rPr>
                <w:sz w:val="18"/>
              </w:rPr>
              <w:t>Javier Alejandro Hernández Caloca</w:t>
            </w:r>
          </w:p>
        </w:tc>
        <w:tc>
          <w:tcPr>
            <w:tcW w:type="dxa" w:w="2835"/>
          </w:tcPr>
          <w:p>
            <w:pPr>
              <w:spacing w:after="40"/>
            </w:pPr>
            <w:r/>
            <w:r>
              <w:rPr>
                <w:sz w:val="18"/>
              </w:rPr>
              <w:t>__________________________</w:t>
            </w:r>
          </w:p>
        </w:tc>
      </w:tr>
      <w:tr>
        <w:tc>
          <w:tcPr>
            <w:tcW w:type="dxa" w:w="2494"/>
          </w:tcPr>
          <w:p>
            <w:pPr>
              <w:spacing w:after="40"/>
            </w:pPr>
            <w:r/>
            <w:r>
              <w:rPr>
                <w:sz w:val="18"/>
              </w:rPr>
              <w:t>Experiencia emocional</w:t>
            </w:r>
          </w:p>
        </w:tc>
        <w:tc>
          <w:tcPr>
            <w:tcW w:type="dxa" w:w="3742"/>
          </w:tcPr>
          <w:p>
            <w:pPr>
              <w:spacing w:after="40"/>
            </w:pPr>
            <w:r/>
            <w:r>
              <w:rPr>
                <w:sz w:val="18"/>
              </w:rPr>
              <w:t>María Fernanda Montoya Valdez</w:t>
            </w:r>
          </w:p>
        </w:tc>
        <w:tc>
          <w:tcPr>
            <w:tcW w:type="dxa" w:w="2835"/>
          </w:tcPr>
          <w:p>
            <w:pPr>
              <w:spacing w:after="40"/>
            </w:pPr>
            <w:r/>
            <w:r>
              <w:rPr>
                <w:sz w:val="18"/>
              </w:rPr>
              <w:t>__________________________</w:t>
            </w:r>
          </w:p>
        </w:tc>
      </w:tr>
    </w:tbl>
    <w:p>
      <w:pPr>
        <w:spacing w:after="4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