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Estado del proyecto</w:t>
      </w:r>
    </w:p>
    <w:p>
      <w:pPr>
        <w:spacing w:after="80"/>
        <w:jc w:val="center"/>
      </w:pPr>
      <w:r>
        <w:rPr>
          <w:b w:val="0"/>
          <w:i w:val="0"/>
          <w:sz w:val="24"/>
        </w:rPr>
        <w:t>Simulación de Batería en Realidad Virtual con Enfoque Terapéutico</w:t>
      </w:r>
    </w:p>
    <w:p>
      <w:pPr>
        <w:spacing w:after="480"/>
      </w:pP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Facultad</w:t>
            </w:r>
          </w:p>
        </w:tc>
        <w:tc>
          <w:tcPr>
            <w:tcW w:type="dxa" w:w="6236"/>
          </w:tcPr>
          <w:p>
            <w:pPr>
              <w:spacing w:after="40"/>
            </w:pPr>
            <w:r/>
            <w:r>
              <w:rPr>
                <w:sz w:val="20"/>
              </w:rPr>
              <w:t>Ingeniería Mecánica y Eléctrica, UANL</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Fecha</w:t>
            </w:r>
          </w:p>
        </w:tc>
        <w:tc>
          <w:tcPr>
            <w:tcW w:type="dxa" w:w="6236"/>
          </w:tcPr>
          <w:p>
            <w:pPr>
              <w:spacing w:after="40"/>
            </w:pPr>
            <w:r/>
            <w:r>
              <w:rPr>
                <w:sz w:val="20"/>
              </w:rPr>
              <w:t>21 de octubre de 2026</w:t>
            </w:r>
          </w:p>
        </w:tc>
      </w:tr>
      <w:tr>
        <w:tc>
          <w:tcPr>
            <w:tcW w:type="dxa" w:w="2551"/>
          </w:tcPr>
          <w:p>
            <w:pPr>
              <w:spacing w:after="40"/>
            </w:pPr>
            <w:r/>
            <w:r>
              <w:rPr>
                <w:sz w:val="20"/>
              </w:rPr>
              <w:t>Procesos</w:t>
            </w:r>
          </w:p>
        </w:tc>
        <w:tc>
          <w:tcPr>
            <w:tcW w:type="dxa" w:w="6236"/>
          </w:tcPr>
          <w:p>
            <w:pPr>
              <w:spacing w:after="40"/>
            </w:pPr>
            <w:r/>
            <w:r>
              <w:rPr>
                <w:sz w:val="20"/>
              </w:rPr>
              <w:t>PMBOK 4.5 Monitorear y Controlar · 4.6 Control Integrado de Cambios</w:t>
            </w:r>
          </w:p>
        </w:tc>
      </w:tr>
    </w:tbl>
    <w:p>
      <w:pPr>
        <w:spacing w:after="40"/>
      </w:pPr>
    </w:p>
    <w:p>
      <w:r>
        <w:br w:type="page"/>
      </w:r>
    </w:p>
    <w:p>
      <w:pPr>
        <w:pStyle w:val="Heading1"/>
      </w:pPr>
      <w:r>
        <w:t>1. Para qué existe este documento</w:t>
      </w:r>
    </w:p>
    <w:p>
      <w:pPr>
        <w:spacing w:after="160"/>
        <w:jc w:val="both"/>
      </w:pPr>
      <w:r>
        <w:rPr>
          <w:b w:val="0"/>
          <w:i w:val="0"/>
        </w:rPr>
        <w:t>Los once documentos anteriores son correctos y siguen vigentes, pero cada uno responde a su momento: la carta sponsor es de septiembre, el recorte de alcance del 17 de octubre, el cambio de enfoque del 18. Tres de ellos reorientan lo que dicen los anteriores, de modo que leerlos en orden no reconstruye el proyecto.</w:t>
      </w:r>
    </w:p>
    <w:p>
      <w:pPr>
        <w:spacing w:after="160"/>
        <w:jc w:val="both"/>
      </w:pPr>
      <w:r>
        <w:rPr>
          <w:b w:val="0"/>
          <w:i w:val="0"/>
        </w:rPr>
        <w:t>Este reúne el estado VIGENTE y dice qué documento tiene el detalle de cada cosa. No repite su contenido: remite a él.</w:t>
      </w:r>
    </w:p>
    <w:p>
      <w:pPr>
        <w:spacing w:after="160"/>
        <w:jc w:val="both"/>
      </w:pPr>
      <w:r>
        <w:rPr>
          <w:b w:val="0"/>
          <w:i/>
        </w:rPr>
        <w:t>Las cifras no están escritas a mano. Salen del cronograma y de los archivos de medición del visor, y hay pruebas automatizadas que comprueban que cuadran. Un documento de estado con números tecleados queda desfasado el mismo día, y lo peor es que nadie sabe cuándo dejó de ser cierto.</w:t>
      </w:r>
    </w:p>
    <w:p>
      <w:pPr>
        <w:pStyle w:val="Heading1"/>
      </w:pPr>
      <w:r>
        <w:t>2. Qué es el proyecto hoy</w:t>
      </w:r>
    </w:p>
    <w:p>
      <w:pPr>
        <w:spacing w:after="160"/>
        <w:jc w:val="both"/>
      </w:pPr>
      <w:r>
        <w:rPr>
          <w:b w:val="0"/>
          <w:i w:val="0"/>
        </w:rPr>
        <w:t>Una simulación de batería en realidad virtual para Meta Quest, construida como herramienta de regulación emocional por medio de la ejecución rítmica. El usuario golpea pads virtuales con los controles, el sistema responde con sonido y vibración, y un juego de ritmo guía qué tocar y cuándo.</w:t>
      </w:r>
    </w:p>
    <w:p>
      <w:pPr>
        <w:spacing w:after="160"/>
        <w:jc w:val="both"/>
      </w:pPr>
      <w:r>
        <w:rPr>
          <w:b w:val="0"/>
          <w:i w:val="0"/>
        </w:rPr>
        <w:t>El proyecto mide lo que afirma. Cada sesión exporta la precisión temporal del jugador y la constancia de su pulso, y esos datos son los que sostienen las medidas de éxito en lugar de una impresión.</w:t>
      </w:r>
    </w:p>
    <w:p>
      <w:pPr>
        <w:pStyle w:val="Heading1"/>
      </w:pPr>
      <w:r>
        <w:t>3. Las tres decisiones que lo reorientaron</w:t>
      </w:r>
    </w:p>
    <w:p>
      <w:pPr>
        <w:spacing w:after="160"/>
        <w:jc w:val="both"/>
      </w:pPr>
      <w:r>
        <w:rPr>
          <w:b w:val="0"/>
          <w:i w:val="0"/>
        </w:rPr>
        <w:t>Ninguna de las tres fue un cambio de rumbo improvisado. Dos estaban previstas en el plan de riesgos y la tercera corrige un supuesto que el proyecto no podía sostener.</w:t>
      </w:r>
    </w:p>
    <w:p>
      <w:pPr>
        <w:pStyle w:val="Heading2"/>
      </w:pPr>
      <w:r>
        <w:t>3.1 Baja de un integrante</w:t>
      </w:r>
    </w:p>
    <w:p>
      <w:pPr>
        <w:spacing w:after="80"/>
      </w:pPr>
      <w:r>
        <w:rPr>
          <w:b/>
        </w:rPr>
        <w:t xml:space="preserve">Cuándo: </w:t>
      </w:r>
      <w:r>
        <w:t>6 de octubre de 2026</w:t>
      </w:r>
    </w:p>
    <w:p>
      <w:pPr>
        <w:spacing w:after="80"/>
      </w:pPr>
      <w:r>
        <w:rPr>
          <w:b/>
        </w:rPr>
        <w:t xml:space="preserve">Detalle en: </w:t>
      </w:r>
      <w:r>
        <w:t>09_Respuesta_Riesgo_R14.docx</w:t>
      </w:r>
    </w:p>
    <w:p>
      <w:pPr>
        <w:spacing w:after="40"/>
        <w:jc w:val="both"/>
      </w:pPr>
      <w:r>
        <w:rPr>
          <w:b/>
          <w:i w:val="0"/>
        </w:rPr>
        <w:t>Causa</w:t>
      </w:r>
    </w:p>
    <w:p>
      <w:pPr>
        <w:spacing w:after="160"/>
        <w:jc w:val="both"/>
      </w:pPr>
      <w:r>
        <w:rPr>
          <w:b w:val="0"/>
          <w:i w:val="0"/>
        </w:rPr>
        <w:t>El director de proyecto dejo de asistir. El registro de riesgos lo tenia previsto como R14, con su respuesta ya redactada: redistribuir y recortar, no reemplazar.</w:t>
      </w:r>
    </w:p>
    <w:p>
      <w:pPr>
        <w:spacing w:after="40"/>
        <w:jc w:val="both"/>
      </w:pPr>
      <w:r>
        <w:rPr>
          <w:b/>
          <w:i w:val="0"/>
        </w:rPr>
        <w:t>Efecto</w:t>
      </w:r>
    </w:p>
    <w:p>
      <w:pPr>
        <w:spacing w:after="160"/>
        <w:jc w:val="both"/>
      </w:pPr>
      <w:r>
        <w:rPr>
          <w:b w:val="0"/>
          <w:i w:val="0"/>
        </w:rPr>
        <w:t>El area de juego de ritmo paso a desarrollo VR. De sus 22 actividades sobrevivieron 15, las que servian a una medida de exito; las otras 7 se retiraron. La direccion y la coordinacion quedaron sin titular, y esa carga se absorbio dentro de QA.</w:t>
      </w:r>
    </w:p>
    <w:p>
      <w:pPr>
        <w:spacing w:after="40"/>
        <w:jc w:val="both"/>
      </w:pPr>
      <w:r>
        <w:rPr>
          <w:b/>
          <w:i w:val="0"/>
        </w:rPr>
        <w:t>Lo que deja para la próxima vez</w:t>
      </w:r>
    </w:p>
    <w:p>
      <w:pPr>
        <w:spacing w:after="160"/>
        <w:jc w:val="both"/>
      </w:pPr>
      <w:r>
        <w:rPr>
          <w:b w:val="0"/>
          <w:i/>
        </w:rPr>
        <w:t>Tener la respuesta escrita ANTES convirtio una baja en una tarde de reasignacion. Sin el registro habria sido una semana de decidir que hacer.</w:t>
      </w:r>
    </w:p>
    <w:p>
      <w:pPr>
        <w:pStyle w:val="Heading2"/>
      </w:pPr>
      <w:r>
        <w:t>3.2 Recorte de alcance</w:t>
      </w:r>
    </w:p>
    <w:p>
      <w:pPr>
        <w:spacing w:after="80"/>
      </w:pPr>
      <w:r>
        <w:rPr>
          <w:b/>
        </w:rPr>
        <w:t xml:space="preserve">Cuándo: </w:t>
      </w:r>
      <w:r>
        <w:t>17 de octubre de 2026</w:t>
      </w:r>
    </w:p>
    <w:p>
      <w:pPr>
        <w:spacing w:after="80"/>
      </w:pPr>
      <w:r>
        <w:rPr>
          <w:b/>
        </w:rPr>
        <w:t xml:space="preserve">Detalle en: </w:t>
      </w:r>
      <w:r>
        <w:t>10_Recorte_de_Alcance.docx</w:t>
      </w:r>
    </w:p>
    <w:p>
      <w:pPr>
        <w:spacing w:after="40"/>
        <w:jc w:val="both"/>
      </w:pPr>
      <w:r>
        <w:rPr>
          <w:b/>
          <w:i w:val="0"/>
        </w:rPr>
        <w:t>Causa</w:t>
      </w:r>
    </w:p>
    <w:p>
      <w:pPr>
        <w:spacing w:after="160"/>
        <w:jc w:val="both"/>
      </w:pPr>
      <w:r>
        <w:rPr>
          <w:b w:val="0"/>
          <w:i w:val="0"/>
        </w:rPr>
        <w:t>Con diecinueve dias habiles por delante, las 257 actividades de la lista original no cabian. El reparto ademas era desigual: dos areas cerradas y tres apenas arrancadas.</w:t>
      </w:r>
    </w:p>
    <w:p>
      <w:pPr>
        <w:spacing w:after="40"/>
        <w:jc w:val="both"/>
      </w:pPr>
      <w:r>
        <w:rPr>
          <w:b/>
          <w:i w:val="0"/>
        </w:rPr>
        <w:t>Efecto</w:t>
      </w:r>
    </w:p>
    <w:p>
      <w:pPr>
        <w:spacing w:after="160"/>
        <w:jc w:val="both"/>
      </w:pPr>
      <w:r>
        <w:rPr>
          <w:b w:val="0"/>
          <w:i w:val="0"/>
        </w:rPr>
        <w:t>De 257 a 158 actividades. 100 recortadas, 12 que ya estaban hechas sin registrar y 1 anadida. Los tres recortes grandes: entorno 3D de 31 a 6 porque el area deja de modelar y pasa a integrar assets libres, juego de ritmo de 22 a 0 porque R14 ya las habia retirado, y sonido de 22 a 1 porque doce estaban hechas.</w:t>
      </w:r>
    </w:p>
    <w:p>
      <w:pPr>
        <w:spacing w:after="40"/>
        <w:jc w:val="both"/>
      </w:pPr>
      <w:r>
        <w:rPr>
          <w:b/>
          <w:i w:val="0"/>
        </w:rPr>
        <w:t>Lo que deja para la próxima vez</w:t>
      </w:r>
    </w:p>
    <w:p>
      <w:pPr>
        <w:spacing w:after="160"/>
        <w:jc w:val="both"/>
      </w:pPr>
      <w:r>
        <w:rPr>
          <w:b w:val="0"/>
          <w:i/>
        </w:rPr>
        <w:t>El criterio NO fue lo que dio tiempo. Sobrevive lo que sirve a una medida de exito de la carta sponsor, porque lo que se comprometio fueron diez resultados verificables, no 257 tareas.</w:t>
      </w:r>
    </w:p>
    <w:p>
      <w:pPr>
        <w:pStyle w:val="Heading2"/>
      </w:pPr>
      <w:r>
        <w:t>3.3 Cambio de enfoque terapeutico</w:t>
      </w:r>
    </w:p>
    <w:p>
      <w:pPr>
        <w:spacing w:after="80"/>
      </w:pPr>
      <w:r>
        <w:rPr>
          <w:b/>
        </w:rPr>
        <w:t xml:space="preserve">Cuándo: </w:t>
      </w:r>
      <w:r>
        <w:t>decidido antes del 18 de septiembre, registrado el 18 de octubre</w:t>
      </w:r>
    </w:p>
    <w:p>
      <w:pPr>
        <w:spacing w:after="80"/>
      </w:pPr>
      <w:r>
        <w:rPr>
          <w:b/>
        </w:rPr>
        <w:t xml:space="preserve">Detalle en: </w:t>
      </w:r>
      <w:r>
        <w:t>11_Cambio_de_Enfoque.docx</w:t>
      </w:r>
    </w:p>
    <w:p>
      <w:pPr>
        <w:spacing w:after="40"/>
        <w:jc w:val="both"/>
      </w:pPr>
      <w:r>
        <w:rPr>
          <w:b/>
          <w:i w:val="0"/>
        </w:rPr>
        <w:t>Causa</w:t>
      </w:r>
    </w:p>
    <w:p>
      <w:pPr>
        <w:spacing w:after="160"/>
        <w:jc w:val="both"/>
      </w:pPr>
      <w:r>
        <w:rPr>
          <w:b w:val="0"/>
          <w:i w:val="0"/>
        </w:rPr>
        <w:t>El marco de rehabilitacion motriz exigia que alguien con credencial clinica validara las rutinas. El asesor terapeutico tenia fecha limite el 10 de septiembre y no se concreto. Ademas, la amplitud de movimiento de miembro superior se mide con goniometria o captura corporal: un control de mano da la posicion del control, no la del hombro ni la del codo.</w:t>
      </w:r>
    </w:p>
    <w:p>
      <w:pPr>
        <w:spacing w:after="40"/>
        <w:jc w:val="both"/>
      </w:pPr>
      <w:r>
        <w:rPr>
          <w:b/>
          <w:i w:val="0"/>
        </w:rPr>
        <w:t>Efecto</w:t>
      </w:r>
    </w:p>
    <w:p>
      <w:pPr>
        <w:spacing w:after="160"/>
        <w:jc w:val="both"/>
      </w:pPr>
      <w:r>
        <w:rPr>
          <w:b w:val="0"/>
          <w:i w:val="0"/>
        </w:rPr>
        <w:t>El proyecto pasa de herramienta de apoyo a la rehabilitacion motriz a herramienta de regulacion emocional por medio del ritmo. Es un cambio de ENCUADRE, no de producto: el prototipo es el mismo. La medida 8 se retira y la 9 pierde la amplitud de movimiento.</w:t>
      </w:r>
    </w:p>
    <w:p>
      <w:pPr>
        <w:spacing w:after="40"/>
        <w:jc w:val="both"/>
      </w:pPr>
      <w:r>
        <w:rPr>
          <w:b/>
          <w:i w:val="0"/>
        </w:rPr>
        <w:t>Lo que deja para la próxima vez</w:t>
      </w:r>
    </w:p>
    <w:p>
      <w:pPr>
        <w:spacing w:after="160"/>
        <w:jc w:val="both"/>
      </w:pPr>
      <w:r>
        <w:rPr>
          <w:b w:val="0"/>
          <w:i/>
        </w:rPr>
        <w:t>La decision se tomo en conversacion y tardo un mes en llegar a un documento. Durante ese mes la carta sponsor afirmaba un marco que el equipo ya habia abandonado. Una decision no registrada no obliga a nadie y no sobrevive a que cambie quien la tomo.</w:t>
      </w:r>
    </w:p>
    <w:p>
      <w:pPr>
        <w:pStyle w:val="Heading1"/>
      </w:pPr>
      <w:r>
        <w:t>4. Las medidas de éxito</w:t>
      </w:r>
    </w:p>
    <w:p>
      <w:pPr>
        <w:spacing w:after="160"/>
        <w:jc w:val="both"/>
      </w:pPr>
      <w:r>
        <w:rPr>
          <w:b w:val="0"/>
          <w:i w:val="0"/>
        </w:rPr>
        <w:t>La carta sponsor comprometió diez resultados verificables. Es contra esto, y no contra un número de tareas, como se juzga si el proyecto cumplió.</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454"/>
          </w:tcPr>
          <w:p>
            <w:pPr>
              <w:spacing w:after="40"/>
              <w:jc w:val="center"/>
            </w:pPr>
            <w:r/>
            <w:r>
              <w:rPr>
                <w:b/>
                <w:sz w:val="17"/>
              </w:rPr>
              <w:t>#</w:t>
            </w:r>
          </w:p>
        </w:tc>
        <w:tc>
          <w:tcPr>
            <w:tcW w:type="dxa" w:w="1814"/>
          </w:tcPr>
          <w:p>
            <w:pPr>
              <w:spacing w:after="40"/>
              <w:jc w:val="center"/>
            </w:pPr>
            <w:r/>
            <w:r>
              <w:rPr>
                <w:b/>
                <w:sz w:val="17"/>
              </w:rPr>
              <w:t>Medida</w:t>
            </w:r>
          </w:p>
        </w:tc>
        <w:tc>
          <w:tcPr>
            <w:tcW w:type="dxa" w:w="907"/>
          </w:tcPr>
          <w:p>
            <w:pPr>
              <w:spacing w:after="40"/>
              <w:jc w:val="center"/>
            </w:pPr>
            <w:r/>
            <w:r>
              <w:rPr>
                <w:b/>
                <w:sz w:val="17"/>
              </w:rPr>
              <w:t>Estado</w:t>
            </w:r>
          </w:p>
        </w:tc>
        <w:tc>
          <w:tcPr>
            <w:tcW w:type="dxa" w:w="5613"/>
          </w:tcPr>
          <w:p>
            <w:pPr>
              <w:spacing w:after="40"/>
              <w:jc w:val="center"/>
            </w:pPr>
            <w:r/>
            <w:r>
              <w:rPr>
                <w:b/>
                <w:sz w:val="17"/>
              </w:rPr>
              <w:t>Evidencia</w:t>
            </w:r>
          </w:p>
        </w:tc>
      </w:tr>
      <w:tr>
        <w:tc>
          <w:tcPr>
            <w:tcW w:type="dxa" w:w="454"/>
          </w:tcPr>
          <w:p>
            <w:pPr>
              <w:spacing w:after="40"/>
            </w:pPr>
            <w:r/>
            <w:r>
              <w:rPr>
                <w:sz w:val="17"/>
              </w:rPr>
              <w:t>1</w:t>
            </w:r>
          </w:p>
        </w:tc>
        <w:tc>
          <w:tcPr>
            <w:tcW w:type="dxa" w:w="1814"/>
          </w:tcPr>
          <w:p>
            <w:pPr>
              <w:spacing w:after="40"/>
            </w:pPr>
            <w:r/>
            <w:r>
              <w:rPr>
                <w:sz w:val="17"/>
              </w:rPr>
              <w:t>Identificacion de componentes</w:t>
            </w:r>
          </w:p>
        </w:tc>
        <w:tc>
          <w:tcPr>
            <w:tcW w:type="dxa" w:w="907"/>
          </w:tcPr>
          <w:p>
            <w:pPr>
              <w:spacing w:after="40"/>
            </w:pPr>
            <w:r/>
            <w:r>
              <w:rPr>
                <w:sz w:val="17"/>
              </w:rPr>
              <w:t>cerrada</w:t>
            </w:r>
          </w:p>
        </w:tc>
        <w:tc>
          <w:tcPr>
            <w:tcW w:type="dxa" w:w="5613"/>
          </w:tcPr>
          <w:p>
            <w:pPr>
              <w:spacing w:after="40"/>
            </w:pPr>
            <w:r/>
            <w:r>
              <w:rPr>
                <w:sz w:val="17"/>
              </w:rPr>
              <w:t>Siete pads con geometria y color propios. La separacion entre centros se calcula, no se estima: 0.344 m en el par mas cercano sobre los 0.320 que exige el radio mas la holgura.</w:t>
            </w:r>
          </w:p>
        </w:tc>
      </w:tr>
      <w:tr>
        <w:tc>
          <w:tcPr>
            <w:tcW w:type="dxa" w:w="454"/>
          </w:tcPr>
          <w:p>
            <w:pPr>
              <w:spacing w:after="40"/>
            </w:pPr>
            <w:r/>
            <w:r>
              <w:rPr>
                <w:sz w:val="17"/>
              </w:rPr>
              <w:t>2</w:t>
            </w:r>
          </w:p>
        </w:tc>
        <w:tc>
          <w:tcPr>
            <w:tcW w:type="dxa" w:w="1814"/>
          </w:tcPr>
          <w:p>
            <w:pPr>
              <w:spacing w:after="40"/>
            </w:pPr>
            <w:r/>
            <w:r>
              <w:rPr>
                <w:sz w:val="17"/>
              </w:rPr>
              <w:t>Deteccion de contacto</w:t>
            </w:r>
          </w:p>
        </w:tc>
        <w:tc>
          <w:tcPr>
            <w:tcW w:type="dxa" w:w="907"/>
          </w:tcPr>
          <w:p>
            <w:pPr>
              <w:spacing w:after="40"/>
            </w:pPr>
            <w:r/>
            <w:r>
              <w:rPr>
                <w:sz w:val="17"/>
              </w:rPr>
              <w:t>cerrada</w:t>
            </w:r>
          </w:p>
        </w:tc>
        <w:tc>
          <w:tcPr>
            <w:tcW w:type="dxa" w:w="5613"/>
          </w:tcPr>
          <w:p>
            <w:pPr>
              <w:spacing w:after="40"/>
            </w:pPr>
            <w:r/>
            <w:r>
              <w:rPr>
                <w:sz w:val="17"/>
              </w:rPr>
              <w:t>Deteccion por plano armado con prediccion. 84 golpes registrados sin una sola agenda tardia.</w:t>
            </w:r>
          </w:p>
        </w:tc>
      </w:tr>
      <w:tr>
        <w:tc>
          <w:tcPr>
            <w:tcW w:type="dxa" w:w="454"/>
          </w:tcPr>
          <w:p>
            <w:pPr>
              <w:spacing w:after="40"/>
            </w:pPr>
            <w:r/>
            <w:r>
              <w:rPr>
                <w:sz w:val="17"/>
              </w:rPr>
              <w:t>3</w:t>
            </w:r>
          </w:p>
        </w:tc>
        <w:tc>
          <w:tcPr>
            <w:tcW w:type="dxa" w:w="1814"/>
          </w:tcPr>
          <w:p>
            <w:pPr>
              <w:spacing w:after="40"/>
            </w:pPr>
            <w:r/>
            <w:r>
              <w:rPr>
                <w:sz w:val="17"/>
              </w:rPr>
              <w:t>Correspondencia del sonido</w:t>
            </w:r>
          </w:p>
        </w:tc>
        <w:tc>
          <w:tcPr>
            <w:tcW w:type="dxa" w:w="907"/>
          </w:tcPr>
          <w:p>
            <w:pPr>
              <w:spacing w:after="40"/>
            </w:pPr>
            <w:r/>
            <w:r>
              <w:rPr>
                <w:sz w:val="17"/>
              </w:rPr>
              <w:t>cerrada</w:t>
            </w:r>
          </w:p>
        </w:tc>
        <w:tc>
          <w:tcPr>
            <w:tcW w:type="dxa" w:w="5613"/>
          </w:tcPr>
          <w:p>
            <w:pPr>
              <w:spacing w:after="40"/>
            </w:pPr>
            <w:r/>
            <w:r>
              <w:rPr>
                <w:sz w:val="17"/>
              </w:rPr>
              <w:t>Cada pad lleva su DrumKitPiece y hay una prueba que impide que dos compartan la misma.</w:t>
            </w:r>
          </w:p>
        </w:tc>
      </w:tr>
      <w:tr>
        <w:tc>
          <w:tcPr>
            <w:tcW w:type="dxa" w:w="454"/>
          </w:tcPr>
          <w:p>
            <w:pPr>
              <w:spacing w:after="40"/>
            </w:pPr>
            <w:r/>
            <w:r>
              <w:rPr>
                <w:sz w:val="17"/>
              </w:rPr>
              <w:t>4</w:t>
            </w:r>
          </w:p>
        </w:tc>
        <w:tc>
          <w:tcPr>
            <w:tcW w:type="dxa" w:w="1814"/>
          </w:tcPr>
          <w:p>
            <w:pPr>
              <w:spacing w:after="40"/>
            </w:pPr>
            <w:r/>
            <w:r>
              <w:rPr>
                <w:sz w:val="17"/>
              </w:rPr>
              <w:t>Latencia por debajo de 30 ms</w:t>
            </w:r>
          </w:p>
        </w:tc>
        <w:tc>
          <w:tcPr>
            <w:tcW w:type="dxa" w:w="907"/>
          </w:tcPr>
          <w:p>
            <w:pPr>
              <w:spacing w:after="40"/>
            </w:pPr>
            <w:r/>
            <w:r>
              <w:rPr>
                <w:sz w:val="17"/>
              </w:rPr>
              <w:t>cerrada</w:t>
            </w:r>
          </w:p>
        </w:tc>
        <w:tc>
          <w:tcPr>
            <w:tcW w:type="dxa" w:w="5613"/>
          </w:tcPr>
          <w:p>
            <w:pPr>
              <w:spacing w:after="40"/>
            </w:pPr>
            <w:r/>
            <w:r>
              <w:rPr>
                <w:sz w:val="17"/>
              </w:rPr>
              <w:t>Hito Go/No-Go del acta. Medido con el protocolo del clic fisico: p90 de +4.07 ms, dentro de la ventana de -10 a +25 ms.</w:t>
            </w:r>
          </w:p>
        </w:tc>
      </w:tr>
      <w:tr>
        <w:tc>
          <w:tcPr>
            <w:tcW w:type="dxa" w:w="454"/>
          </w:tcPr>
          <w:p>
            <w:pPr>
              <w:spacing w:after="40"/>
            </w:pPr>
            <w:r/>
            <w:r>
              <w:rPr>
                <w:sz w:val="17"/>
              </w:rPr>
              <w:t>5</w:t>
            </w:r>
          </w:p>
        </w:tc>
        <w:tc>
          <w:tcPr>
            <w:tcW w:type="dxa" w:w="1814"/>
          </w:tcPr>
          <w:p>
            <w:pPr>
              <w:spacing w:after="40"/>
            </w:pPr>
            <w:r/>
            <w:r>
              <w:rPr>
                <w:sz w:val="17"/>
              </w:rPr>
              <w:t>72 fps sostenidos</w:t>
            </w:r>
          </w:p>
        </w:tc>
        <w:tc>
          <w:tcPr>
            <w:tcW w:type="dxa" w:w="907"/>
          </w:tcPr>
          <w:p>
            <w:pPr>
              <w:spacing w:after="40"/>
            </w:pPr>
            <w:r/>
            <w:r>
              <w:rPr>
                <w:sz w:val="17"/>
              </w:rPr>
              <w:t>cerrada</w:t>
            </w:r>
          </w:p>
        </w:tc>
        <w:tc>
          <w:tcPr>
            <w:tcW w:type="dxa" w:w="5613"/>
          </w:tcPr>
          <w:p>
            <w:pPr>
              <w:spacing w:after="40"/>
            </w:pPr>
            <w:r/>
            <w:r>
              <w:rPr>
                <w:sz w:val="17"/>
              </w:rPr>
              <w:t>12949 fotogramas medidos en el visor: 12946 en vsync, 3 vsync perdidos. 0.02 % contra un criterio del 5 %.</w:t>
            </w:r>
          </w:p>
        </w:tc>
      </w:tr>
      <w:tr>
        <w:tc>
          <w:tcPr>
            <w:tcW w:type="dxa" w:w="454"/>
          </w:tcPr>
          <w:p>
            <w:pPr>
              <w:spacing w:after="40"/>
            </w:pPr>
            <w:r/>
            <w:r>
              <w:rPr>
                <w:sz w:val="17"/>
              </w:rPr>
              <w:t>6</w:t>
            </w:r>
          </w:p>
        </w:tc>
        <w:tc>
          <w:tcPr>
            <w:tcW w:type="dxa" w:w="1814"/>
          </w:tcPr>
          <w:p>
            <w:pPr>
              <w:spacing w:after="40"/>
            </w:pPr>
            <w:r/>
            <w:r>
              <w:rPr>
                <w:sz w:val="17"/>
              </w:rPr>
              <w:t>Interaccion intuitiva</w:t>
            </w:r>
          </w:p>
        </w:tc>
        <w:tc>
          <w:tcPr>
            <w:tcW w:type="dxa" w:w="907"/>
          </w:tcPr>
          <w:p>
            <w:pPr>
              <w:spacing w:after="40"/>
            </w:pPr>
            <w:r/>
            <w:r>
              <w:rPr>
                <w:sz w:val="17"/>
              </w:rPr>
              <w:t>en curso</w:t>
            </w:r>
          </w:p>
        </w:tc>
        <w:tc>
          <w:tcPr>
            <w:tcW w:type="dxa" w:w="5613"/>
          </w:tcPr>
          <w:p>
            <w:pPr>
              <w:spacing w:after="40"/>
            </w:pPr>
            <w:r/>
            <w:r>
              <w:rPr>
                <w:sz w:val="17"/>
              </w:rPr>
              <w:t>El tutorial registra cuantos intentos cuesta cada paso. De 11 intentos en la primera corrida a 6 en la ultima, y de 74 a 37 segundos. Falta recoger el dato con usuarios reales en QT.8.</w:t>
            </w:r>
          </w:p>
        </w:tc>
      </w:tr>
      <w:tr>
        <w:tc>
          <w:tcPr>
            <w:tcW w:type="dxa" w:w="454"/>
          </w:tcPr>
          <w:p>
            <w:pPr>
              <w:spacing w:after="40"/>
            </w:pPr>
            <w:r/>
            <w:r>
              <w:rPr>
                <w:sz w:val="17"/>
              </w:rPr>
              <w:t>7</w:t>
            </w:r>
          </w:p>
        </w:tc>
        <w:tc>
          <w:tcPr>
            <w:tcW w:type="dxa" w:w="1814"/>
          </w:tcPr>
          <w:p>
            <w:pPr>
              <w:spacing w:after="40"/>
            </w:pPr>
            <w:r/>
            <w:r>
              <w:rPr>
                <w:sz w:val="17"/>
              </w:rPr>
              <w:t>Sensibilidad a la intensidad</w:t>
            </w:r>
          </w:p>
        </w:tc>
        <w:tc>
          <w:tcPr>
            <w:tcW w:type="dxa" w:w="907"/>
          </w:tcPr>
          <w:p>
            <w:pPr>
              <w:spacing w:after="40"/>
            </w:pPr>
            <w:r/>
            <w:r>
              <w:rPr>
                <w:sz w:val="17"/>
              </w:rPr>
              <w:t>cerrada</w:t>
            </w:r>
          </w:p>
        </w:tc>
        <w:tc>
          <w:tcPr>
            <w:tcW w:type="dxa" w:w="5613"/>
          </w:tcPr>
          <w:p>
            <w:pPr>
              <w:spacing w:after="40"/>
            </w:pPr>
            <w:r/>
            <w:r>
              <w:rPr>
                <w:sz w:val="17"/>
              </w:rPr>
              <w:t>SampleSelector elige la muestra por energia del golpe. Las siete piezas tienen eje de intensidad aprovechable, de 1.40x a 2.56x.</w:t>
            </w:r>
          </w:p>
        </w:tc>
      </w:tr>
      <w:tr>
        <w:tc>
          <w:tcPr>
            <w:tcW w:type="dxa" w:w="454"/>
          </w:tcPr>
          <w:p>
            <w:pPr>
              <w:spacing w:after="40"/>
            </w:pPr>
            <w:r/>
            <w:r>
              <w:rPr>
                <w:sz w:val="17"/>
              </w:rPr>
              <w:t>8</w:t>
            </w:r>
          </w:p>
        </w:tc>
        <w:tc>
          <w:tcPr>
            <w:tcW w:type="dxa" w:w="1814"/>
          </w:tcPr>
          <w:p>
            <w:pPr>
              <w:spacing w:after="40"/>
            </w:pPr>
            <w:r/>
            <w:r>
              <w:rPr>
                <w:sz w:val="17"/>
              </w:rPr>
              <w:t>Pertinencia terapeutica</w:t>
            </w:r>
          </w:p>
        </w:tc>
        <w:tc>
          <w:tcPr>
            <w:tcW w:type="dxa" w:w="907"/>
          </w:tcPr>
          <w:p>
            <w:pPr>
              <w:spacing w:after="40"/>
            </w:pPr>
            <w:r/>
            <w:r>
              <w:rPr>
                <w:sz w:val="17"/>
              </w:rPr>
              <w:t>retirada</w:t>
            </w:r>
          </w:p>
        </w:tc>
        <w:tc>
          <w:tcPr>
            <w:tcW w:type="dxa" w:w="5613"/>
          </w:tcPr>
          <w:p>
            <w:pPr>
              <w:spacing w:after="40"/>
            </w:pPr>
            <w:r/>
            <w:r>
              <w:rPr>
                <w:sz w:val="17"/>
              </w:rPr>
              <w:t>Sin asesor no hay dictamen, asi que la medida no se puede verificar por ningun camino. Retirada formalmente en el documento 10, con la contingencia que el acta ya preveia.</w:t>
            </w:r>
          </w:p>
        </w:tc>
      </w:tr>
      <w:tr>
        <w:tc>
          <w:tcPr>
            <w:tcW w:type="dxa" w:w="454"/>
          </w:tcPr>
          <w:p>
            <w:pPr>
              <w:spacing w:after="40"/>
            </w:pPr>
            <w:r/>
            <w:r>
              <w:rPr>
                <w:sz w:val="17"/>
              </w:rPr>
              <w:t>9</w:t>
            </w:r>
          </w:p>
        </w:tc>
        <w:tc>
          <w:tcPr>
            <w:tcW w:type="dxa" w:w="1814"/>
          </w:tcPr>
          <w:p>
            <w:pPr>
              <w:spacing w:after="40"/>
            </w:pPr>
            <w:r/>
            <w:r>
              <w:rPr>
                <w:sz w:val="17"/>
              </w:rPr>
              <w:t>Registro de metricas</w:t>
            </w:r>
          </w:p>
        </w:tc>
        <w:tc>
          <w:tcPr>
            <w:tcW w:type="dxa" w:w="907"/>
          </w:tcPr>
          <w:p>
            <w:pPr>
              <w:spacing w:after="40"/>
            </w:pPr>
            <w:r/>
            <w:r>
              <w:rPr>
                <w:sz w:val="17"/>
              </w:rPr>
              <w:t>cerrada</w:t>
            </w:r>
          </w:p>
        </w:tc>
        <w:tc>
          <w:tcPr>
            <w:tcW w:type="dxa" w:w="5613"/>
          </w:tcPr>
          <w:p>
            <w:pPr>
              <w:spacing w:after="40"/>
            </w:pPr>
            <w:r/>
            <w:r>
              <w:rPr>
                <w:sz w:val="17"/>
              </w:rPr>
              <w:t>31 sesiones volcadas a JSON con precision temporal, constancia del pulso y los desfases crudos. La mejor: 148 de 160 notas, desviacion 24.5 ms, constancia 23.4 ms.</w:t>
            </w:r>
          </w:p>
        </w:tc>
      </w:tr>
      <w:tr>
        <w:tc>
          <w:tcPr>
            <w:tcW w:type="dxa" w:w="454"/>
          </w:tcPr>
          <w:p>
            <w:pPr>
              <w:spacing w:after="40"/>
            </w:pPr>
            <w:r/>
            <w:r>
              <w:rPr>
                <w:sz w:val="17"/>
              </w:rPr>
              <w:t>10</w:t>
            </w:r>
          </w:p>
        </w:tc>
        <w:tc>
          <w:tcPr>
            <w:tcW w:type="dxa" w:w="1814"/>
          </w:tcPr>
          <w:p>
            <w:pPr>
              <w:spacing w:after="40"/>
            </w:pPr>
            <w:r/>
            <w:r>
              <w:rPr>
                <w:sz w:val="17"/>
              </w:rPr>
              <w:t>Seguridad de uso</w:t>
            </w:r>
          </w:p>
        </w:tc>
        <w:tc>
          <w:tcPr>
            <w:tcW w:type="dxa" w:w="907"/>
          </w:tcPr>
          <w:p>
            <w:pPr>
              <w:spacing w:after="40"/>
            </w:pPr>
            <w:r/>
            <w:r>
              <w:rPr>
                <w:sz w:val="17"/>
              </w:rPr>
              <w:t>cerrada</w:t>
            </w:r>
          </w:p>
        </w:tc>
        <w:tc>
          <w:tcPr>
            <w:tcW w:type="dxa" w:w="5613"/>
          </w:tcPr>
          <w:p>
            <w:pPr>
              <w:spacing w:after="40"/>
            </w:pPr>
            <w:r/>
            <w:r>
              <w:rPr>
                <w:sz w:val="17"/>
              </w:rPr>
              <w:t>LimiteSeguro dibuja el perimetro con radio calculado del pad mas lejano. Verificado en el visor. Falta el reporte de los participantes de QT.8.</w:t>
            </w:r>
          </w:p>
        </w:tc>
      </w:tr>
    </w:tbl>
    <w:p>
      <w:pPr>
        <w:spacing w:after="40"/>
      </w:pPr>
    </w:p>
    <w:p>
      <w:pPr>
        <w:spacing w:after="160"/>
        <w:jc w:val="both"/>
      </w:pPr>
      <w:r>
        <w:rPr>
          <w:b w:val="0"/>
          <w:i w:val="0"/>
        </w:rPr>
      </w:r>
    </w:p>
    <w:p>
      <w:pPr>
        <w:spacing w:after="160"/>
        <w:jc w:val="both"/>
      </w:pPr>
      <w:r>
        <w:rPr>
          <w:b w:val="0"/>
          <w:i w:val="0"/>
        </w:rPr>
        <w:t>8 cerradas con evidencia medida, 1 en curso a falta de las pruebas con usuarios, y 1 retirada formalmente. La retirada es la 8: sin asesor externo no hay dictamen, y una medida que no se puede verificar por ningún camino no se sostiene dejándola abierta.</w:t>
      </w:r>
    </w:p>
    <w:p>
      <w:pPr>
        <w:pStyle w:val="Heading1"/>
      </w:pPr>
      <w:r>
        <w:t>5. Avance</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3118"/>
          </w:tcPr>
          <w:p>
            <w:pPr>
              <w:spacing w:after="40"/>
              <w:jc w:val="center"/>
            </w:pPr>
            <w:r/>
            <w:r>
              <w:rPr>
                <w:b/>
                <w:sz w:val="18"/>
              </w:rPr>
              <w:t>Área</w:t>
            </w:r>
          </w:p>
        </w:tc>
        <w:tc>
          <w:tcPr>
            <w:tcW w:type="dxa" w:w="1247"/>
          </w:tcPr>
          <w:p>
            <w:pPr>
              <w:spacing w:after="40"/>
              <w:jc w:val="center"/>
            </w:pPr>
            <w:r/>
            <w:r>
              <w:rPr>
                <w:b/>
                <w:sz w:val="18"/>
              </w:rPr>
              <w:t>Hechas</w:t>
            </w:r>
          </w:p>
        </w:tc>
        <w:tc>
          <w:tcPr>
            <w:tcW w:type="dxa" w:w="1247"/>
          </w:tcPr>
          <w:p>
            <w:pPr>
              <w:spacing w:after="40"/>
              <w:jc w:val="center"/>
            </w:pPr>
            <w:r/>
            <w:r>
              <w:rPr>
                <w:b/>
                <w:sz w:val="18"/>
              </w:rPr>
              <w:t>Faltan</w:t>
            </w:r>
          </w:p>
        </w:tc>
        <w:tc>
          <w:tcPr>
            <w:tcW w:type="dxa" w:w="1247"/>
          </w:tcPr>
          <w:p>
            <w:pPr>
              <w:spacing w:after="40"/>
              <w:jc w:val="center"/>
            </w:pPr>
            <w:r/>
            <w:r>
              <w:rPr>
                <w:b/>
                <w:sz w:val="18"/>
              </w:rPr>
              <w:t>Total</w:t>
            </w:r>
          </w:p>
        </w:tc>
        <w:tc>
          <w:tcPr>
            <w:tcW w:type="dxa" w:w="1361"/>
          </w:tcPr>
          <w:p>
            <w:pPr>
              <w:spacing w:after="40"/>
              <w:jc w:val="center"/>
            </w:pPr>
            <w:r/>
            <w:r>
              <w:rPr>
                <w:b/>
                <w:sz w:val="18"/>
              </w:rPr>
              <w:t>Avance</w:t>
            </w:r>
          </w:p>
        </w:tc>
      </w:tr>
      <w:tr>
        <w:tc>
          <w:tcPr>
            <w:tcW w:type="dxa" w:w="3118"/>
          </w:tcPr>
          <w:p>
            <w:pPr>
              <w:spacing w:after="40"/>
            </w:pPr>
            <w:r/>
            <w:r>
              <w:rPr>
                <w:sz w:val="18"/>
              </w:rPr>
              <w:t>Desarrollo VR</w:t>
            </w:r>
          </w:p>
        </w:tc>
        <w:tc>
          <w:tcPr>
            <w:tcW w:type="dxa" w:w="1247"/>
          </w:tcPr>
          <w:p>
            <w:pPr>
              <w:spacing w:after="40"/>
            </w:pPr>
            <w:r/>
            <w:r>
              <w:rPr>
                <w:sz w:val="18"/>
              </w:rPr>
              <w:t>28</w:t>
            </w:r>
          </w:p>
        </w:tc>
        <w:tc>
          <w:tcPr>
            <w:tcW w:type="dxa" w:w="1247"/>
          </w:tcPr>
          <w:p>
            <w:pPr>
              <w:spacing w:after="40"/>
            </w:pPr>
            <w:r/>
            <w:r>
              <w:rPr>
                <w:sz w:val="18"/>
              </w:rPr>
              <w:t>2</w:t>
            </w:r>
          </w:p>
        </w:tc>
        <w:tc>
          <w:tcPr>
            <w:tcW w:type="dxa" w:w="1247"/>
          </w:tcPr>
          <w:p>
            <w:pPr>
              <w:spacing w:after="40"/>
            </w:pPr>
            <w:r/>
            <w:r>
              <w:rPr>
                <w:sz w:val="18"/>
              </w:rPr>
              <w:t>30</w:t>
            </w:r>
          </w:p>
        </w:tc>
        <w:tc>
          <w:tcPr>
            <w:tcW w:type="dxa" w:w="1361"/>
          </w:tcPr>
          <w:p>
            <w:pPr>
              <w:spacing w:after="40"/>
            </w:pPr>
            <w:r/>
            <w:r>
              <w:rPr>
                <w:sz w:val="18"/>
              </w:rPr>
              <w:t>93 %</w:t>
            </w:r>
          </w:p>
        </w:tc>
      </w:tr>
      <w:tr>
        <w:tc>
          <w:tcPr>
            <w:tcW w:type="dxa" w:w="3118"/>
          </w:tcPr>
          <w:p>
            <w:pPr>
              <w:spacing w:after="40"/>
            </w:pPr>
            <w:r/>
            <w:r>
              <w:rPr>
                <w:sz w:val="18"/>
              </w:rPr>
              <w:t>Entorno 3D</w:t>
            </w:r>
          </w:p>
        </w:tc>
        <w:tc>
          <w:tcPr>
            <w:tcW w:type="dxa" w:w="1247"/>
          </w:tcPr>
          <w:p>
            <w:pPr>
              <w:spacing w:after="40"/>
            </w:pPr>
            <w:r/>
            <w:r>
              <w:rPr>
                <w:sz w:val="18"/>
              </w:rPr>
              <w:t>7</w:t>
            </w:r>
          </w:p>
        </w:tc>
        <w:tc>
          <w:tcPr>
            <w:tcW w:type="dxa" w:w="1247"/>
          </w:tcPr>
          <w:p>
            <w:pPr>
              <w:spacing w:after="40"/>
            </w:pPr>
            <w:r/>
            <w:r>
              <w:rPr>
                <w:sz w:val="18"/>
              </w:rPr>
              <w:t>0</w:t>
            </w:r>
          </w:p>
        </w:tc>
        <w:tc>
          <w:tcPr>
            <w:tcW w:type="dxa" w:w="1247"/>
          </w:tcPr>
          <w:p>
            <w:pPr>
              <w:spacing w:after="40"/>
            </w:pPr>
            <w:r/>
            <w:r>
              <w:rPr>
                <w:sz w:val="18"/>
              </w:rPr>
              <w:t>7</w:t>
            </w:r>
          </w:p>
        </w:tc>
        <w:tc>
          <w:tcPr>
            <w:tcW w:type="dxa" w:w="1361"/>
          </w:tcPr>
          <w:p>
            <w:pPr>
              <w:spacing w:after="40"/>
            </w:pPr>
            <w:r/>
            <w:r>
              <w:rPr>
                <w:sz w:val="18"/>
              </w:rPr>
              <w:t>100 %</w:t>
            </w:r>
          </w:p>
        </w:tc>
      </w:tr>
      <w:tr>
        <w:tc>
          <w:tcPr>
            <w:tcW w:type="dxa" w:w="3118"/>
          </w:tcPr>
          <w:p>
            <w:pPr>
              <w:spacing w:after="40"/>
            </w:pPr>
            <w:r/>
            <w:r>
              <w:rPr>
                <w:sz w:val="18"/>
              </w:rPr>
              <w:t>Experiencia emocional</w:t>
            </w:r>
          </w:p>
        </w:tc>
        <w:tc>
          <w:tcPr>
            <w:tcW w:type="dxa" w:w="1247"/>
          </w:tcPr>
          <w:p>
            <w:pPr>
              <w:spacing w:after="40"/>
            </w:pPr>
            <w:r/>
            <w:r>
              <w:rPr>
                <w:sz w:val="18"/>
              </w:rPr>
              <w:t>18</w:t>
            </w:r>
          </w:p>
        </w:tc>
        <w:tc>
          <w:tcPr>
            <w:tcW w:type="dxa" w:w="1247"/>
          </w:tcPr>
          <w:p>
            <w:pPr>
              <w:spacing w:after="40"/>
            </w:pPr>
            <w:r/>
            <w:r>
              <w:rPr>
                <w:sz w:val="18"/>
              </w:rPr>
              <w:t>1</w:t>
            </w:r>
          </w:p>
        </w:tc>
        <w:tc>
          <w:tcPr>
            <w:tcW w:type="dxa" w:w="1247"/>
          </w:tcPr>
          <w:p>
            <w:pPr>
              <w:spacing w:after="40"/>
            </w:pPr>
            <w:r/>
            <w:r>
              <w:rPr>
                <w:sz w:val="18"/>
              </w:rPr>
              <w:t>19</w:t>
            </w:r>
          </w:p>
        </w:tc>
        <w:tc>
          <w:tcPr>
            <w:tcW w:type="dxa" w:w="1361"/>
          </w:tcPr>
          <w:p>
            <w:pPr>
              <w:spacing w:after="40"/>
            </w:pPr>
            <w:r/>
            <w:r>
              <w:rPr>
                <w:sz w:val="18"/>
              </w:rPr>
              <w:t>95 %</w:t>
            </w:r>
          </w:p>
        </w:tc>
      </w:tr>
      <w:tr>
        <w:tc>
          <w:tcPr>
            <w:tcW w:type="dxa" w:w="3118"/>
          </w:tcPr>
          <w:p>
            <w:pPr>
              <w:spacing w:after="40"/>
            </w:pPr>
            <w:r/>
            <w:r>
              <w:rPr>
                <w:sz w:val="18"/>
              </w:rPr>
              <w:t>Interfaz</w:t>
            </w:r>
          </w:p>
        </w:tc>
        <w:tc>
          <w:tcPr>
            <w:tcW w:type="dxa" w:w="1247"/>
          </w:tcPr>
          <w:p>
            <w:pPr>
              <w:spacing w:after="40"/>
            </w:pPr>
            <w:r/>
            <w:r>
              <w:rPr>
                <w:sz w:val="18"/>
              </w:rPr>
              <w:t>17</w:t>
            </w:r>
          </w:p>
        </w:tc>
        <w:tc>
          <w:tcPr>
            <w:tcW w:type="dxa" w:w="1247"/>
          </w:tcPr>
          <w:p>
            <w:pPr>
              <w:spacing w:after="40"/>
            </w:pPr>
            <w:r/>
            <w:r>
              <w:rPr>
                <w:sz w:val="18"/>
              </w:rPr>
              <w:t>1</w:t>
            </w:r>
          </w:p>
        </w:tc>
        <w:tc>
          <w:tcPr>
            <w:tcW w:type="dxa" w:w="1247"/>
          </w:tcPr>
          <w:p>
            <w:pPr>
              <w:spacing w:after="40"/>
            </w:pPr>
            <w:r/>
            <w:r>
              <w:rPr>
                <w:sz w:val="18"/>
              </w:rPr>
              <w:t>18</w:t>
            </w:r>
          </w:p>
        </w:tc>
        <w:tc>
          <w:tcPr>
            <w:tcW w:type="dxa" w:w="1361"/>
          </w:tcPr>
          <w:p>
            <w:pPr>
              <w:spacing w:after="40"/>
            </w:pPr>
            <w:r/>
            <w:r>
              <w:rPr>
                <w:sz w:val="18"/>
              </w:rPr>
              <w:t>94 %</w:t>
            </w:r>
          </w:p>
        </w:tc>
      </w:tr>
      <w:tr>
        <w:tc>
          <w:tcPr>
            <w:tcW w:type="dxa" w:w="3118"/>
          </w:tcPr>
          <w:p>
            <w:pPr>
              <w:spacing w:after="40"/>
            </w:pPr>
            <w:r/>
            <w:r>
              <w:rPr>
                <w:sz w:val="18"/>
              </w:rPr>
              <w:t>Juego de ritmo</w:t>
            </w:r>
          </w:p>
        </w:tc>
        <w:tc>
          <w:tcPr>
            <w:tcW w:type="dxa" w:w="1247"/>
          </w:tcPr>
          <w:p>
            <w:pPr>
              <w:spacing w:after="40"/>
            </w:pPr>
            <w:r/>
            <w:r>
              <w:rPr>
                <w:sz w:val="18"/>
              </w:rPr>
              <w:t>17</w:t>
            </w:r>
          </w:p>
        </w:tc>
        <w:tc>
          <w:tcPr>
            <w:tcW w:type="dxa" w:w="1247"/>
          </w:tcPr>
          <w:p>
            <w:pPr>
              <w:spacing w:after="40"/>
            </w:pPr>
            <w:r/>
            <w:r>
              <w:rPr>
                <w:sz w:val="18"/>
              </w:rPr>
              <w:t>0</w:t>
            </w:r>
          </w:p>
        </w:tc>
        <w:tc>
          <w:tcPr>
            <w:tcW w:type="dxa" w:w="1247"/>
          </w:tcPr>
          <w:p>
            <w:pPr>
              <w:spacing w:after="40"/>
            </w:pPr>
            <w:r/>
            <w:r>
              <w:rPr>
                <w:sz w:val="18"/>
              </w:rPr>
              <w:t>17</w:t>
            </w:r>
          </w:p>
        </w:tc>
        <w:tc>
          <w:tcPr>
            <w:tcW w:type="dxa" w:w="1361"/>
          </w:tcPr>
          <w:p>
            <w:pPr>
              <w:spacing w:after="40"/>
            </w:pPr>
            <w:r/>
            <w:r>
              <w:rPr>
                <w:sz w:val="18"/>
              </w:rPr>
              <w:t>100 %</w:t>
            </w:r>
          </w:p>
        </w:tc>
      </w:tr>
      <w:tr>
        <w:tc>
          <w:tcPr>
            <w:tcW w:type="dxa" w:w="3118"/>
          </w:tcPr>
          <w:p>
            <w:pPr>
              <w:spacing w:after="40"/>
            </w:pPr>
            <w:r/>
            <w:r>
              <w:rPr>
                <w:sz w:val="18"/>
              </w:rPr>
              <w:t>Musica</w:t>
            </w:r>
          </w:p>
        </w:tc>
        <w:tc>
          <w:tcPr>
            <w:tcW w:type="dxa" w:w="1247"/>
          </w:tcPr>
          <w:p>
            <w:pPr>
              <w:spacing w:after="40"/>
            </w:pPr>
            <w:r/>
            <w:r>
              <w:rPr>
                <w:sz w:val="18"/>
              </w:rPr>
              <w:t>7</w:t>
            </w:r>
          </w:p>
        </w:tc>
        <w:tc>
          <w:tcPr>
            <w:tcW w:type="dxa" w:w="1247"/>
          </w:tcPr>
          <w:p>
            <w:pPr>
              <w:spacing w:after="40"/>
            </w:pPr>
            <w:r/>
            <w:r>
              <w:rPr>
                <w:sz w:val="18"/>
              </w:rPr>
              <w:t>0</w:t>
            </w:r>
          </w:p>
        </w:tc>
        <w:tc>
          <w:tcPr>
            <w:tcW w:type="dxa" w:w="1247"/>
          </w:tcPr>
          <w:p>
            <w:pPr>
              <w:spacing w:after="40"/>
            </w:pPr>
            <w:r/>
            <w:r>
              <w:rPr>
                <w:sz w:val="18"/>
              </w:rPr>
              <w:t>7</w:t>
            </w:r>
          </w:p>
        </w:tc>
        <w:tc>
          <w:tcPr>
            <w:tcW w:type="dxa" w:w="1361"/>
          </w:tcPr>
          <w:p>
            <w:pPr>
              <w:spacing w:after="40"/>
            </w:pPr>
            <w:r/>
            <w:r>
              <w:rPr>
                <w:sz w:val="18"/>
              </w:rPr>
              <w:t>100 %</w:t>
            </w:r>
          </w:p>
        </w:tc>
      </w:tr>
      <w:tr>
        <w:tc>
          <w:tcPr>
            <w:tcW w:type="dxa" w:w="3118"/>
          </w:tcPr>
          <w:p>
            <w:pPr>
              <w:spacing w:after="40"/>
            </w:pPr>
            <w:r/>
            <w:r>
              <w:rPr>
                <w:sz w:val="18"/>
              </w:rPr>
              <w:t>QA, documentacion y gestion</w:t>
            </w:r>
          </w:p>
        </w:tc>
        <w:tc>
          <w:tcPr>
            <w:tcW w:type="dxa" w:w="1247"/>
          </w:tcPr>
          <w:p>
            <w:pPr>
              <w:spacing w:after="40"/>
            </w:pPr>
            <w:r/>
            <w:r>
              <w:rPr>
                <w:sz w:val="18"/>
              </w:rPr>
              <w:t>23</w:t>
            </w:r>
          </w:p>
        </w:tc>
        <w:tc>
          <w:tcPr>
            <w:tcW w:type="dxa" w:w="1247"/>
          </w:tcPr>
          <w:p>
            <w:pPr>
              <w:spacing w:after="40"/>
            </w:pPr>
            <w:r/>
            <w:r>
              <w:rPr>
                <w:sz w:val="18"/>
              </w:rPr>
              <w:t>23</w:t>
            </w:r>
          </w:p>
        </w:tc>
        <w:tc>
          <w:tcPr>
            <w:tcW w:type="dxa" w:w="1247"/>
          </w:tcPr>
          <w:p>
            <w:pPr>
              <w:spacing w:after="40"/>
            </w:pPr>
            <w:r/>
            <w:r>
              <w:rPr>
                <w:sz w:val="18"/>
              </w:rPr>
              <w:t>46</w:t>
            </w:r>
          </w:p>
        </w:tc>
        <w:tc>
          <w:tcPr>
            <w:tcW w:type="dxa" w:w="1361"/>
          </w:tcPr>
          <w:p>
            <w:pPr>
              <w:spacing w:after="40"/>
            </w:pPr>
            <w:r/>
            <w:r>
              <w:rPr>
                <w:sz w:val="18"/>
              </w:rPr>
              <w:t>50 %</w:t>
            </w:r>
          </w:p>
        </w:tc>
      </w:tr>
      <w:tr>
        <w:tc>
          <w:tcPr>
            <w:tcW w:type="dxa" w:w="3118"/>
          </w:tcPr>
          <w:p>
            <w:pPr>
              <w:spacing w:after="40"/>
            </w:pPr>
            <w:r/>
            <w:r>
              <w:rPr>
                <w:sz w:val="18"/>
              </w:rPr>
              <w:t>Sonido</w:t>
            </w:r>
          </w:p>
        </w:tc>
        <w:tc>
          <w:tcPr>
            <w:tcW w:type="dxa" w:w="1247"/>
          </w:tcPr>
          <w:p>
            <w:pPr>
              <w:spacing w:after="40"/>
            </w:pPr>
            <w:r/>
            <w:r>
              <w:rPr>
                <w:sz w:val="18"/>
              </w:rPr>
              <w:t>14</w:t>
            </w:r>
          </w:p>
        </w:tc>
        <w:tc>
          <w:tcPr>
            <w:tcW w:type="dxa" w:w="1247"/>
          </w:tcPr>
          <w:p>
            <w:pPr>
              <w:spacing w:after="40"/>
            </w:pPr>
            <w:r/>
            <w:r>
              <w:rPr>
                <w:sz w:val="18"/>
              </w:rPr>
              <w:t>0</w:t>
            </w:r>
          </w:p>
        </w:tc>
        <w:tc>
          <w:tcPr>
            <w:tcW w:type="dxa" w:w="1247"/>
          </w:tcPr>
          <w:p>
            <w:pPr>
              <w:spacing w:after="40"/>
            </w:pPr>
            <w:r/>
            <w:r>
              <w:rPr>
                <w:sz w:val="18"/>
              </w:rPr>
              <w:t>14</w:t>
            </w:r>
          </w:p>
        </w:tc>
        <w:tc>
          <w:tcPr>
            <w:tcW w:type="dxa" w:w="1361"/>
          </w:tcPr>
          <w:p>
            <w:pPr>
              <w:spacing w:after="40"/>
            </w:pPr>
            <w:r/>
            <w:r>
              <w:rPr>
                <w:sz w:val="18"/>
              </w:rPr>
              <w:t>100 %</w:t>
            </w:r>
          </w:p>
        </w:tc>
      </w:tr>
      <w:tr>
        <w:tc>
          <w:tcPr>
            <w:tcW w:type="dxa" w:w="3118"/>
          </w:tcPr>
          <w:p>
            <w:pPr>
              <w:spacing w:after="40"/>
            </w:pPr>
            <w:r/>
            <w:r>
              <w:rPr>
                <w:sz w:val="18"/>
              </w:rPr>
              <w:t>TOTAL</w:t>
            </w:r>
          </w:p>
        </w:tc>
        <w:tc>
          <w:tcPr>
            <w:tcW w:type="dxa" w:w="1247"/>
          </w:tcPr>
          <w:p>
            <w:pPr>
              <w:spacing w:after="40"/>
            </w:pPr>
            <w:r/>
            <w:r>
              <w:rPr>
                <w:sz w:val="18"/>
              </w:rPr>
              <w:t>131</w:t>
            </w:r>
          </w:p>
        </w:tc>
        <w:tc>
          <w:tcPr>
            <w:tcW w:type="dxa" w:w="1247"/>
          </w:tcPr>
          <w:p>
            <w:pPr>
              <w:spacing w:after="40"/>
            </w:pPr>
            <w:r/>
            <w:r>
              <w:rPr>
                <w:sz w:val="18"/>
              </w:rPr>
              <w:t>27</w:t>
            </w:r>
          </w:p>
        </w:tc>
        <w:tc>
          <w:tcPr>
            <w:tcW w:type="dxa" w:w="1247"/>
          </w:tcPr>
          <w:p>
            <w:pPr>
              <w:spacing w:after="40"/>
            </w:pPr>
            <w:r/>
            <w:r>
              <w:rPr>
                <w:sz w:val="18"/>
              </w:rPr>
              <w:t>158</w:t>
            </w:r>
          </w:p>
        </w:tc>
        <w:tc>
          <w:tcPr>
            <w:tcW w:type="dxa" w:w="1361"/>
          </w:tcPr>
          <w:p>
            <w:pPr>
              <w:spacing w:after="40"/>
            </w:pPr>
            <w:r/>
            <w:r>
              <w:rPr>
                <w:sz w:val="18"/>
              </w:rPr>
              <w:t>83 %</w:t>
            </w:r>
          </w:p>
        </w:tc>
      </w:tr>
    </w:tbl>
    <w:p>
      <w:pPr>
        <w:spacing w:after="40"/>
      </w:pPr>
    </w:p>
    <w:p>
      <w:pPr>
        <w:spacing w:after="160"/>
        <w:jc w:val="both"/>
      </w:pPr>
      <w:r>
        <w:rPr>
          <w:b w:val="0"/>
          <w:i w:val="0"/>
        </w:rPr>
      </w:r>
    </w:p>
    <w:p>
      <w:pPr>
        <w:spacing w:after="160"/>
        <w:jc w:val="both"/>
      </w:pPr>
      <w:r>
        <w:rPr>
          <w:b w:val="0"/>
          <w:i w:val="0"/>
        </w:rPr>
        <w:t>Seis de las ocho áreas están cerradas. De las 27 actividades pendientes, 23 son de QA, documentación y gestión: el 85 %. Al cerrarse interfaz y sonido la concentración empeoró en proporción aunque bajara en número absoluto. Es la misma concentración que el análisis de ruta crítica señaló en septiembre, y la baja del riesgo R14 la agravó al dejar la dirección y la coordinación dentro de QA.</w:t>
      </w:r>
    </w:p>
    <w:p>
      <w:pPr>
        <w:pStyle w:val="Heading1"/>
      </w:pPr>
      <w:r>
        <w:t>6. Hitos alcanzados</w:t>
      </w:r>
    </w:p>
    <w:p>
      <w:pPr>
        <w:spacing w:after="160"/>
        <w:jc w:val="both"/>
      </w:pPr>
      <w:r>
        <w:rPr>
          <w:b w:val="0"/>
          <w:i w:val="0"/>
        </w:rPr>
        <w:t>Un hito no es una tarea terminada: es un punto a partir del cual el proyecto puede hacer algo que antes no podía. Por eso cada uno dice qué habilita y no solo qué se hizo. De las 158 actividades del cronograma hay 131 cerradas; estos son los 12 momentos en que el proyecto cambió de estado.</w:t>
      </w:r>
    </w:p>
    <w:p>
      <w:pPr>
        <w:spacing w:after="160"/>
        <w:jc w:val="both"/>
      </w:pPr>
      <w:r>
        <w:rPr>
          <w:b w:val="0"/>
          <w:i w:val="0"/>
        </w:rPr>
      </w:r>
    </w:p>
    <w:p>
      <w:pPr>
        <w:spacing w:after="160"/>
        <w:jc w:val="both"/>
      </w:pPr>
      <w:r>
        <w:rPr>
          <w:b w:val="0"/>
          <w:i w:val="0"/>
        </w:rPr>
        <w:t>Las fechas son las de la evidencia, no las del plan. El hito de latencia estaba fechado en la semana 4, el 25 de septiembre, y se cerró el 17 de octubre: tres semanas tarde. Ponerlo en su fecha real es lo que permite ver dónde se gastó la holgura.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850"/>
          </w:tcPr>
          <w:p>
            <w:pPr>
              <w:spacing w:after="40"/>
              <w:jc w:val="center"/>
            </w:pPr>
            <w:r/>
            <w:r>
              <w:rPr>
                <w:b/>
                <w:sz w:val="16"/>
              </w:rPr>
              <w:t>Fecha</w:t>
            </w:r>
          </w:p>
        </w:tc>
        <w:tc>
          <w:tcPr>
            <w:tcW w:type="dxa" w:w="1871"/>
          </w:tcPr>
          <w:p>
            <w:pPr>
              <w:spacing w:after="40"/>
              <w:jc w:val="center"/>
            </w:pPr>
            <w:r/>
            <w:r>
              <w:rPr>
                <w:b/>
                <w:sz w:val="16"/>
              </w:rPr>
              <w:t>Hito</w:t>
            </w:r>
          </w:p>
        </w:tc>
        <w:tc>
          <w:tcPr>
            <w:tcW w:type="dxa" w:w="2835"/>
          </w:tcPr>
          <w:p>
            <w:pPr>
              <w:spacing w:after="40"/>
              <w:jc w:val="center"/>
            </w:pPr>
            <w:r/>
            <w:r>
              <w:rPr>
                <w:b/>
                <w:sz w:val="16"/>
              </w:rPr>
              <w:t>Qué habilita</w:t>
            </w:r>
          </w:p>
        </w:tc>
        <w:tc>
          <w:tcPr>
            <w:tcW w:type="dxa" w:w="3231"/>
          </w:tcPr>
          <w:p>
            <w:pPr>
              <w:spacing w:after="40"/>
              <w:jc w:val="center"/>
            </w:pPr>
            <w:r/>
            <w:r>
              <w:rPr>
                <w:b/>
                <w:sz w:val="16"/>
              </w:rPr>
              <w:t>Evidencia</w:t>
            </w:r>
          </w:p>
        </w:tc>
      </w:tr>
      <w:tr>
        <w:tc>
          <w:tcPr>
            <w:tcW w:type="dxa" w:w="850"/>
          </w:tcPr>
          <w:p>
            <w:pPr>
              <w:spacing w:after="40"/>
            </w:pPr>
            <w:r/>
            <w:r>
              <w:rPr>
                <w:sz w:val="16"/>
              </w:rPr>
              <w:t>2026-09-16</w:t>
            </w:r>
          </w:p>
        </w:tc>
        <w:tc>
          <w:tcPr>
            <w:tcW w:type="dxa" w:w="1871"/>
          </w:tcPr>
          <w:p>
            <w:pPr>
              <w:spacing w:after="40"/>
            </w:pPr>
            <w:r/>
            <w:r>
              <w:rPr>
                <w:sz w:val="16"/>
              </w:rPr>
              <w:t>El pad suena al golpearlo</w:t>
            </w:r>
          </w:p>
        </w:tc>
        <w:tc>
          <w:tcPr>
            <w:tcW w:type="dxa" w:w="2835"/>
          </w:tcPr>
          <w:p>
            <w:pPr>
              <w:spacing w:after="40"/>
            </w:pPr>
            <w:r/>
            <w:r>
              <w:rPr>
                <w:sz w:val="16"/>
              </w:rPr>
              <w:t>Habilita medir latencia, que es el riesgo dominante del acta. Sin un golpe que suene no hay nada que cronometrar.</w:t>
            </w:r>
          </w:p>
        </w:tc>
        <w:tc>
          <w:tcPr>
            <w:tcW w:type="dxa" w:w="3231"/>
          </w:tcPr>
          <w:p>
            <w:pPr>
              <w:spacing w:after="40"/>
            </w:pPr>
            <w:r/>
            <w:r>
              <w:rPr>
                <w:sz w:val="16"/>
              </w:rPr>
              <w:t>Capitulo 4 cerrado: deteccion por plano armado, haptico y volumen segun la fuerza del golpe. 21 pruebas EditMode en verde.</w:t>
            </w:r>
          </w:p>
        </w:tc>
      </w:tr>
      <w:tr>
        <w:tc>
          <w:tcPr>
            <w:tcW w:type="dxa" w:w="850"/>
          </w:tcPr>
          <w:p>
            <w:pPr>
              <w:spacing w:after="40"/>
            </w:pPr>
            <w:r/>
            <w:r>
              <w:rPr>
                <w:sz w:val="16"/>
              </w:rPr>
              <w:t>2026-10-17</w:t>
            </w:r>
          </w:p>
        </w:tc>
        <w:tc>
          <w:tcPr>
            <w:tcW w:type="dxa" w:w="1871"/>
          </w:tcPr>
          <w:p>
            <w:pPr>
              <w:spacing w:after="40"/>
            </w:pPr>
            <w:r/>
            <w:r>
              <w:rPr>
                <w:sz w:val="16"/>
              </w:rPr>
              <w:t>Latencia por debajo de 30 ms  [HITO GO/NO-GO DEL ACTA]</w:t>
            </w:r>
          </w:p>
        </w:tc>
        <w:tc>
          <w:tcPr>
            <w:tcW w:type="dxa" w:w="2835"/>
          </w:tcPr>
          <w:p>
            <w:pPr>
              <w:spacing w:after="40"/>
            </w:pPr>
            <w:r/>
            <w:r>
              <w:rPr>
                <w:sz w:val="16"/>
              </w:rPr>
              <w:t>Cierra la medida de exito 4 y despeja el riesgo dominante. Si hubiera fallado, el valor terapeutico se caia y el proyecto habria tenido que replantearse.</w:t>
            </w:r>
          </w:p>
        </w:tc>
        <w:tc>
          <w:tcPr>
            <w:tcW w:type="dxa" w:w="3231"/>
          </w:tcPr>
          <w:p>
            <w:pPr>
              <w:spacing w:after="40"/>
            </w:pPr>
            <w:r/>
            <w:r>
              <w:rPr>
                <w:sz w:val="16"/>
              </w:rPr>
              <w:t>Protocolo del clic fisico: p90 de +4.07 ms contra una ventana de -10 a +25 ms. Ocho corridas en entregables/mediciones/latencia_20261017_*.json. El acta lo fechaba en la semana 4, el 25 de septiembre: se cerro con tres semanas de retraso.</w:t>
            </w:r>
          </w:p>
        </w:tc>
      </w:tr>
      <w:tr>
        <w:tc>
          <w:tcPr>
            <w:tcW w:type="dxa" w:w="850"/>
          </w:tcPr>
          <w:p>
            <w:pPr>
              <w:spacing w:after="40"/>
            </w:pPr>
            <w:r/>
            <w:r>
              <w:rPr>
                <w:sz w:val="16"/>
              </w:rPr>
              <w:t>2026-10-17</w:t>
            </w:r>
          </w:p>
        </w:tc>
        <w:tc>
          <w:tcPr>
            <w:tcW w:type="dxa" w:w="1871"/>
          </w:tcPr>
          <w:p>
            <w:pPr>
              <w:spacing w:after="40"/>
            </w:pPr>
            <w:r/>
            <w:r>
              <w:rPr>
                <w:sz w:val="16"/>
              </w:rPr>
              <w:t>Reloj musical sin deriva</w:t>
            </w:r>
          </w:p>
        </w:tc>
        <w:tc>
          <w:tcPr>
            <w:tcW w:type="dxa" w:w="2835"/>
          </w:tcPr>
          <w:p>
            <w:pPr>
              <w:spacing w:after="40"/>
            </w:pPr>
            <w:r/>
            <w:r>
              <w:rPr>
                <w:sz w:val="16"/>
              </w:rPr>
              <w:t>Habilita todo el juego de ritmo. Un reloj que se desvia hace que el beatmap se despegue de la musica, y entonces lo que se mide es el reloj y no al jugador.</w:t>
            </w:r>
          </w:p>
        </w:tc>
        <w:tc>
          <w:tcPr>
            <w:tcW w:type="dxa" w:w="3231"/>
          </w:tcPr>
          <w:p>
            <w:pPr>
              <w:spacing w:after="40"/>
            </w:pPr>
            <w:r/>
            <w:r>
              <w:rPr>
                <w:sz w:val="16"/>
              </w:rPr>
              <w:t>Desvio de 0.0 ms sostenido durante 205 segundos contra un metronomo de 120 BPM exactos, generado y no buscado. El criterio era menos de 20 ms sin crecer.</w:t>
            </w:r>
          </w:p>
        </w:tc>
      </w:tr>
      <w:tr>
        <w:tc>
          <w:tcPr>
            <w:tcW w:type="dxa" w:w="850"/>
          </w:tcPr>
          <w:p>
            <w:pPr>
              <w:spacing w:after="40"/>
            </w:pPr>
            <w:r/>
            <w:r>
              <w:rPr>
                <w:sz w:val="16"/>
              </w:rPr>
              <w:t>2026-10-17</w:t>
            </w:r>
          </w:p>
        </w:tc>
        <w:tc>
          <w:tcPr>
            <w:tcW w:type="dxa" w:w="1871"/>
          </w:tcPr>
          <w:p>
            <w:pPr>
              <w:spacing w:after="40"/>
            </w:pPr>
            <w:r/>
            <w:r>
              <w:rPr>
                <w:sz w:val="16"/>
              </w:rPr>
              <w:t>Juego de ritmo jugable</w:t>
            </w:r>
          </w:p>
        </w:tc>
        <w:tc>
          <w:tcPr>
            <w:tcW w:type="dxa" w:w="2835"/>
          </w:tcPr>
          <w:p>
            <w:pPr>
              <w:spacing w:after="40"/>
            </w:pPr>
            <w:r/>
            <w:r>
              <w:rPr>
                <w:sz w:val="16"/>
              </w:rPr>
              <w:t>Habilita las pruebas con usuarios: a partir de aqui hay algo que jugar de principio a fin, no una demostracion de piezas suelta.</w:t>
            </w:r>
          </w:p>
        </w:tc>
        <w:tc>
          <w:tcPr>
            <w:tcW w:type="dxa" w:w="3231"/>
          </w:tcPr>
          <w:p>
            <w:pPr>
              <w:spacing w:after="40"/>
            </w:pPr>
            <w:r/>
            <w:r>
              <w:rPr>
                <w:sz w:val="16"/>
              </w:rPr>
              <w:t>Beatmap sobre musica real medida, juicio en milisegundos y no en fracciones de pulso, marcador y veredicto sobre el pad golpeado. 79 pruebas en verde.</w:t>
            </w:r>
          </w:p>
        </w:tc>
      </w:tr>
      <w:tr>
        <w:tc>
          <w:tcPr>
            <w:tcW w:type="dxa" w:w="850"/>
          </w:tcPr>
          <w:p>
            <w:pPr>
              <w:spacing w:after="40"/>
            </w:pPr>
            <w:r/>
            <w:r>
              <w:rPr>
                <w:sz w:val="16"/>
              </w:rPr>
              <w:t>2026-10-18</w:t>
            </w:r>
          </w:p>
        </w:tc>
        <w:tc>
          <w:tcPr>
            <w:tcW w:type="dxa" w:w="1871"/>
          </w:tcPr>
          <w:p>
            <w:pPr>
              <w:spacing w:after="40"/>
            </w:pPr>
            <w:r/>
            <w:r>
              <w:rPr>
                <w:sz w:val="16"/>
              </w:rPr>
              <w:t>72 fps sostenidos en el visor</w:t>
            </w:r>
          </w:p>
        </w:tc>
        <w:tc>
          <w:tcPr>
            <w:tcW w:type="dxa" w:w="2835"/>
          </w:tcPr>
          <w:p>
            <w:pPr>
              <w:spacing w:after="40"/>
            </w:pPr>
            <w:r/>
            <w:r>
              <w:rPr>
                <w:sz w:val="16"/>
              </w:rPr>
              <w:t>Cierra la medida de exito 5. Por debajo de la frecuencia del panel la experiencia produce malestar, asi que es tambien condicion de la medida 10.</w:t>
            </w:r>
          </w:p>
        </w:tc>
        <w:tc>
          <w:tcPr>
            <w:tcW w:type="dxa" w:w="3231"/>
          </w:tcPr>
          <w:p>
            <w:pPr>
              <w:spacing w:after="40"/>
            </w:pPr>
            <w:r/>
            <w:r>
              <w:rPr>
                <w:sz w:val="16"/>
              </w:rPr>
              <w:t>12949 fotogramas medidos en el visor: 12946 en vsync, 3 vsync perdidos. 0.02 % contra un criterio del 5 %. entregables/mediciones/fps_20261018_060703.json</w:t>
            </w:r>
          </w:p>
        </w:tc>
      </w:tr>
      <w:tr>
        <w:tc>
          <w:tcPr>
            <w:tcW w:type="dxa" w:w="850"/>
          </w:tcPr>
          <w:p>
            <w:pPr>
              <w:spacing w:after="40"/>
            </w:pPr>
            <w:r/>
            <w:r>
              <w:rPr>
                <w:sz w:val="16"/>
              </w:rPr>
              <w:t>2026-10-18</w:t>
            </w:r>
          </w:p>
        </w:tc>
        <w:tc>
          <w:tcPr>
            <w:tcW w:type="dxa" w:w="1871"/>
          </w:tcPr>
          <w:p>
            <w:pPr>
              <w:spacing w:after="40"/>
            </w:pPr>
            <w:r/>
            <w:r>
              <w:rPr>
                <w:sz w:val="16"/>
              </w:rPr>
              <w:t>Metricas de sesion en JSON</w:t>
            </w:r>
          </w:p>
        </w:tc>
        <w:tc>
          <w:tcPr>
            <w:tcW w:type="dxa" w:w="2835"/>
          </w:tcPr>
          <w:p>
            <w:pPr>
              <w:spacing w:after="40"/>
            </w:pPr>
            <w:r/>
            <w:r>
              <w:rPr>
                <w:sz w:val="16"/>
              </w:rPr>
              <w:t>Cierra la medida de exito 9, que estaba en cero, y es la materia prima del informe final: sin los desfases crudos no se puede reanalizar nada.</w:t>
            </w:r>
          </w:p>
        </w:tc>
        <w:tc>
          <w:tcPr>
            <w:tcW w:type="dxa" w:w="3231"/>
          </w:tcPr>
          <w:p>
            <w:pPr>
              <w:spacing w:after="40"/>
            </w:pPr>
            <w:r/>
            <w:r>
              <w:rPr>
                <w:sz w:val="16"/>
              </w:rPr>
              <w:t>Dos constancias distintas y no una: contra la rejilla y propia. Se puede ir 30 ms atrasado todo el tiempo y tener un pulso perfectamente estable, y hay una prueba que impide implementarlas iguales.</w:t>
            </w:r>
          </w:p>
        </w:tc>
      </w:tr>
      <w:tr>
        <w:tc>
          <w:tcPr>
            <w:tcW w:type="dxa" w:w="850"/>
          </w:tcPr>
          <w:p>
            <w:pPr>
              <w:spacing w:after="40"/>
            </w:pPr>
            <w:r/>
            <w:r>
              <w:rPr>
                <w:sz w:val="16"/>
              </w:rPr>
              <w:t>2026-10-18</w:t>
            </w:r>
          </w:p>
        </w:tc>
        <w:tc>
          <w:tcPr>
            <w:tcW w:type="dxa" w:w="1871"/>
          </w:tcPr>
          <w:p>
            <w:pPr>
              <w:spacing w:after="40"/>
            </w:pPr>
            <w:r/>
            <w:r>
              <w:rPr>
                <w:sz w:val="16"/>
              </w:rPr>
              <w:t>Entorno de bosque al amanecer</w:t>
            </w:r>
          </w:p>
        </w:tc>
        <w:tc>
          <w:tcPr>
            <w:tcW w:type="dxa" w:w="2835"/>
          </w:tcPr>
          <w:p>
            <w:pPr>
              <w:spacing w:after="40"/>
            </w:pPr>
            <w:r/>
            <w:r>
              <w:rPr>
                <w:sz w:val="16"/>
              </w:rPr>
              <w:t>Habilita el encuadre emocional. Un escenario de concierto empuja a la activacion, que es lo contrario de lo que el proyecto busca.</w:t>
            </w:r>
          </w:p>
        </w:tc>
        <w:tc>
          <w:tcPr>
            <w:tcW w:type="dxa" w:w="3231"/>
          </w:tcPr>
          <w:p>
            <w:pPr>
              <w:spacing w:after="40"/>
            </w:pPr>
            <w:r/>
            <w:r>
              <w:rPr>
                <w:sz w:val="16"/>
              </w:rPr>
              <w:t>Assets libres con su licencia verificada una por una, dos regimenes distintos, atribucion en entregables/ATRIBUCION_entorno.txt. Sostiene los 72 fps.</w:t>
            </w:r>
          </w:p>
        </w:tc>
      </w:tr>
      <w:tr>
        <w:tc>
          <w:tcPr>
            <w:tcW w:type="dxa" w:w="850"/>
          </w:tcPr>
          <w:p>
            <w:pPr>
              <w:spacing w:after="40"/>
            </w:pPr>
            <w:r/>
            <w:r>
              <w:rPr>
                <w:sz w:val="16"/>
              </w:rPr>
              <w:t>2026-10-19</w:t>
            </w:r>
          </w:p>
        </w:tc>
        <w:tc>
          <w:tcPr>
            <w:tcW w:type="dxa" w:w="1871"/>
          </w:tcPr>
          <w:p>
            <w:pPr>
              <w:spacing w:after="40"/>
            </w:pPr>
            <w:r/>
            <w:r>
              <w:rPr>
                <w:sz w:val="16"/>
              </w:rPr>
              <w:t>Kit de siete piezas</w:t>
            </w:r>
          </w:p>
        </w:tc>
        <w:tc>
          <w:tcPr>
            <w:tcW w:type="dxa" w:w="2835"/>
          </w:tcPr>
          <w:p>
            <w:pPr>
              <w:spacing w:after="40"/>
            </w:pPr>
            <w:r/>
            <w:r>
              <w:rPr>
                <w:sz w:val="16"/>
              </w:rPr>
              <w:t>Cierra el area de sonido: con el crash y el ride ya no falta ninguna pieza del kit.</w:t>
            </w:r>
          </w:p>
        </w:tc>
        <w:tc>
          <w:tcPr>
            <w:tcW w:type="dxa" w:w="3231"/>
          </w:tcPr>
          <w:p>
            <w:pPr>
              <w:spacing w:after="40"/>
            </w:pPr>
            <w:r/>
            <w:r>
              <w:rPr>
                <w:sz w:val="16"/>
              </w:rPr>
              <w:t>AVL Drumkits Red Zeppelin bajo CC BY-SA 3.0, cinco capas de velocidad por pieza. La separacion entre centros se calcula y hay una prueba que prohibe el solape: un golpe en la zona compartida disparaba dos piezas a la vez.</w:t>
            </w:r>
          </w:p>
        </w:tc>
      </w:tr>
      <w:tr>
        <w:tc>
          <w:tcPr>
            <w:tcW w:type="dxa" w:w="850"/>
          </w:tcPr>
          <w:p>
            <w:pPr>
              <w:spacing w:after="40"/>
            </w:pPr>
            <w:r/>
            <w:r>
              <w:rPr>
                <w:sz w:val="16"/>
              </w:rPr>
              <w:t>2026-10-19</w:t>
            </w:r>
          </w:p>
        </w:tc>
        <w:tc>
          <w:tcPr>
            <w:tcW w:type="dxa" w:w="1871"/>
          </w:tcPr>
          <w:p>
            <w:pPr>
              <w:spacing w:after="40"/>
            </w:pPr>
            <w:r/>
            <w:r>
              <w:rPr>
                <w:sz w:val="16"/>
              </w:rPr>
              <w:t>Flujo completo de la aplicacion</w:t>
            </w:r>
          </w:p>
        </w:tc>
        <w:tc>
          <w:tcPr>
            <w:tcW w:type="dxa" w:w="2835"/>
          </w:tcPr>
          <w:p>
            <w:pPr>
              <w:spacing w:after="40"/>
            </w:pPr>
            <w:r/>
            <w:r>
              <w:rPr>
                <w:sz w:val="16"/>
              </w:rPr>
              <w:t>Habilita QT.8, las pruebas con usuarios, que es la cola de la que depende el informe final. Era el ultimo bloqueo de esa cadena.</w:t>
            </w:r>
          </w:p>
        </w:tc>
        <w:tc>
          <w:tcPr>
            <w:tcW w:type="dxa" w:w="3231"/>
          </w:tcPr>
          <w:p>
            <w:pPr>
              <w:spacing w:after="40"/>
            </w:pPr>
            <w:r/>
            <w:r>
              <w:rPr>
                <w:sz w:val="16"/>
              </w:rPr>
              <w:t>Menu, tutorial, partida y pantalla de resultados, con FlujoApp como unico conductor y una tabla de transiciones probada sin escena.</w:t>
            </w:r>
          </w:p>
        </w:tc>
      </w:tr>
      <w:tr>
        <w:tc>
          <w:tcPr>
            <w:tcW w:type="dxa" w:w="850"/>
          </w:tcPr>
          <w:p>
            <w:pPr>
              <w:spacing w:after="40"/>
            </w:pPr>
            <w:r/>
            <w:r>
              <w:rPr>
                <w:sz w:val="16"/>
              </w:rPr>
              <w:t>2026-10-20</w:t>
            </w:r>
          </w:p>
        </w:tc>
        <w:tc>
          <w:tcPr>
            <w:tcW w:type="dxa" w:w="1871"/>
          </w:tcPr>
          <w:p>
            <w:pPr>
              <w:spacing w:after="40"/>
            </w:pPr>
            <w:r/>
            <w:r>
              <w:rPr>
                <w:sz w:val="16"/>
              </w:rPr>
              <w:t>Diagnostico que sobrevive al visor</w:t>
            </w:r>
          </w:p>
        </w:tc>
        <w:tc>
          <w:tcPr>
            <w:tcW w:type="dxa" w:w="2835"/>
          </w:tcPr>
          <w:p>
            <w:pPr>
              <w:spacing w:after="40"/>
            </w:pPr>
            <w:r/>
            <w:r>
              <w:rPr>
                <w:sz w:val="16"/>
              </w:rPr>
              <w:t>Habilita depurar en el Quest. Antes de esto, un fallo en el visor no dejaba ningun rastro y cada hipotesis costaba compilar, instalar, ponerse el visor y volver.</w:t>
            </w:r>
          </w:p>
        </w:tc>
        <w:tc>
          <w:tcPr>
            <w:tcW w:type="dxa" w:w="3231"/>
          </w:tcPr>
          <w:p>
            <w:pPr>
              <w:spacing w:after="40"/>
            </w:pPr>
            <w:r/>
            <w:r>
              <w:rPr>
                <w:sz w:val="16"/>
              </w:rPr>
              <w:t>Debug.Log NO llega a logcat en el Quest, verificado contra 293 lineas de log sin una sola entrada de Unity, y las excepciones comparten ese canal. La Traza escribe a archivo y se recoge con el mismo quest.sh pull que trae las metricas.</w:t>
            </w:r>
          </w:p>
        </w:tc>
      </w:tr>
      <w:tr>
        <w:tc>
          <w:tcPr>
            <w:tcW w:type="dxa" w:w="850"/>
          </w:tcPr>
          <w:p>
            <w:pPr>
              <w:spacing w:after="40"/>
            </w:pPr>
            <w:r/>
            <w:r>
              <w:rPr>
                <w:sz w:val="16"/>
              </w:rPr>
              <w:t>2026-10-20</w:t>
            </w:r>
          </w:p>
        </w:tc>
        <w:tc>
          <w:tcPr>
            <w:tcW w:type="dxa" w:w="1871"/>
          </w:tcPr>
          <w:p>
            <w:pPr>
              <w:spacing w:after="40"/>
            </w:pPr>
            <w:r/>
            <w:r>
              <w:rPr>
                <w:sz w:val="16"/>
              </w:rPr>
              <w:t>El montaje de la escena se verifica en batchmode</w:t>
            </w:r>
          </w:p>
        </w:tc>
        <w:tc>
          <w:tcPr>
            <w:tcW w:type="dxa" w:w="2835"/>
          </w:tcPr>
          <w:p>
            <w:pPr>
              <w:spacing w:after="40"/>
            </w:pPr>
            <w:r/>
            <w:r>
              <w:rPr>
                <w:sz w:val="16"/>
              </w:rPr>
              <w:t>Habilita corregir cableado sin gastar sesiones de visor. Cinco pruebas de un solo dia se habian ido en defectos de cableado y no de diseno.</w:t>
            </w:r>
          </w:p>
        </w:tc>
        <w:tc>
          <w:tcPr>
            <w:tcW w:type="dxa" w:w="3231"/>
          </w:tcPr>
          <w:p>
            <w:pPr>
              <w:spacing w:after="40"/>
            </w:pPr>
            <w:r/>
            <w:r>
              <w:rPr>
                <w:sz w:val="16"/>
              </w:rPr>
              <w:t>EscenaCompletaTests comprueba el montaje entero: que no queden andamios, que cada pad tenga geometria, que ningun componente ignore una pieza del kit y que los valores afinados hayan llegado de verdad a la escena.</w:t>
            </w:r>
          </w:p>
        </w:tc>
      </w:tr>
      <w:tr>
        <w:tc>
          <w:tcPr>
            <w:tcW w:type="dxa" w:w="850"/>
          </w:tcPr>
          <w:p>
            <w:pPr>
              <w:spacing w:after="40"/>
            </w:pPr>
            <w:r/>
            <w:r>
              <w:rPr>
                <w:sz w:val="16"/>
              </w:rPr>
              <w:t>2026-10-21</w:t>
            </w:r>
          </w:p>
        </w:tc>
        <w:tc>
          <w:tcPr>
            <w:tcW w:type="dxa" w:w="1871"/>
          </w:tcPr>
          <w:p>
            <w:pPr>
              <w:spacing w:after="40"/>
            </w:pPr>
            <w:r/>
            <w:r>
              <w:rPr>
                <w:sz w:val="16"/>
              </w:rPr>
              <w:t>Pistas de practica y pistas visuales de anticipacion</w:t>
            </w:r>
          </w:p>
        </w:tc>
        <w:tc>
          <w:tcPr>
            <w:tcW w:type="dxa" w:w="2835"/>
          </w:tcPr>
          <w:p>
            <w:pPr>
              <w:spacing w:after="40"/>
            </w:pPr>
            <w:r/>
            <w:r>
              <w:rPr>
                <w:sz w:val="16"/>
              </w:rPr>
              <w:t>Habilita practicar sin musica y leer el ritmo sin levantar la vista del pad, que es lo que la prueba con usuarios va a medir.</w:t>
            </w:r>
          </w:p>
        </w:tc>
        <w:tc>
          <w:tcPr>
            <w:tcW w:type="dxa" w:w="3231"/>
          </w:tcPr>
          <w:p>
            <w:pPr>
              <w:spacing w:after="40"/>
            </w:pPr>
            <w:r/>
            <w:r>
              <w:rPr>
                <w:sz w:val="16"/>
              </w:rPr>
              <w:t>Cuatro pistas de practica de 80 a 120 BPM. Aro de cuenta atras sobre cada pad con el veredicto en el borde, acumulando hasta cuatro notas seguidas, y aviso en el borde de la vision para las piezas que quedan fuera del campo de vision.</w:t>
            </w:r>
          </w:p>
        </w:tc>
      </w:tr>
    </w:tbl>
    <w:p>
      <w:pPr>
        <w:spacing w:after="40"/>
      </w:pPr>
    </w:p>
    <w:p>
      <w:pPr>
        <w:spacing w:after="160"/>
        <w:jc w:val="both"/>
      </w:pPr>
      <w:r>
        <w:rPr>
          <w:b w:val="0"/>
          <w:i w:val="0"/>
        </w:rPr>
      </w:r>
    </w:p>
    <w:p>
      <w:pPr>
        <w:spacing w:after="160"/>
        <w:jc w:val="both"/>
      </w:pPr>
      <w:r>
        <w:rPr>
          <w:b w:val="0"/>
          <w:i w:val="0"/>
        </w:rPr>
        <w:t>El cronograma marca además 21 hitos formales de duración cero, de los que 17 están cerrados. Conviene revisarlos tras cada guardado desde ProjectLibre: la herramienta deriva el porcentaje de la duración, así que un hito sin duración vuelve a cero solo. Para eso está scripts/hitos.py.</w:t>
      </w:r>
    </w:p>
    <w:p>
      <w:pPr>
        <w:pStyle w:val="Heading1"/>
      </w:pPr>
      <w:r>
        <w:t>7. Qué hace el prototipo</w:t>
      </w:r>
    </w:p>
    <w:tbl>
      <w:tblPr>
        <w:tblStyle w:val="TableGrid"/>
        <w:tblW w:type="auto" w:w="0"/>
        <w:jc w:val="center"/>
        <w:tblLayout w:type="fixed"/>
        <w:tblLook w:firstColumn="1" w:firstRow="1" w:lastColumn="0" w:lastRow="0" w:noHBand="0" w:noVBand="1" w:val="04A0"/>
      </w:tblPr>
      <w:tblGrid>
        <w:gridCol w:w="4703"/>
        <w:gridCol w:w="4703"/>
      </w:tblGrid>
      <w:tr>
        <w:tc>
          <w:tcPr>
            <w:tcW w:type="dxa" w:w="2381"/>
          </w:tcPr>
          <w:p>
            <w:pPr>
              <w:spacing w:after="40"/>
              <w:jc w:val="center"/>
            </w:pPr>
            <w:r/>
            <w:r>
              <w:rPr>
                <w:b/>
                <w:sz w:val="18"/>
              </w:rPr>
              <w:t>Pieza</w:t>
            </w:r>
          </w:p>
        </w:tc>
        <w:tc>
          <w:tcPr>
            <w:tcW w:type="dxa" w:w="6406"/>
          </w:tcPr>
          <w:p>
            <w:pPr>
              <w:spacing w:after="40"/>
              <w:jc w:val="center"/>
            </w:pPr>
            <w:r/>
            <w:r>
              <w:rPr>
                <w:b/>
                <w:sz w:val="18"/>
              </w:rPr>
              <w:t>Estado verificado</w:t>
            </w:r>
          </w:p>
        </w:tc>
      </w:tr>
      <w:tr>
        <w:tc>
          <w:tcPr>
            <w:tcW w:type="dxa" w:w="2381"/>
          </w:tcPr>
          <w:p>
            <w:pPr>
              <w:spacing w:after="40"/>
            </w:pPr>
            <w:r/>
            <w:r>
              <w:rPr>
                <w:sz w:val="18"/>
              </w:rPr>
              <w:t>Reloj musical sin deriva</w:t>
            </w:r>
          </w:p>
        </w:tc>
        <w:tc>
          <w:tcPr>
            <w:tcW w:type="dxa" w:w="6406"/>
          </w:tcPr>
          <w:p>
            <w:pPr>
              <w:spacing w:after="40"/>
            </w:pPr>
            <w:r/>
            <w:r>
              <w:rPr>
                <w:sz w:val="18"/>
              </w:rPr>
              <w:t>Desvio de 0.0 ms sostenido durante 205 segundos contra un metronomo de 120 BPM exactos. El criterio era menos de 20 ms sin crecer.</w:t>
            </w:r>
          </w:p>
        </w:tc>
      </w:tr>
      <w:tr>
        <w:tc>
          <w:tcPr>
            <w:tcW w:type="dxa" w:w="2381"/>
          </w:tcPr>
          <w:p>
            <w:pPr>
              <w:spacing w:after="40"/>
            </w:pPr>
            <w:r/>
            <w:r>
              <w:rPr>
                <w:sz w:val="18"/>
              </w:rPr>
              <w:t>Juego de ritmo jugable</w:t>
            </w:r>
          </w:p>
        </w:tc>
        <w:tc>
          <w:tcPr>
            <w:tcW w:type="dxa" w:w="6406"/>
          </w:tcPr>
          <w:p>
            <w:pPr>
              <w:spacing w:after="40"/>
            </w:pPr>
            <w:r/>
            <w:r>
              <w:rPr>
                <w:sz w:val="18"/>
              </w:rPr>
              <w:t>Beatmap sobre musica real medida. Ventanas de juicio en milisegundos y no en fracciones de pulso, porque la precision humana no escala con el tempo.</w:t>
            </w:r>
          </w:p>
        </w:tc>
      </w:tr>
      <w:tr>
        <w:tc>
          <w:tcPr>
            <w:tcW w:type="dxa" w:w="2381"/>
          </w:tcPr>
          <w:p>
            <w:pPr>
              <w:spacing w:after="40"/>
            </w:pPr>
            <w:r/>
            <w:r>
              <w:rPr>
                <w:sz w:val="18"/>
              </w:rPr>
              <w:t>Kit de siete piezas</w:t>
            </w:r>
          </w:p>
        </w:tc>
        <w:tc>
          <w:tcPr>
            <w:tcW w:type="dxa" w:w="6406"/>
          </w:tcPr>
          <w:p>
            <w:pPr>
              <w:spacing w:after="40"/>
            </w:pPr>
            <w:r/>
            <w:r>
              <w:rPr>
                <w:sz w:val="18"/>
              </w:rPr>
              <w:t>AVL Drumkits Red Zeppelin, CC BY-SA 3.0. Cinco capas de velocidad por pieza.</w:t>
            </w:r>
          </w:p>
        </w:tc>
      </w:tr>
      <w:tr>
        <w:tc>
          <w:tcPr>
            <w:tcW w:type="dxa" w:w="2381"/>
          </w:tcPr>
          <w:p>
            <w:pPr>
              <w:spacing w:after="40"/>
            </w:pPr>
            <w:r/>
            <w:r>
              <w:rPr>
                <w:sz w:val="18"/>
              </w:rPr>
              <w:t>Entorno de bosque al amanecer</w:t>
            </w:r>
          </w:p>
        </w:tc>
        <w:tc>
          <w:tcPr>
            <w:tcW w:type="dxa" w:w="6406"/>
          </w:tcPr>
          <w:p>
            <w:pPr>
              <w:spacing w:after="40"/>
            </w:pPr>
            <w:r/>
            <w:r>
              <w:rPr>
                <w:sz w:val="18"/>
              </w:rPr>
              <w:t>Assets libres, 72 fps sostenidos. Coherente con el enfoque emocional: un escenario de concierto empuja a la activacion, que es lo contrario de lo que se busca.</w:t>
            </w:r>
          </w:p>
        </w:tc>
      </w:tr>
      <w:tr>
        <w:tc>
          <w:tcPr>
            <w:tcW w:type="dxa" w:w="2381"/>
          </w:tcPr>
          <w:p>
            <w:pPr>
              <w:spacing w:after="40"/>
            </w:pPr>
            <w:r/>
            <w:r>
              <w:rPr>
                <w:sz w:val="18"/>
              </w:rPr>
              <w:t>Tutorial por demostracion</w:t>
            </w:r>
          </w:p>
        </w:tc>
        <w:tc>
          <w:tcPr>
            <w:tcW w:type="dxa" w:w="6406"/>
          </w:tcPr>
          <w:p>
            <w:pPr>
              <w:spacing w:after="40"/>
            </w:pPr>
            <w:r/>
            <w:r>
              <w:rPr>
                <w:sz w:val="18"/>
              </w:rPr>
              <w:t>Cuatro pasos con baqueta fantasma y rotulos. Registra intentos y tiempo por paso, que es la evidencia de la medida 6.</w:t>
            </w:r>
          </w:p>
        </w:tc>
      </w:tr>
      <w:tr>
        <w:tc>
          <w:tcPr>
            <w:tcW w:type="dxa" w:w="2381"/>
          </w:tcPr>
          <w:p>
            <w:pPr>
              <w:spacing w:after="40"/>
            </w:pPr>
            <w:r/>
            <w:r>
              <w:rPr>
                <w:sz w:val="18"/>
              </w:rPr>
              <w:t>Metricas de sesion</w:t>
            </w:r>
          </w:p>
        </w:tc>
        <w:tc>
          <w:tcPr>
            <w:tcW w:type="dxa" w:w="6406"/>
          </w:tcPr>
          <w:p>
            <w:pPr>
              <w:spacing w:after="40"/>
            </w:pPr>
            <w:r/>
            <w:r>
              <w:rPr>
                <w:sz w:val="18"/>
              </w:rPr>
              <w:t>Precision temporal y constancia del pulso, con los desfases crudos para poder reanalizar.</w:t>
            </w:r>
          </w:p>
        </w:tc>
      </w:tr>
    </w:tbl>
    <w:p>
      <w:pPr>
        <w:spacing w:after="40"/>
      </w:pPr>
    </w:p>
    <w:p>
      <w:pPr>
        <w:pStyle w:val="Heading1"/>
      </w:pPr>
      <w:r>
        <w:t>8. Lo que queda, por riesgo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7"/>
              </w:rPr>
              <w:t>Bloque</w:t>
            </w:r>
          </w:p>
        </w:tc>
        <w:tc>
          <w:tcPr>
            <w:tcW w:type="dxa" w:w="794"/>
          </w:tcPr>
          <w:p>
            <w:pPr>
              <w:spacing w:after="40"/>
              <w:jc w:val="center"/>
            </w:pPr>
            <w:r/>
            <w:r>
              <w:rPr>
                <w:b/>
                <w:sz w:val="17"/>
              </w:rPr>
              <w:t>Riesgo</w:t>
            </w:r>
          </w:p>
        </w:tc>
        <w:tc>
          <w:tcPr>
            <w:tcW w:type="dxa" w:w="4535"/>
          </w:tcPr>
          <w:p>
            <w:pPr>
              <w:spacing w:after="40"/>
              <w:jc w:val="center"/>
            </w:pPr>
            <w:r/>
            <w:r>
              <w:rPr>
                <w:b/>
                <w:sz w:val="17"/>
              </w:rPr>
              <w:t>Qué falta</w:t>
            </w:r>
          </w:p>
        </w:tc>
        <w:tc>
          <w:tcPr>
            <w:tcW w:type="dxa" w:w="1531"/>
          </w:tcPr>
          <w:p>
            <w:pPr>
              <w:spacing w:after="40"/>
              <w:jc w:val="center"/>
            </w:pPr>
            <w:r/>
            <w:r>
              <w:rPr>
                <w:b/>
                <w:sz w:val="17"/>
              </w:rPr>
              <w:t>Responsable</w:t>
            </w:r>
          </w:p>
        </w:tc>
      </w:tr>
      <w:tr>
        <w:tc>
          <w:tcPr>
            <w:tcW w:type="dxa" w:w="1928"/>
          </w:tcPr>
          <w:p>
            <w:pPr>
              <w:spacing w:after="40"/>
            </w:pPr>
            <w:r/>
            <w:r>
              <w:rPr>
                <w:sz w:val="17"/>
              </w:rPr>
              <w:t>La cadena que decide si el proyecto cierra</w:t>
            </w:r>
          </w:p>
        </w:tc>
        <w:tc>
          <w:tcPr>
            <w:tcW w:type="dxa" w:w="794"/>
          </w:tcPr>
          <w:p>
            <w:pPr>
              <w:spacing w:after="40"/>
            </w:pPr>
            <w:r/>
            <w:r>
              <w:rPr>
                <w:sz w:val="17"/>
              </w:rPr>
              <w:t>alto</w:t>
            </w:r>
          </w:p>
        </w:tc>
        <w:tc>
          <w:tcPr>
            <w:tcW w:type="dxa" w:w="4535"/>
          </w:tcPr>
          <w:p>
            <w:pPr>
              <w:spacing w:after="40"/>
            </w:pPr>
            <w:r/>
            <w:r>
              <w:rPr>
                <w:sz w:val="17"/>
              </w:rPr>
              <w:t>Flujo de la aplicacion acabado, pruebas con usuarios (QT.8), analisis de resultados y redaccion del informe final (QI.1 a QI.5). Es una cadena: nada empieza hasta que lo anterior termina, y el informe es la cola.</w:t>
            </w:r>
          </w:p>
        </w:tc>
        <w:tc>
          <w:tcPr>
            <w:tcW w:type="dxa" w:w="1531"/>
          </w:tcPr>
          <w:p>
            <w:pPr>
              <w:spacing w:after="40"/>
            </w:pPr>
            <w:r/>
            <w:r>
              <w:rPr>
                <w:sz w:val="17"/>
              </w:rPr>
              <w:t>Diana, con apoyo de gerencia</w:t>
            </w:r>
          </w:p>
        </w:tc>
      </w:tr>
      <w:tr>
        <w:tc>
          <w:tcPr>
            <w:tcW w:type="dxa" w:w="1928"/>
          </w:tcPr>
          <w:p>
            <w:pPr>
              <w:spacing w:after="40"/>
            </w:pPr>
            <w:r/>
            <w:r>
              <w:rPr>
                <w:sz w:val="17"/>
              </w:rPr>
              <w:t>Interfaz</w:t>
            </w:r>
          </w:p>
        </w:tc>
        <w:tc>
          <w:tcPr>
            <w:tcW w:type="dxa" w:w="794"/>
          </w:tcPr>
          <w:p>
            <w:pPr>
              <w:spacing w:after="40"/>
            </w:pPr>
            <w:r/>
            <w:r>
              <w:rPr>
                <w:sz w:val="17"/>
              </w:rPr>
              <w:t>bajo</w:t>
            </w:r>
          </w:p>
        </w:tc>
        <w:tc>
          <w:tcPr>
            <w:tcW w:type="dxa" w:w="4535"/>
          </w:tcPr>
          <w:p>
            <w:pPr>
              <w:spacing w:after="40"/>
            </w:pPr>
            <w:r/>
            <w:r>
              <w:rPr>
                <w:sz w:val="17"/>
              </w:rPr>
              <w:t>De nueve actividades queda UNA: el tutorial visual de como sujetar las baquetas (IT.1). Menu, botones con el control, pantalla de resultados y las dos revisiones de legibilidad y de paneles se cerraron el 20 de octubre con sus pruebas de escena.</w:t>
            </w:r>
          </w:p>
        </w:tc>
        <w:tc>
          <w:tcPr>
            <w:tcW w:type="dxa" w:w="1531"/>
          </w:tcPr>
          <w:p>
            <w:pPr>
              <w:spacing w:after="40"/>
            </w:pPr>
            <w:r/>
            <w:r>
              <w:rPr>
                <w:sz w:val="17"/>
              </w:rPr>
              <w:t>Sarai</w:t>
            </w:r>
          </w:p>
        </w:tc>
      </w:tr>
      <w:tr>
        <w:tc>
          <w:tcPr>
            <w:tcW w:type="dxa" w:w="1928"/>
          </w:tcPr>
          <w:p>
            <w:pPr>
              <w:spacing w:after="40"/>
            </w:pPr>
            <w:r/>
            <w:r>
              <w:rPr>
                <w:sz w:val="17"/>
              </w:rPr>
              <w:t>Build final y correccion de errores</w:t>
            </w:r>
          </w:p>
        </w:tc>
        <w:tc>
          <w:tcPr>
            <w:tcW w:type="dxa" w:w="794"/>
          </w:tcPr>
          <w:p>
            <w:pPr>
              <w:spacing w:after="40"/>
            </w:pPr>
            <w:r/>
            <w:r>
              <w:rPr>
                <w:sz w:val="17"/>
              </w:rPr>
              <w:t>medio</w:t>
            </w:r>
          </w:p>
        </w:tc>
        <w:tc>
          <w:tcPr>
            <w:tcW w:type="dxa" w:w="4535"/>
          </w:tcPr>
          <w:p>
            <w:pPr>
              <w:spacing w:after="40"/>
            </w:pPr>
            <w:r/>
            <w:r>
              <w:rPr>
                <w:sz w:val="17"/>
              </w:rPr>
              <w:t>QB.1 a QB.4 y QE.2 a QE.5. Dependen de que QT.8 produzca los errores que corregir.</w:t>
            </w:r>
          </w:p>
        </w:tc>
        <w:tc>
          <w:tcPr>
            <w:tcW w:type="dxa" w:w="1531"/>
          </w:tcPr>
          <w:p>
            <w:pPr>
              <w:spacing w:after="40"/>
            </w:pPr>
            <w:r/>
            <w:r>
              <w:rPr>
                <w:sz w:val="17"/>
              </w:rPr>
              <w:t>QA</w:t>
            </w:r>
          </w:p>
        </w:tc>
      </w:tr>
      <w:tr>
        <w:tc>
          <w:tcPr>
            <w:tcW w:type="dxa" w:w="1928"/>
          </w:tcPr>
          <w:p>
            <w:pPr>
              <w:spacing w:after="40"/>
            </w:pPr>
            <w:r/>
            <w:r>
              <w:rPr>
                <w:sz w:val="17"/>
              </w:rPr>
              <w:t>Manuales</w:t>
            </w:r>
          </w:p>
        </w:tc>
        <w:tc>
          <w:tcPr>
            <w:tcW w:type="dxa" w:w="794"/>
          </w:tcPr>
          <w:p>
            <w:pPr>
              <w:spacing w:after="40"/>
            </w:pPr>
            <w:r/>
            <w:r>
              <w:rPr>
                <w:sz w:val="17"/>
              </w:rPr>
              <w:t>bajo</w:t>
            </w:r>
          </w:p>
        </w:tc>
        <w:tc>
          <w:tcPr>
            <w:tcW w:type="dxa" w:w="4535"/>
          </w:tcPr>
          <w:p>
            <w:pPr>
              <w:spacing w:after="40"/>
            </w:pPr>
            <w:r/>
            <w:r>
              <w:rPr>
                <w:sz w:val="17"/>
              </w:rPr>
              <w:t>Manual de usuario y manual tecnico. No dependen de nadie mas y se pueden escribir ya.</w:t>
            </w:r>
          </w:p>
        </w:tc>
        <w:tc>
          <w:tcPr>
            <w:tcW w:type="dxa" w:w="1531"/>
          </w:tcPr>
          <w:p>
            <w:pPr>
              <w:spacing w:after="40"/>
            </w:pPr>
            <w:r/>
            <w:r>
              <w:rPr>
                <w:sz w:val="17"/>
              </w:rPr>
              <w:t>QA</w:t>
            </w:r>
          </w:p>
        </w:tc>
      </w:tr>
      <w:tr>
        <w:tc>
          <w:tcPr>
            <w:tcW w:type="dxa" w:w="1928"/>
          </w:tcPr>
          <w:p>
            <w:pPr>
              <w:spacing w:after="40"/>
            </w:pPr>
            <w:r/>
            <w:r>
              <w:rPr>
                <w:sz w:val="17"/>
              </w:rPr>
              <w:t>Firmas pendientes</w:t>
            </w:r>
          </w:p>
        </w:tc>
        <w:tc>
          <w:tcPr>
            <w:tcW w:type="dxa" w:w="794"/>
          </w:tcPr>
          <w:p>
            <w:pPr>
              <w:spacing w:after="40"/>
            </w:pPr>
            <w:r/>
            <w:r>
              <w:rPr>
                <w:sz w:val="17"/>
              </w:rPr>
              <w:t>bajo</w:t>
            </w:r>
          </w:p>
        </w:tc>
        <w:tc>
          <w:tcPr>
            <w:tcW w:type="dxa" w:w="4535"/>
          </w:tcPr>
          <w:p>
            <w:pPr>
              <w:spacing w:after="40"/>
            </w:pPr>
            <w:r/>
            <w:r>
              <w:rPr>
                <w:sz w:val="17"/>
              </w:rPr>
              <w:t>Respuesta al riesgo R14, recorte de alcance y cambio de enfoque. Los tres documentos estan escritos y esperan firma del equipo y de la patrocinadora.</w:t>
            </w:r>
          </w:p>
        </w:tc>
        <w:tc>
          <w:tcPr>
            <w:tcW w:type="dxa" w:w="1531"/>
          </w:tcPr>
          <w:p>
            <w:pPr>
              <w:spacing w:after="40"/>
            </w:pPr>
            <w:r/>
            <w:r>
              <w:rPr>
                <w:sz w:val="17"/>
              </w:rPr>
              <w:t>Direccion</w:t>
            </w:r>
          </w:p>
        </w:tc>
      </w:tr>
    </w:tbl>
    <w:p>
      <w:pPr>
        <w:spacing w:after="40"/>
      </w:pPr>
    </w:p>
    <w:p>
      <w:pPr>
        <w:pStyle w:val="Heading1"/>
      </w:pPr>
      <w:r>
        <w:t>9. Riesgos vivos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041"/>
          </w:tcPr>
          <w:p>
            <w:pPr>
              <w:spacing w:after="40"/>
              <w:jc w:val="center"/>
            </w:pPr>
            <w:r/>
            <w:r>
              <w:rPr>
                <w:b/>
                <w:sz w:val="17"/>
              </w:rPr>
              <w:t>Riesgo</w:t>
            </w:r>
          </w:p>
        </w:tc>
        <w:tc>
          <w:tcPr>
            <w:tcW w:type="dxa" w:w="794"/>
          </w:tcPr>
          <w:p>
            <w:pPr>
              <w:spacing w:after="40"/>
              <w:jc w:val="center"/>
            </w:pPr>
            <w:r/>
            <w:r>
              <w:rPr>
                <w:b/>
                <w:sz w:val="17"/>
              </w:rPr>
              <w:t>Nivel</w:t>
            </w:r>
          </w:p>
        </w:tc>
        <w:tc>
          <w:tcPr>
            <w:tcW w:type="dxa" w:w="5953"/>
          </w:tcPr>
          <w:p>
            <w:pPr>
              <w:spacing w:after="40"/>
              <w:jc w:val="center"/>
            </w:pPr>
            <w:r/>
            <w:r>
              <w:rPr>
                <w:b/>
                <w:sz w:val="17"/>
              </w:rPr>
              <w:t>Situación y mitigación</w:t>
            </w:r>
          </w:p>
        </w:tc>
      </w:tr>
      <w:tr>
        <w:tc>
          <w:tcPr>
            <w:tcW w:type="dxa" w:w="2041"/>
          </w:tcPr>
          <w:p>
            <w:pPr>
              <w:spacing w:after="40"/>
            </w:pPr>
            <w:r/>
            <w:r>
              <w:rPr>
                <w:sz w:val="17"/>
              </w:rPr>
              <w:t>La cadena del informe final no tiene holgura</w:t>
            </w:r>
          </w:p>
        </w:tc>
        <w:tc>
          <w:tcPr>
            <w:tcW w:type="dxa" w:w="794"/>
          </w:tcPr>
          <w:p>
            <w:pPr>
              <w:spacing w:after="40"/>
            </w:pPr>
            <w:r/>
            <w:r>
              <w:rPr>
                <w:sz w:val="17"/>
              </w:rPr>
              <w:t>alto</w:t>
            </w:r>
          </w:p>
        </w:tc>
        <w:tc>
          <w:tcPr>
            <w:tcW w:type="dxa" w:w="5953"/>
          </w:tcPr>
          <w:p>
            <w:pPr>
              <w:spacing w:after="40"/>
            </w:pPr>
            <w:r/>
            <w:r>
              <w:rPr>
                <w:sz w:val="17"/>
              </w:rPr>
              <w:t>QT.8 depende del flujo acabado, el analisis depende de QT.8 y el informe del analisis. Un retraso en cualquiera lo arrastra todo. Mitigacion: los manuales y la presentacion se pueden escribir en paralelo, sin esperar.</w:t>
            </w:r>
          </w:p>
        </w:tc>
      </w:tr>
      <w:tr>
        <w:tc>
          <w:tcPr>
            <w:tcW w:type="dxa" w:w="2041"/>
          </w:tcPr>
          <w:p>
            <w:pPr>
              <w:spacing w:after="40"/>
            </w:pPr>
            <w:r/>
            <w:r>
              <w:rPr>
                <w:sz w:val="17"/>
              </w:rPr>
              <w:t>Carga concentrada en QA</w:t>
            </w:r>
          </w:p>
        </w:tc>
        <w:tc>
          <w:tcPr>
            <w:tcW w:type="dxa" w:w="794"/>
          </w:tcPr>
          <w:p>
            <w:pPr>
              <w:spacing w:after="40"/>
            </w:pPr>
            <w:r/>
            <w:r>
              <w:rPr>
                <w:sz w:val="17"/>
              </w:rPr>
              <w:t>alto</w:t>
            </w:r>
          </w:p>
        </w:tc>
        <w:tc>
          <w:tcPr>
            <w:tcW w:type="dxa" w:w="5953"/>
          </w:tcPr>
          <w:p>
            <w:pPr>
              <w:spacing w:after="40"/>
            </w:pPr>
            <w:r/>
            <w:r>
              <w:rPr>
                <w:sz w:val="17"/>
              </w:rPr>
              <w:t>23 de las 27 actividades pendientes son de QA, documentacion y gestion: el 85 %. Al cerrarse interfaz y sonido la concentracion EMPEORO en proporcion, aunque bajara en numero absoluto. Es la misma concentracion que el analisis de ruta critica senalo en septiembre, y la baja de R14 la empeoro. Mitigacion: los manuales se pueden repartir.</w:t>
            </w:r>
          </w:p>
        </w:tc>
      </w:tr>
      <w:tr>
        <w:tc>
          <w:tcPr>
            <w:tcW w:type="dxa" w:w="2041"/>
          </w:tcPr>
          <w:p>
            <w:pPr>
              <w:spacing w:after="40"/>
            </w:pPr>
            <w:r/>
            <w:r>
              <w:rPr>
                <w:sz w:val="17"/>
              </w:rPr>
              <w:t>Sin validacion externa</w:t>
            </w:r>
          </w:p>
        </w:tc>
        <w:tc>
          <w:tcPr>
            <w:tcW w:type="dxa" w:w="794"/>
          </w:tcPr>
          <w:p>
            <w:pPr>
              <w:spacing w:after="40"/>
            </w:pPr>
            <w:r/>
            <w:r>
              <w:rPr>
                <w:sz w:val="17"/>
              </w:rPr>
              <w:t>asumido</w:t>
            </w:r>
          </w:p>
        </w:tc>
        <w:tc>
          <w:tcPr>
            <w:tcW w:type="dxa" w:w="5953"/>
          </w:tcPr>
          <w:p>
            <w:pPr>
              <w:spacing w:after="40"/>
            </w:pPr>
            <w:r/>
            <w:r>
              <w:rPr>
                <w:sz w:val="17"/>
              </w:rPr>
              <w:t>El asesor terapeutico nunca se concreto. Queda documentado como limitacion explicita del informe final, no como omision.</w:t>
            </w:r>
          </w:p>
        </w:tc>
      </w:tr>
    </w:tbl>
    <w:p>
      <w:pPr>
        <w:spacing w:after="40"/>
      </w:pPr>
    </w:p>
    <w:p>
      <w:pPr>
        <w:pStyle w:val="Heading1"/>
      </w:pPr>
      <w:r>
        <w:t>10. Dónde está cada cosa</w:t>
      </w:r>
    </w:p>
    <w:p>
      <w:pPr>
        <w:spacing w:after="160"/>
        <w:jc w:val="both"/>
      </w:pPr>
      <w:r>
        <w:rPr>
          <w:b w:val="0"/>
          <w:i w:val="0"/>
        </w:rPr>
        <w:t>Los doce documentos del proyecto y qué responde cada uno. Los marcados como vigentes con sustituciones siguen valiendo: lo que cambió está en el documento 11, no reescrito encima del original.</w:t>
      </w:r>
    </w:p>
    <w:tbl>
      <w:tblPr>
        <w:tblStyle w:val="TableGrid"/>
        <w:tblW w:type="auto" w:w="0"/>
        <w:jc w:val="center"/>
        <w:tblLayout w:type="fixed"/>
        <w:tblLook w:firstColumn="1" w:firstRow="1" w:lastColumn="0" w:lastRow="0" w:noHBand="0" w:noVBand="1" w:val="04A0"/>
      </w:tblPr>
      <w:tblGrid>
        <w:gridCol w:w="4703"/>
        <w:gridCol w:w="4703"/>
      </w:tblGrid>
      <w:tr>
        <w:tc>
          <w:tcPr>
            <w:tcW w:type="dxa" w:w="2835"/>
          </w:tcPr>
          <w:p>
            <w:pPr>
              <w:spacing w:after="40"/>
              <w:jc w:val="center"/>
            </w:pPr>
            <w:r/>
            <w:r>
              <w:rPr>
                <w:b/>
                <w:sz w:val="17"/>
              </w:rPr>
              <w:t>Documento</w:t>
            </w:r>
          </w:p>
        </w:tc>
        <w:tc>
          <w:tcPr>
            <w:tcW w:type="dxa" w:w="5953"/>
          </w:tcPr>
          <w:p>
            <w:pPr>
              <w:spacing w:after="40"/>
              <w:jc w:val="center"/>
            </w:pPr>
            <w:r/>
            <w:r>
              <w:rPr>
                <w:b/>
                <w:sz w:val="17"/>
              </w:rPr>
              <w:t>Qué contiene</w:t>
            </w:r>
          </w:p>
        </w:tc>
      </w:tr>
      <w:tr>
        <w:tc>
          <w:tcPr>
            <w:tcW w:type="dxa" w:w="2835"/>
          </w:tcPr>
          <w:p>
            <w:pPr>
              <w:spacing w:after="40"/>
            </w:pPr>
            <w:r/>
            <w:r>
              <w:rPr>
                <w:sz w:val="17"/>
              </w:rPr>
              <w:t>01_Carta_Sponsor.docx</w:t>
            </w:r>
          </w:p>
        </w:tc>
        <w:tc>
          <w:tcPr>
            <w:tcW w:type="dxa" w:w="5953"/>
          </w:tcPr>
          <w:p>
            <w:pPr>
              <w:spacing w:after="40"/>
            </w:pPr>
            <w:r/>
            <w:r>
              <w:rPr>
                <w:sz w:val="17"/>
              </w:rPr>
              <w:t>Justificacion, objetivo, las diez medidas de exito y el presupuesto. VIGENTE con las sustituciones del documento 11.</w:t>
            </w:r>
          </w:p>
        </w:tc>
      </w:tr>
      <w:tr>
        <w:tc>
          <w:tcPr>
            <w:tcW w:type="dxa" w:w="2835"/>
          </w:tcPr>
          <w:p>
            <w:pPr>
              <w:spacing w:after="40"/>
            </w:pPr>
            <w:r/>
            <w:r>
              <w:rPr>
                <w:sz w:val="17"/>
              </w:rPr>
              <w:t>02_Acta_Constitutiva.docx</w:t>
            </w:r>
          </w:p>
        </w:tc>
        <w:tc>
          <w:tcPr>
            <w:tcW w:type="dxa" w:w="5953"/>
          </w:tcPr>
          <w:p>
            <w:pPr>
              <w:spacing w:after="40"/>
            </w:pPr>
            <w:r/>
            <w:r>
              <w:rPr>
                <w:sz w:val="17"/>
              </w:rPr>
              <w:t>EDT de 42 paquetes con criterio de aceptacion, responsable y duracion. VIGENTE con las sustituciones del documento 11.</w:t>
            </w:r>
          </w:p>
        </w:tc>
      </w:tr>
      <w:tr>
        <w:tc>
          <w:tcPr>
            <w:tcW w:type="dxa" w:w="2835"/>
          </w:tcPr>
          <w:p>
            <w:pPr>
              <w:spacing w:after="40"/>
            </w:pPr>
            <w:r/>
            <w:r>
              <w:rPr>
                <w:sz w:val="17"/>
              </w:rPr>
              <w:t>03_Ruta_Critica.docx</w:t>
            </w:r>
          </w:p>
        </w:tc>
        <w:tc>
          <w:tcPr>
            <w:tcW w:type="dxa" w:w="5953"/>
          </w:tcPr>
          <w:p>
            <w:pPr>
              <w:spacing w:after="40"/>
            </w:pPr>
            <w:r/>
            <w:r>
              <w:rPr>
                <w:sz w:val="17"/>
              </w:rPr>
              <w:t>Red PDM completa con su justificacion.</w:t>
            </w:r>
          </w:p>
        </w:tc>
      </w:tr>
      <w:tr>
        <w:tc>
          <w:tcPr>
            <w:tcW w:type="dxa" w:w="2835"/>
          </w:tcPr>
          <w:p>
            <w:pPr>
              <w:spacing w:after="40"/>
            </w:pPr>
            <w:r/>
            <w:r>
              <w:rPr>
                <w:sz w:val="17"/>
              </w:rPr>
              <w:t>04_Planes_Costos_Calidad_Riesgos.docx</w:t>
            </w:r>
          </w:p>
        </w:tc>
        <w:tc>
          <w:tcPr>
            <w:tcW w:type="dxa" w:w="5953"/>
          </w:tcPr>
          <w:p>
            <w:pPr>
              <w:spacing w:after="40"/>
            </w:pPr>
            <w:r/>
            <w:r>
              <w:rPr>
                <w:sz w:val="17"/>
              </w:rPr>
              <w:t>Calidad 8.1 a 8.3 y riesgos 11.1 a 11.7. Contiene el registro donde R14 estaba previsto.</w:t>
            </w:r>
          </w:p>
        </w:tc>
      </w:tr>
      <w:tr>
        <w:tc>
          <w:tcPr>
            <w:tcW w:type="dxa" w:w="2835"/>
          </w:tcPr>
          <w:p>
            <w:pPr>
              <w:spacing w:after="40"/>
            </w:pPr>
            <w:r/>
            <w:r>
              <w:rPr>
                <w:sz w:val="17"/>
              </w:rPr>
              <w:t>05_Analisis_Costos_Calidad_Riesgos.docx</w:t>
            </w:r>
          </w:p>
        </w:tc>
        <w:tc>
          <w:tcPr>
            <w:tcW w:type="dxa" w:w="5953"/>
          </w:tcPr>
          <w:p>
            <w:pPr>
              <w:spacing w:after="40"/>
            </w:pPr>
            <w:r/>
            <w:r>
              <w:rPr>
                <w:sz w:val="17"/>
              </w:rPr>
              <w:t>Area 7 completa, de 7.1 a 7.4, incluido valor ganado.</w:t>
            </w:r>
          </w:p>
        </w:tc>
      </w:tr>
      <w:tr>
        <w:tc>
          <w:tcPr>
            <w:tcW w:type="dxa" w:w="2835"/>
          </w:tcPr>
          <w:p>
            <w:pPr>
              <w:spacing w:after="40"/>
            </w:pPr>
            <w:r/>
            <w:r>
              <w:rPr>
                <w:sz w:val="17"/>
              </w:rPr>
              <w:t>06_Entregable_Medio_Curso.docx</w:t>
            </w:r>
          </w:p>
        </w:tc>
        <w:tc>
          <w:tcPr>
            <w:tcW w:type="dxa" w:w="5953"/>
          </w:tcPr>
          <w:p>
            <w:pPr>
              <w:spacing w:after="40"/>
            </w:pPr>
            <w:r/>
            <w:r>
              <w:rPr>
                <w:sz w:val="17"/>
              </w:rPr>
              <w:t>Corte del 18 de septiembre: 117 actividades, SPI 0.969.</w:t>
            </w:r>
          </w:p>
        </w:tc>
      </w:tr>
      <w:tr>
        <w:tc>
          <w:tcPr>
            <w:tcW w:type="dxa" w:w="2835"/>
          </w:tcPr>
          <w:p>
            <w:pPr>
              <w:spacing w:after="40"/>
            </w:pPr>
            <w:r/>
            <w:r>
              <w:rPr>
                <w:sz w:val="17"/>
              </w:rPr>
              <w:t>07_Carta_Validacion_Entregables.docx</w:t>
            </w:r>
          </w:p>
        </w:tc>
        <w:tc>
          <w:tcPr>
            <w:tcW w:type="dxa" w:w="5953"/>
          </w:tcPr>
          <w:p>
            <w:pPr>
              <w:spacing w:after="40"/>
            </w:pPr>
            <w:r/>
            <w:r>
              <w:rPr>
                <w:sz w:val="17"/>
              </w:rPr>
              <w:t>Para firma de la docente, PMBOK 5.5.</w:t>
            </w:r>
          </w:p>
        </w:tc>
      </w:tr>
      <w:tr>
        <w:tc>
          <w:tcPr>
            <w:tcW w:type="dxa" w:w="2835"/>
          </w:tcPr>
          <w:p>
            <w:pPr>
              <w:spacing w:after="40"/>
            </w:pPr>
            <w:r/>
            <w:r>
              <w:rPr>
                <w:sz w:val="17"/>
              </w:rPr>
              <w:t>08_Lista_Verificacion_Compromisos.docx</w:t>
            </w:r>
          </w:p>
        </w:tc>
        <w:tc>
          <w:tcPr>
            <w:tcW w:type="dxa" w:w="5953"/>
          </w:tcPr>
          <w:p>
            <w:pPr>
              <w:spacing w:after="40"/>
            </w:pPr>
            <w:r/>
            <w:r>
              <w:rPr>
                <w:sz w:val="17"/>
              </w:rPr>
              <w:t>Lo comprometido contra lo entregado.</w:t>
            </w:r>
          </w:p>
        </w:tc>
      </w:tr>
      <w:tr>
        <w:tc>
          <w:tcPr>
            <w:tcW w:type="dxa" w:w="2835"/>
          </w:tcPr>
          <w:p>
            <w:pPr>
              <w:spacing w:after="40"/>
            </w:pPr>
            <w:r/>
            <w:r>
              <w:rPr>
                <w:sz w:val="17"/>
              </w:rPr>
              <w:t>09_Respuesta_Riesgo_R14.docx</w:t>
            </w:r>
          </w:p>
        </w:tc>
        <w:tc>
          <w:tcPr>
            <w:tcW w:type="dxa" w:w="5953"/>
          </w:tcPr>
          <w:p>
            <w:pPr>
              <w:spacing w:after="40"/>
            </w:pPr>
            <w:r/>
            <w:r>
              <w:rPr>
                <w:sz w:val="17"/>
              </w:rPr>
              <w:t>La baja del integrante y su redistribucion.</w:t>
            </w:r>
          </w:p>
        </w:tc>
      </w:tr>
      <w:tr>
        <w:tc>
          <w:tcPr>
            <w:tcW w:type="dxa" w:w="2835"/>
          </w:tcPr>
          <w:p>
            <w:pPr>
              <w:spacing w:after="40"/>
            </w:pPr>
            <w:r/>
            <w:r>
              <w:rPr>
                <w:sz w:val="17"/>
              </w:rPr>
              <w:t>10_Recorte_de_Alcance.docx</w:t>
            </w:r>
          </w:p>
        </w:tc>
        <w:tc>
          <w:tcPr>
            <w:tcW w:type="dxa" w:w="5953"/>
          </w:tcPr>
          <w:p>
            <w:pPr>
              <w:spacing w:after="40"/>
            </w:pPr>
            <w:r/>
            <w:r>
              <w:rPr>
                <w:sz w:val="17"/>
              </w:rPr>
              <w:t>De 257 a 158 actividades, con la razon de cada recorte.</w:t>
            </w:r>
          </w:p>
        </w:tc>
      </w:tr>
      <w:tr>
        <w:tc>
          <w:tcPr>
            <w:tcW w:type="dxa" w:w="2835"/>
          </w:tcPr>
          <w:p>
            <w:pPr>
              <w:spacing w:after="40"/>
            </w:pPr>
            <w:r/>
            <w:r>
              <w:rPr>
                <w:sz w:val="17"/>
              </w:rPr>
              <w:t>11_Cambio_de_Enfoque.docx</w:t>
            </w:r>
          </w:p>
        </w:tc>
        <w:tc>
          <w:tcPr>
            <w:tcW w:type="dxa" w:w="5953"/>
          </w:tcPr>
          <w:p>
            <w:pPr>
              <w:spacing w:after="40"/>
            </w:pPr>
            <w:r/>
            <w:r>
              <w:rPr>
                <w:sz w:val="17"/>
              </w:rPr>
              <w:t>Solicitud de cambio del marco terapeutico, PMBOK 4.6.</w:t>
            </w:r>
          </w:p>
        </w:tc>
      </w:tr>
      <w:tr>
        <w:tc>
          <w:tcPr>
            <w:tcW w:type="dxa" w:w="2835"/>
          </w:tcPr>
          <w:p>
            <w:pPr>
              <w:spacing w:after="40"/>
            </w:pPr>
            <w:r/>
            <w:r>
              <w:rPr>
                <w:sz w:val="17"/>
              </w:rPr>
              <w:t>12_Estado_del_Proyecto.docx</w:t>
            </w:r>
          </w:p>
        </w:tc>
        <w:tc>
          <w:tcPr>
            <w:tcW w:type="dxa" w:w="5953"/>
          </w:tcPr>
          <w:p>
            <w:pPr>
              <w:spacing w:after="40"/>
            </w:pPr>
            <w:r/>
            <w:r>
              <w:rPr>
                <w:sz w:val="17"/>
              </w:rPr>
              <w:t>Este documento. El estado vigente y donde esta cada cosa.</w:t>
            </w:r>
          </w:p>
        </w:tc>
      </w:tr>
    </w:tbl>
    <w:p>
      <w:pPr>
        <w:spacing w:after="40"/>
      </w:pPr>
    </w:p>
    <w:p>
      <w:pPr>
        <w:pStyle w:val="Heading1"/>
      </w:pPr>
      <w:r>
        <w:t>11. Firmas</w:t>
      </w:r>
    </w:p>
    <w:p>
      <w:pPr>
        <w:spacing w:after="160"/>
        <w:jc w:val="both"/>
      </w:pPr>
      <w:r>
        <w:rPr>
          <w:b w:val="0"/>
          <w:i w:val="0"/>
        </w:rPr>
        <w:t>Con la firma de este documento el equipo deja constancia del estado del proyecto a la fecha indicada.</w:t>
      </w:r>
    </w:p>
    <w:p>
      <w:pPr>
        <w:spacing w:after="160"/>
        <w:jc w:val="both"/>
      </w:pPr>
      <w:r>
        <w:rPr>
          <w:b w:val="0"/>
          <w:i w:val="0"/>
        </w:rPr>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494"/>
          </w:tcPr>
          <w:p>
            <w:pPr>
              <w:spacing w:after="40"/>
              <w:jc w:val="center"/>
            </w:pPr>
            <w:r/>
            <w:r>
              <w:rPr>
                <w:b/>
                <w:sz w:val="18"/>
              </w:rPr>
              <w:t>Rol</w:t>
            </w:r>
          </w:p>
        </w:tc>
        <w:tc>
          <w:tcPr>
            <w:tcW w:type="dxa" w:w="3742"/>
          </w:tcPr>
          <w:p>
            <w:pPr>
              <w:spacing w:after="40"/>
              <w:jc w:val="center"/>
            </w:pPr>
            <w:r/>
            <w:r>
              <w:rPr>
                <w:b/>
                <w:sz w:val="18"/>
              </w:rPr>
              <w:t>Nombre</w:t>
            </w:r>
          </w:p>
        </w:tc>
        <w:tc>
          <w:tcPr>
            <w:tcW w:type="dxa" w:w="2835"/>
          </w:tcPr>
          <w:p>
            <w:pPr>
              <w:spacing w:after="40"/>
              <w:jc w:val="center"/>
            </w:pPr>
            <w:r/>
            <w:r>
              <w:rPr>
                <w:b/>
                <w:sz w:val="18"/>
              </w:rPr>
              <w:t>Firma</w:t>
            </w:r>
          </w:p>
        </w:tc>
      </w:tr>
      <w:tr>
        <w:tc>
          <w:tcPr>
            <w:tcW w:type="dxa" w:w="2494"/>
          </w:tcPr>
          <w:p>
            <w:pPr>
              <w:spacing w:after="40"/>
            </w:pPr>
            <w:r/>
            <w:r>
              <w:rPr>
                <w:sz w:val="18"/>
              </w:rPr>
              <w:t>Patrocinadora</w:t>
            </w:r>
          </w:p>
        </w:tc>
        <w:tc>
          <w:tcPr>
            <w:tcW w:type="dxa" w:w="3742"/>
          </w:tcPr>
          <w:p>
            <w:pPr>
              <w:spacing w:after="40"/>
            </w:pPr>
            <w:r/>
            <w:r>
              <w:rPr>
                <w:sz w:val="18"/>
              </w:rPr>
              <w:t>Dra. Leticia Amalia Neira Tovar</w:t>
            </w:r>
          </w:p>
        </w:tc>
        <w:tc>
          <w:tcPr>
            <w:tcW w:type="dxa" w:w="2835"/>
          </w:tcPr>
          <w:p>
            <w:pPr>
              <w:spacing w:after="40"/>
            </w:pPr>
            <w:r/>
            <w:r>
              <w:rPr>
                <w:sz w:val="18"/>
              </w:rPr>
              <w:t>__________________________</w:t>
            </w:r>
          </w:p>
        </w:tc>
      </w:tr>
      <w:tr>
        <w:tc>
          <w:tcPr>
            <w:tcW w:type="dxa" w:w="2494"/>
          </w:tcPr>
          <w:p>
            <w:pPr>
              <w:spacing w:after="40"/>
            </w:pPr>
            <w:r/>
            <w:r>
              <w:rPr>
                <w:sz w:val="18"/>
              </w:rPr>
              <w:t>Dirección de proyecto</w:t>
            </w:r>
          </w:p>
        </w:tc>
        <w:tc>
          <w:tcPr>
            <w:tcW w:type="dxa" w:w="3742"/>
          </w:tcPr>
          <w:p>
            <w:pPr>
              <w:spacing w:after="40"/>
            </w:pPr>
            <w:r/>
            <w:r>
              <w:rPr>
                <w:sz w:val="18"/>
              </w:rPr>
              <w:t>Sarai Galindo García</w:t>
            </w:r>
          </w:p>
        </w:tc>
        <w:tc>
          <w:tcPr>
            <w:tcW w:type="dxa" w:w="2835"/>
          </w:tcPr>
          <w:p>
            <w:pPr>
              <w:spacing w:after="40"/>
            </w:pPr>
            <w:r/>
            <w:r>
              <w:rPr>
                <w:sz w:val="18"/>
              </w:rPr>
              <w:t>__________________________</w:t>
            </w:r>
          </w:p>
        </w:tc>
      </w:tr>
      <w:tr>
        <w:tc>
          <w:tcPr>
            <w:tcW w:type="dxa" w:w="2494"/>
          </w:tcPr>
          <w:p>
            <w:pPr>
              <w:spacing w:after="40"/>
            </w:pPr>
            <w:r/>
            <w:r>
              <w:rPr>
                <w:sz w:val="18"/>
              </w:rPr>
              <w:t>Gerencia de proyecto</w:t>
            </w:r>
          </w:p>
        </w:tc>
        <w:tc>
          <w:tcPr>
            <w:tcW w:type="dxa" w:w="3742"/>
          </w:tcPr>
          <w:p>
            <w:pPr>
              <w:spacing w:after="40"/>
            </w:pPr>
            <w:r/>
            <w:r>
              <w:rPr>
                <w:sz w:val="18"/>
              </w:rPr>
              <w:t>Abiud Misael Benítez Franco</w:t>
            </w:r>
          </w:p>
        </w:tc>
        <w:tc>
          <w:tcPr>
            <w:tcW w:type="dxa" w:w="2835"/>
          </w:tcPr>
          <w:p>
            <w:pPr>
              <w:spacing w:after="40"/>
            </w:pPr>
            <w:r/>
            <w:r>
              <w:rPr>
                <w:sz w:val="18"/>
              </w:rPr>
              <w:t>__________________________</w:t>
            </w:r>
          </w:p>
        </w:tc>
      </w:tr>
      <w:tr>
        <w:tc>
          <w:tcPr>
            <w:tcW w:type="dxa" w:w="2494"/>
          </w:tcPr>
          <w:p>
            <w:pPr>
              <w:spacing w:after="40"/>
            </w:pPr>
            <w:r/>
            <w:r>
              <w:rPr>
                <w:sz w:val="18"/>
              </w:rPr>
              <w:t>QA y documentación</w:t>
            </w:r>
          </w:p>
        </w:tc>
        <w:tc>
          <w:tcPr>
            <w:tcW w:type="dxa" w:w="3742"/>
          </w:tcPr>
          <w:p>
            <w:pPr>
              <w:spacing w:after="40"/>
            </w:pPr>
            <w:r/>
            <w:r>
              <w:rPr>
                <w:sz w:val="18"/>
              </w:rPr>
              <w:t>Diana Laura Tello Salinas</w:t>
            </w:r>
          </w:p>
        </w:tc>
        <w:tc>
          <w:tcPr>
            <w:tcW w:type="dxa" w:w="2835"/>
          </w:tcPr>
          <w:p>
            <w:pPr>
              <w:spacing w:after="40"/>
            </w:pPr>
            <w:r/>
            <w:r>
              <w:rPr>
                <w:sz w:val="18"/>
              </w:rPr>
              <w:t>__________________________</w:t>
            </w:r>
          </w:p>
        </w:tc>
      </w:tr>
      <w:tr>
        <w:tc>
          <w:tcPr>
            <w:tcW w:type="dxa" w:w="2494"/>
          </w:tcPr>
          <w:p>
            <w:pPr>
              <w:spacing w:after="40"/>
            </w:pPr>
            <w:r/>
            <w:r>
              <w:rPr>
                <w:sz w:val="18"/>
              </w:rPr>
              <w:t>Entorno 3D</w:t>
            </w:r>
          </w:p>
        </w:tc>
        <w:tc>
          <w:tcPr>
            <w:tcW w:type="dxa" w:w="3742"/>
          </w:tcPr>
          <w:p>
            <w:pPr>
              <w:spacing w:after="40"/>
            </w:pPr>
            <w:r/>
            <w:r>
              <w:rPr>
                <w:sz w:val="18"/>
              </w:rPr>
              <w:t>Kimberly González Sepúlveda</w:t>
            </w:r>
          </w:p>
        </w:tc>
        <w:tc>
          <w:tcPr>
            <w:tcW w:type="dxa" w:w="2835"/>
          </w:tcPr>
          <w:p>
            <w:pPr>
              <w:spacing w:after="40"/>
            </w:pPr>
            <w:r/>
            <w:r>
              <w:rPr>
                <w:sz w:val="18"/>
              </w:rPr>
              <w:t>__________________________</w:t>
            </w:r>
          </w:p>
        </w:tc>
      </w:tr>
      <w:tr>
        <w:tc>
          <w:tcPr>
            <w:tcW w:type="dxa" w:w="2494"/>
          </w:tcPr>
          <w:p>
            <w:pPr>
              <w:spacing w:after="40"/>
            </w:pPr>
            <w:r/>
            <w:r>
              <w:rPr>
                <w:sz w:val="18"/>
              </w:rPr>
              <w:t>Sonido</w:t>
            </w:r>
          </w:p>
        </w:tc>
        <w:tc>
          <w:tcPr>
            <w:tcW w:type="dxa" w:w="3742"/>
          </w:tcPr>
          <w:p>
            <w:pPr>
              <w:spacing w:after="40"/>
            </w:pPr>
            <w:r/>
            <w:r>
              <w:rPr>
                <w:sz w:val="18"/>
              </w:rPr>
              <w:t>Christian Salvador Valadez Gallegos</w:t>
            </w:r>
          </w:p>
        </w:tc>
        <w:tc>
          <w:tcPr>
            <w:tcW w:type="dxa" w:w="2835"/>
          </w:tcPr>
          <w:p>
            <w:pPr>
              <w:spacing w:after="40"/>
            </w:pPr>
            <w:r/>
            <w:r>
              <w:rPr>
                <w:sz w:val="18"/>
              </w:rPr>
              <w:t>__________________________</w:t>
            </w:r>
          </w:p>
        </w:tc>
      </w:tr>
      <w:tr>
        <w:tc>
          <w:tcPr>
            <w:tcW w:type="dxa" w:w="2494"/>
          </w:tcPr>
          <w:p>
            <w:pPr>
              <w:spacing w:after="40"/>
            </w:pPr>
            <w:r/>
            <w:r>
              <w:rPr>
                <w:sz w:val="18"/>
              </w:rPr>
              <w:t>Música</w:t>
            </w:r>
          </w:p>
        </w:tc>
        <w:tc>
          <w:tcPr>
            <w:tcW w:type="dxa" w:w="3742"/>
          </w:tcPr>
          <w:p>
            <w:pPr>
              <w:spacing w:after="40"/>
            </w:pPr>
            <w:r/>
            <w:r>
              <w:rPr>
                <w:sz w:val="18"/>
              </w:rPr>
              <w:t>Javier Alejandro Hernández Caloca</w:t>
            </w:r>
          </w:p>
        </w:tc>
        <w:tc>
          <w:tcPr>
            <w:tcW w:type="dxa" w:w="2835"/>
          </w:tcPr>
          <w:p>
            <w:pPr>
              <w:spacing w:after="40"/>
            </w:pPr>
            <w:r/>
            <w:r>
              <w:rPr>
                <w:sz w:val="18"/>
              </w:rPr>
              <w:t>__________________________</w:t>
            </w:r>
          </w:p>
        </w:tc>
      </w:tr>
      <w:tr>
        <w:tc>
          <w:tcPr>
            <w:tcW w:type="dxa" w:w="2494"/>
          </w:tcPr>
          <w:p>
            <w:pPr>
              <w:spacing w:after="40"/>
            </w:pPr>
            <w:r/>
            <w:r>
              <w:rPr>
                <w:sz w:val="18"/>
              </w:rPr>
              <w:t>Experiencia emocional</w:t>
            </w:r>
          </w:p>
        </w:tc>
        <w:tc>
          <w:tcPr>
            <w:tcW w:type="dxa" w:w="3742"/>
          </w:tcPr>
          <w:p>
            <w:pPr>
              <w:spacing w:after="40"/>
            </w:pPr>
            <w:r/>
            <w:r>
              <w:rPr>
                <w:sz w:val="18"/>
              </w:rPr>
              <w:t>María Fernanda Montoya Valdez</w:t>
            </w:r>
          </w:p>
        </w:tc>
        <w:tc>
          <w:tcPr>
            <w:tcW w:type="dxa" w:w="2835"/>
          </w:tcPr>
          <w:p>
            <w:pPr>
              <w:spacing w:after="40"/>
            </w:pPr>
            <w:r/>
            <w:r>
              <w:rPr>
                <w:sz w:val="18"/>
              </w:rPr>
              <w:t>__________________________</w:t>
            </w:r>
          </w:p>
        </w:tc>
      </w:tr>
    </w:tbl>
    <w:p>
      <w:pPr>
        <w:spacing w:after="4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